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sz w:val="28"/>
          <w:szCs w:val="28"/>
        </w:rPr>
      </w:pPr>
      <w:r>
        <w:rPr>
          <w:rFonts w:hint="eastAsia" w:ascii="黑体" w:hAnsi="黑体" w:eastAsia="黑体" w:cs="Times New Roman"/>
          <w:sz w:val="28"/>
          <w:szCs w:val="28"/>
          <w:highlight w:val="none"/>
          <w:lang w:val="en-US" w:eastAsia="zh-CN"/>
        </w:rPr>
        <w:t>长春都市圈环线高速公路伊通至公主岭至农安段、白山至临江高速公路</w:t>
      </w:r>
      <w:bookmarkStart w:id="5" w:name="_GoBack"/>
      <w:bookmarkEnd w:id="5"/>
      <w:r>
        <w:rPr>
          <w:rFonts w:hint="eastAsia" w:ascii="黑体" w:eastAsia="黑体"/>
          <w:color w:val="000000"/>
          <w:sz w:val="28"/>
          <w:szCs w:val="28"/>
          <w:highlight w:val="none"/>
          <w:lang w:val="en-US" w:eastAsia="zh-CN"/>
        </w:rPr>
        <w:t>水土保持工程施工监</w:t>
      </w:r>
      <w:r>
        <w:rPr>
          <w:rFonts w:hint="eastAsia" w:ascii="黑体" w:eastAsia="黑体"/>
          <w:color w:val="000000"/>
          <w:sz w:val="28"/>
          <w:szCs w:val="28"/>
          <w:highlight w:val="none"/>
        </w:rPr>
        <w:t>理</w:t>
      </w:r>
      <w:r>
        <w:rPr>
          <w:rFonts w:hint="eastAsia" w:ascii="黑体" w:hAnsi="宋体" w:eastAsia="黑体"/>
          <w:sz w:val="28"/>
          <w:szCs w:val="28"/>
        </w:rPr>
        <w:t>招标</w:t>
      </w:r>
    </w:p>
    <w:p>
      <w:pPr>
        <w:adjustRightInd w:val="0"/>
        <w:snapToGrid w:val="0"/>
        <w:spacing w:before="120" w:beforeLines="50" w:after="120" w:afterLines="50"/>
        <w:ind w:firstLine="280" w:firstLineChars="100"/>
        <w:jc w:val="center"/>
        <w:rPr>
          <w:rFonts w:ascii="黑体" w:hAnsi="黑体" w:eastAsia="黑体"/>
          <w:sz w:val="28"/>
          <w:szCs w:val="28"/>
        </w:rPr>
      </w:pPr>
      <w:r>
        <w:rPr>
          <w:rFonts w:hint="eastAsia" w:ascii="黑体" w:hAnsi="黑体" w:eastAsia="黑体" w:cs="Times New Roman"/>
          <w:sz w:val="28"/>
          <w:szCs w:val="28"/>
        </w:rPr>
        <w:t>招标文件关键内容信息公开</w:t>
      </w:r>
    </w:p>
    <w:p>
      <w:pPr>
        <w:pStyle w:val="30"/>
        <w:keepNext w:val="0"/>
        <w:keepLines w:val="0"/>
        <w:pageBreakBefore w:val="0"/>
        <w:widowControl w:val="0"/>
        <w:kinsoku/>
        <w:wordWrap/>
        <w:overflowPunct/>
        <w:topLinePunct w:val="0"/>
        <w:autoSpaceDE/>
        <w:autoSpaceDN/>
        <w:bidi w:val="0"/>
        <w:snapToGrid w:val="0"/>
        <w:spacing w:line="360" w:lineRule="auto"/>
        <w:textAlignment w:val="auto"/>
        <w:rPr>
          <w:rFonts w:ascii="黑体" w:eastAsia="黑体"/>
          <w:color w:val="000000"/>
          <w:sz w:val="28"/>
          <w:szCs w:val="28"/>
          <w:highlight w:val="none"/>
        </w:rPr>
      </w:pPr>
      <w:r>
        <w:rPr>
          <w:rFonts w:hint="eastAsia" w:ascii="黑体" w:eastAsia="黑体"/>
          <w:color w:val="000000"/>
          <w:sz w:val="28"/>
          <w:szCs w:val="28"/>
          <w:highlight w:val="none"/>
        </w:rPr>
        <w:t>1.招标条件</w:t>
      </w:r>
    </w:p>
    <w:p>
      <w:pPr>
        <w:pStyle w:val="30"/>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本招标项目</w:t>
      </w:r>
      <w:r>
        <w:rPr>
          <w:rFonts w:hint="eastAsia" w:ascii="宋体" w:hAnsi="宋体" w:eastAsia="宋体" w:cs="Times New Roman"/>
          <w:color w:val="000000"/>
          <w:sz w:val="24"/>
          <w:highlight w:val="none"/>
          <w:lang w:val="en-US" w:eastAsia="zh-CN"/>
        </w:rPr>
        <w:t>长春都市圈环线高速公路伊通至公主岭至农安段、白山至临江高速公路</w:t>
      </w:r>
      <w:r>
        <w:rPr>
          <w:rFonts w:hint="eastAsia" w:ascii="宋体" w:hAnsi="宋体" w:eastAsia="宋体" w:cs="Times New Roman"/>
          <w:color w:val="000000"/>
          <w:sz w:val="24"/>
          <w:highlight w:val="none"/>
        </w:rPr>
        <w:t>已具备招标条件，现对该项目的</w:t>
      </w:r>
      <w:r>
        <w:rPr>
          <w:rFonts w:hint="eastAsia" w:ascii="宋体" w:hAnsi="宋体" w:eastAsia="宋体" w:cs="Times New Roman"/>
          <w:color w:val="000000"/>
          <w:sz w:val="24"/>
          <w:highlight w:val="none"/>
          <w:lang w:val="en-US" w:eastAsia="zh-CN"/>
        </w:rPr>
        <w:t>水土保持工程施工</w:t>
      </w:r>
      <w:r>
        <w:rPr>
          <w:rFonts w:hint="eastAsia" w:ascii="宋体" w:hAnsi="宋体" w:eastAsia="宋体" w:cs="Times New Roman"/>
          <w:color w:val="000000"/>
          <w:sz w:val="24"/>
          <w:highlight w:val="none"/>
        </w:rPr>
        <w:t>监理进行公开招标。</w:t>
      </w:r>
    </w:p>
    <w:p>
      <w:pPr>
        <w:pStyle w:val="30"/>
        <w:keepNext w:val="0"/>
        <w:keepLines w:val="0"/>
        <w:pageBreakBefore w:val="0"/>
        <w:widowControl w:val="0"/>
        <w:kinsoku/>
        <w:wordWrap/>
        <w:overflowPunct/>
        <w:topLinePunct w:val="0"/>
        <w:autoSpaceDE/>
        <w:autoSpaceDN/>
        <w:bidi w:val="0"/>
        <w:snapToGrid w:val="0"/>
        <w:spacing w:line="360" w:lineRule="auto"/>
        <w:textAlignment w:val="auto"/>
        <w:rPr>
          <w:rFonts w:ascii="黑体" w:eastAsia="黑体"/>
          <w:color w:val="000000"/>
          <w:sz w:val="28"/>
          <w:szCs w:val="28"/>
          <w:highlight w:val="none"/>
        </w:rPr>
      </w:pPr>
      <w:r>
        <w:rPr>
          <w:rFonts w:hint="eastAsia" w:ascii="黑体" w:eastAsia="黑体"/>
          <w:color w:val="000000"/>
          <w:sz w:val="28"/>
          <w:szCs w:val="28"/>
          <w:highlight w:val="none"/>
        </w:rPr>
        <w:t>2.项目概况与招标范围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bookmarkStart w:id="0" w:name="_Toc436994095"/>
      <w:bookmarkStart w:id="1" w:name="_Toc257655328"/>
      <w:r>
        <w:rPr>
          <w:rFonts w:hint="eastAsia" w:ascii="宋体" w:hAnsi="宋体" w:eastAsia="宋体" w:cs="Times New Roman"/>
          <w:color w:val="000000"/>
          <w:kern w:val="2"/>
          <w:sz w:val="24"/>
          <w:szCs w:val="24"/>
          <w:highlight w:val="none"/>
          <w:lang w:val="en-US" w:eastAsia="zh-CN" w:bidi="ar-SA"/>
        </w:rPr>
        <w:t>2.1 建设地点：吉林省境内。</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2.2 建设规模：长春都市圈环线高速公路伊通至公主岭至农安段起于伊通县北四门张家，设任家枢纽立交与都市圈环线高速公路东段相连，经公主岭市，终于农安县迟家店，设迟家枢纽立交相接都市圈环线高速公路东段。主线采用设计速度120公里/小时的双向四车道高速公路标准。主线全长143.341公里，全线路基土石方1536万立方米，特大桥3085米/2座，大桥8030米/27座，中桥2626米/40座，小桥294米/14座，涵洞166道，互通式立交12处(含续建2处)，分离式立交14处，天桥59处，通道31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白山至临江高速公路起于已建白临高速回头沟至白山段，终于临江市建国街道台兴村西侧。主线采用设计速度80公里/小时的双向四车道高速公路标准。主线全长44.293公里，全线路基土石方440万立方米，特大桥489米/1座，大桥12131.51米/33座，涵洞34道，隧道8920米/7座，互通式立交1处，分离式立交1处，天桥2处，通道4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石人连接线起点位于石人互通被交路平交渠化终点，起点桩号LK0+330,终点采用平交渠化形式与S205相接，连接线终点桩号LK2+799.831,石人连接线全长2.470km。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临江连接线起点桩号LK125+378.407,顺接主线终点，跨过头道沟河后止于市政界，终点桩号LK126+392.092,临江连接线全长1.014km。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2.3标段划分：本次招标划分为2个标段，长春都市圈环线高速公路伊通至公主岭至农安段水土保持工程施工监理为SBJL01标段，白山至临江高速公路水土保持工程施工监理为SBJL02标段。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2.4招标范围：水土保持工程监理，并通过水土保持验收。</w:t>
      </w:r>
    </w:p>
    <w:bookmarkEnd w:id="0"/>
    <w:bookmarkEnd w:id="1"/>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2.5监理服务期限：63.2个月，其中计划施工期39.2个月（2024年5月24日～2027年8月30日），缺陷责任期24个月。</w:t>
      </w:r>
    </w:p>
    <w:p>
      <w:pPr>
        <w:pStyle w:val="30"/>
        <w:keepNext w:val="0"/>
        <w:keepLines w:val="0"/>
        <w:pageBreakBefore w:val="0"/>
        <w:widowControl w:val="0"/>
        <w:kinsoku/>
        <w:wordWrap/>
        <w:overflowPunct/>
        <w:topLinePunct w:val="0"/>
        <w:autoSpaceDE/>
        <w:autoSpaceDN/>
        <w:bidi w:val="0"/>
        <w:snapToGrid w:val="0"/>
        <w:spacing w:line="360" w:lineRule="auto"/>
        <w:textAlignment w:val="auto"/>
        <w:rPr>
          <w:rFonts w:ascii="黑体" w:eastAsia="黑体"/>
          <w:color w:val="000000"/>
          <w:sz w:val="28"/>
          <w:szCs w:val="28"/>
          <w:highlight w:val="none"/>
        </w:rPr>
      </w:pPr>
      <w:r>
        <w:rPr>
          <w:rFonts w:hint="eastAsia" w:ascii="黑体" w:eastAsia="黑体"/>
          <w:color w:val="000000"/>
          <w:sz w:val="28"/>
          <w:szCs w:val="28"/>
          <w:highlight w:val="none"/>
        </w:rPr>
        <w:t>3.投标人资格要求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3.1本次招标要求投标人须具备水土保持工程施工监理甲级资质，近五年内（2019年1月1日后，以水土保持设施验收鉴定书或水土保持设施自主验收报备回执时间为准）完成过1项公路水土保持工程施工监理业绩，</w:t>
      </w:r>
      <w:r>
        <w:rPr>
          <w:rFonts w:hint="eastAsia" w:ascii="宋体" w:hAnsi="宋体"/>
          <w:color w:val="000000"/>
          <w:sz w:val="24"/>
          <w:highlight w:val="none"/>
        </w:rPr>
        <w:t>并在人员、设备方面具有相应的监理能力。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3.2本次招标不接受联合体投标。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3.3每个投标人允许投2个标段，最多中1个标段。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3.4与招标人存在利害关系可能影响招标公正性的单位，不得参加投标。单位负责人为同一人或存在控股、管理关系的不同单位，不得同时参加同一标段投标，否则，相关投标均无效。</w:t>
      </w:r>
    </w:p>
    <w:p>
      <w:pPr>
        <w:keepNext w:val="0"/>
        <w:keepLines w:val="0"/>
        <w:pageBreakBefore w:val="0"/>
        <w:tabs>
          <w:tab w:val="left" w:pos="540"/>
        </w:tabs>
        <w:kinsoku/>
        <w:wordWrap/>
        <w:overflowPunct/>
        <w:topLinePunct w:val="0"/>
        <w:autoSpaceDE/>
        <w:autoSpaceDN/>
        <w:bidi w:val="0"/>
        <w:spacing w:line="360" w:lineRule="exact"/>
        <w:ind w:firstLine="480" w:firstLineChars="200"/>
        <w:textAlignment w:val="auto"/>
        <w:rPr>
          <w:rFonts w:hint="eastAsia" w:ascii="宋体" w:hAnsi="宋体" w:eastAsia="宋体" w:cs="宋体"/>
          <w:sz w:val="21"/>
          <w:szCs w:val="21"/>
          <w:highlight w:val="none"/>
        </w:rPr>
        <w:sectPr>
          <w:pgSz w:w="11906" w:h="16838"/>
          <w:pgMar w:top="1418" w:right="1701" w:bottom="1588" w:left="1701"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Times New Roman"/>
          <w:color w:val="000000"/>
          <w:kern w:val="2"/>
          <w:sz w:val="24"/>
          <w:szCs w:val="24"/>
          <w:highlight w:val="none"/>
          <w:lang w:val="en-US" w:eastAsia="zh-CN" w:bidi="ar-SA"/>
        </w:rPr>
        <w:t>3.5在“信用中国”网站（https://www.creditchina.gov.cn/）中被列入失信被执行人名单的投标人，不得参加投标。</w:t>
      </w:r>
    </w:p>
    <w:p>
      <w:pPr>
        <w:pStyle w:val="5"/>
        <w:keepNext w:val="0"/>
        <w:keepLines w:val="0"/>
        <w:numPr>
          <w:ilvl w:val="0"/>
          <w:numId w:val="0"/>
        </w:numPr>
        <w:spacing w:before="0" w:after="0" w:line="240" w:lineRule="auto"/>
        <w:jc w:val="left"/>
        <w:rPr>
          <w:rFonts w:hint="eastAsia" w:ascii="宋体" w:hAnsi="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4.最低资格条件</w:t>
      </w:r>
    </w:p>
    <w:p>
      <w:pPr>
        <w:widowControl w:val="0"/>
        <w:numPr>
          <w:ilvl w:val="0"/>
          <w:numId w:val="0"/>
        </w:numPr>
        <w:jc w:val="both"/>
        <w:rPr>
          <w:rFonts w:hint="eastAsia"/>
          <w:lang w:val="en-US" w:eastAsia="zh-CN"/>
        </w:rPr>
      </w:pPr>
    </w:p>
    <w:p>
      <w:pPr>
        <w:adjustRightInd w:val="0"/>
        <w:snapToGrid w:val="0"/>
        <w:spacing w:before="120" w:after="120"/>
        <w:jc w:val="center"/>
        <w:rPr>
          <w:rFonts w:hint="eastAsia" w:ascii="黑体" w:eastAsia="黑体"/>
          <w:b/>
          <w:bCs/>
          <w:kern w:val="44"/>
          <w:sz w:val="30"/>
          <w:szCs w:val="30"/>
          <w:highlight w:val="none"/>
        </w:rPr>
      </w:pPr>
      <w:r>
        <w:rPr>
          <w:rFonts w:hint="eastAsia" w:ascii="黑体" w:eastAsia="黑体"/>
          <w:b/>
          <w:bCs/>
          <w:kern w:val="44"/>
          <w:sz w:val="30"/>
          <w:szCs w:val="30"/>
          <w:highlight w:val="none"/>
        </w:rPr>
        <w:t>附录1   资格审查条件(资质最低条件)</w:t>
      </w:r>
    </w:p>
    <w:tbl>
      <w:tblPr>
        <w:tblStyle w:val="15"/>
        <w:tblW w:w="941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79"/>
        <w:gridCol w:w="75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79" w:type="dxa"/>
            <w:noWrap w:val="0"/>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标段</w:t>
            </w:r>
          </w:p>
        </w:tc>
        <w:tc>
          <w:tcPr>
            <w:tcW w:w="7535" w:type="dxa"/>
            <w:noWrap w:val="0"/>
            <w:vAlign w:val="center"/>
          </w:tcPr>
          <w:p>
            <w:pPr>
              <w:jc w:val="center"/>
              <w:rPr>
                <w:rFonts w:hint="eastAsia" w:ascii="宋体" w:hAnsi="宋体"/>
                <w:szCs w:val="21"/>
                <w:highlight w:val="none"/>
              </w:rPr>
            </w:pPr>
            <w:r>
              <w:rPr>
                <w:rFonts w:hint="eastAsia" w:ascii="宋体" w:hAnsi="宋体"/>
                <w:szCs w:val="21"/>
                <w:highlight w:val="none"/>
              </w:rPr>
              <w:t>企业资质等级要求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879" w:type="dxa"/>
            <w:noWrap w:val="0"/>
            <w:vAlign w:val="center"/>
          </w:tcPr>
          <w:p>
            <w:pPr>
              <w:adjustRightInd w:val="0"/>
              <w:snapToGrid w:val="0"/>
              <w:spacing w:before="120" w:beforeLines="50" w:after="120" w:afterLines="50"/>
              <w:rPr>
                <w:rFonts w:hint="default" w:ascii="宋体" w:hAnsi="宋体" w:eastAsia="宋体" w:cs="Times New Roman"/>
                <w:szCs w:val="21"/>
                <w:highlight w:val="none"/>
                <w:lang w:val="en-US"/>
              </w:rPr>
            </w:pPr>
            <w:r>
              <w:rPr>
                <w:rFonts w:hint="eastAsia" w:ascii="宋体" w:hAnsi="宋体" w:eastAsia="宋体" w:cs="Times New Roman"/>
                <w:szCs w:val="21"/>
                <w:highlight w:val="none"/>
                <w:lang w:val="en-US" w:eastAsia="zh-CN"/>
              </w:rPr>
              <w:t>SBJL01、SBJL02</w:t>
            </w:r>
          </w:p>
        </w:tc>
        <w:tc>
          <w:tcPr>
            <w:tcW w:w="7535" w:type="dxa"/>
            <w:noWrap w:val="0"/>
            <w:vAlign w:val="center"/>
          </w:tcPr>
          <w:p>
            <w:pPr>
              <w:adjustRightInd w:val="0"/>
              <w:snapToGrid w:val="0"/>
              <w:spacing w:before="120" w:beforeLines="50" w:after="120" w:afterLines="50"/>
              <w:rPr>
                <w:rFonts w:hint="eastAsia" w:ascii="宋体" w:hAnsi="宋体"/>
                <w:bCs/>
                <w:szCs w:val="21"/>
                <w:highlight w:val="none"/>
              </w:rPr>
            </w:pPr>
            <w:r>
              <w:rPr>
                <w:rFonts w:hint="eastAsia" w:ascii="宋体" w:hAnsi="宋体" w:eastAsia="宋体" w:cs="Times New Roman"/>
                <w:szCs w:val="21"/>
                <w:highlight w:val="none"/>
              </w:rPr>
              <w:t>水土保持工程施工监理甲级资质。</w:t>
            </w:r>
          </w:p>
        </w:tc>
      </w:tr>
    </w:tbl>
    <w:p>
      <w:pPr>
        <w:spacing w:before="120" w:after="120"/>
        <w:jc w:val="center"/>
        <w:rPr>
          <w:rFonts w:hint="eastAsia" w:ascii="隶书" w:hAnsi="宋体" w:eastAsia="隶书"/>
          <w:sz w:val="24"/>
          <w:highlight w:val="none"/>
          <w:vertAlign w:val="superscript"/>
        </w:rPr>
      </w:pPr>
      <w:r>
        <w:rPr>
          <w:rFonts w:hint="eastAsia" w:ascii="黑体" w:eastAsia="黑体"/>
          <w:b/>
          <w:bCs/>
          <w:kern w:val="44"/>
          <w:sz w:val="30"/>
          <w:szCs w:val="30"/>
          <w:highlight w:val="none"/>
        </w:rPr>
        <w:t>附录2   资格审查条件(业绩最低要求)</w:t>
      </w:r>
    </w:p>
    <w:tbl>
      <w:tblPr>
        <w:tblStyle w:val="15"/>
        <w:tblW w:w="94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75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916" w:type="dxa"/>
            <w:noWrap w:val="0"/>
            <w:vAlign w:val="center"/>
          </w:tcPr>
          <w:p>
            <w:pPr>
              <w:jc w:val="center"/>
              <w:rPr>
                <w:rFonts w:hint="eastAsia" w:ascii="宋体" w:hAnsi="宋体"/>
                <w:szCs w:val="21"/>
                <w:highlight w:val="none"/>
              </w:rPr>
            </w:pPr>
            <w:r>
              <w:rPr>
                <w:rFonts w:hint="eastAsia" w:ascii="宋体" w:hAnsi="宋体"/>
                <w:szCs w:val="21"/>
                <w:highlight w:val="none"/>
                <w:lang w:val="en-US" w:eastAsia="zh-CN"/>
              </w:rPr>
              <w:t>标段</w:t>
            </w:r>
          </w:p>
        </w:tc>
        <w:tc>
          <w:tcPr>
            <w:tcW w:w="7512" w:type="dxa"/>
            <w:noWrap w:val="0"/>
            <w:vAlign w:val="center"/>
          </w:tcPr>
          <w:p>
            <w:pPr>
              <w:jc w:val="center"/>
              <w:rPr>
                <w:rFonts w:hint="eastAsia" w:ascii="宋体" w:hAnsi="宋体"/>
                <w:szCs w:val="21"/>
                <w:highlight w:val="none"/>
              </w:rPr>
            </w:pPr>
            <w:r>
              <w:rPr>
                <w:rFonts w:hint="eastAsia" w:ascii="宋体" w:hAnsi="宋体"/>
                <w:szCs w:val="21"/>
                <w:highlight w:val="none"/>
              </w:rPr>
              <w:t>业 绩 要 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1916" w:type="dxa"/>
            <w:noWrap w:val="0"/>
            <w:vAlign w:val="center"/>
          </w:tcPr>
          <w:p>
            <w:pPr>
              <w:adjustRightInd w:val="0"/>
              <w:snapToGrid w:val="0"/>
              <w:spacing w:before="120" w:beforeLines="50" w:after="120" w:afterLines="50"/>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SBJL01、SBJL02</w:t>
            </w:r>
          </w:p>
        </w:tc>
        <w:tc>
          <w:tcPr>
            <w:tcW w:w="7512" w:type="dxa"/>
            <w:noWrap w:val="0"/>
            <w:vAlign w:val="center"/>
          </w:tcPr>
          <w:p>
            <w:pPr>
              <w:adjustRightInd w:val="0"/>
              <w:snapToGrid w:val="0"/>
              <w:spacing w:before="120" w:beforeLines="50" w:after="120" w:afterLines="5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近五年内（2019年1月1日后，以水土保持设施验收鉴定书或水土保持设施自主验收报备回执时间为准）完成过1项公路水土保持工程施工监理业绩。</w:t>
            </w:r>
          </w:p>
        </w:tc>
      </w:tr>
    </w:tbl>
    <w:p>
      <w:pPr>
        <w:spacing w:before="120" w:after="120"/>
        <w:jc w:val="center"/>
        <w:rPr>
          <w:rFonts w:hint="eastAsia" w:ascii="黑体" w:eastAsia="黑体"/>
          <w:b/>
          <w:bCs/>
          <w:kern w:val="44"/>
          <w:sz w:val="30"/>
          <w:szCs w:val="30"/>
          <w:highlight w:val="none"/>
        </w:rPr>
      </w:pPr>
      <w:r>
        <w:rPr>
          <w:rFonts w:hint="eastAsia" w:ascii="黑体" w:eastAsia="黑体"/>
          <w:b/>
          <w:bCs/>
          <w:kern w:val="44"/>
          <w:sz w:val="30"/>
          <w:szCs w:val="30"/>
          <w:highlight w:val="none"/>
        </w:rPr>
        <w:t>附录3   资格审查条件(信誉最低要求)</w:t>
      </w:r>
    </w:p>
    <w:tbl>
      <w:tblPr>
        <w:tblStyle w:val="15"/>
        <w:tblW w:w="911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83"/>
        <w:gridCol w:w="733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07" w:hRule="atLeast"/>
          <w:jc w:val="center"/>
        </w:trPr>
        <w:tc>
          <w:tcPr>
            <w:tcW w:w="1783" w:type="dxa"/>
            <w:noWrap w:val="0"/>
            <w:vAlign w:val="center"/>
          </w:tcPr>
          <w:p>
            <w:pPr>
              <w:jc w:val="center"/>
              <w:rPr>
                <w:rFonts w:hint="eastAsia" w:ascii="宋体" w:hAnsi="宋体"/>
                <w:szCs w:val="21"/>
                <w:highlight w:val="none"/>
              </w:rPr>
            </w:pPr>
            <w:r>
              <w:rPr>
                <w:rFonts w:hint="eastAsia" w:ascii="宋体" w:hAnsi="宋体"/>
                <w:szCs w:val="21"/>
                <w:highlight w:val="none"/>
                <w:lang w:val="en-US" w:eastAsia="zh-CN"/>
              </w:rPr>
              <w:t>标段</w:t>
            </w:r>
          </w:p>
        </w:tc>
        <w:tc>
          <w:tcPr>
            <w:tcW w:w="7333" w:type="dxa"/>
            <w:noWrap w:val="0"/>
            <w:vAlign w:val="center"/>
          </w:tcPr>
          <w:p>
            <w:pPr>
              <w:jc w:val="center"/>
              <w:rPr>
                <w:rFonts w:hint="eastAsia" w:ascii="宋体" w:hAnsi="宋体"/>
                <w:szCs w:val="21"/>
                <w:highlight w:val="none"/>
              </w:rPr>
            </w:pPr>
            <w:r>
              <w:rPr>
                <w:rFonts w:hint="eastAsia" w:ascii="宋体" w:hAnsi="宋体"/>
                <w:szCs w:val="21"/>
                <w:highlight w:val="none"/>
              </w:rPr>
              <w:t>信 誉 要 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1783" w:type="dxa"/>
            <w:noWrap w:val="0"/>
            <w:vAlign w:val="center"/>
          </w:tcPr>
          <w:p>
            <w:pPr>
              <w:adjustRightInd w:val="0"/>
              <w:snapToGrid w:val="0"/>
              <w:spacing w:before="120" w:beforeLines="50" w:after="120" w:afterLines="50"/>
              <w:jc w:val="center"/>
              <w:rPr>
                <w:rFonts w:hint="eastAsia" w:ascii="宋体" w:hAnsi="宋体"/>
                <w:kern w:val="0"/>
                <w:szCs w:val="21"/>
                <w:highlight w:val="none"/>
                <w:lang w:val="zh-CN"/>
              </w:rPr>
            </w:pPr>
            <w:r>
              <w:rPr>
                <w:rFonts w:hint="eastAsia" w:ascii="宋体" w:hAnsi="宋体" w:eastAsia="宋体" w:cs="Times New Roman"/>
                <w:szCs w:val="21"/>
                <w:highlight w:val="none"/>
                <w:lang w:val="en-US" w:eastAsia="zh-CN"/>
              </w:rPr>
              <w:t>SBJL01、SBJL02</w:t>
            </w:r>
          </w:p>
        </w:tc>
        <w:tc>
          <w:tcPr>
            <w:tcW w:w="7333" w:type="dxa"/>
            <w:noWrap w:val="0"/>
            <w:vAlign w:val="center"/>
          </w:tcPr>
          <w:p>
            <w:pPr>
              <w:rPr>
                <w:rFonts w:hint="eastAsia" w:ascii="宋体" w:hAnsi="宋体"/>
                <w:szCs w:val="21"/>
                <w:highlight w:val="none"/>
              </w:rPr>
            </w:pPr>
            <w:r>
              <w:rPr>
                <w:rFonts w:hint="eastAsia" w:ascii="宋体" w:hAnsi="宋体"/>
                <w:kern w:val="0"/>
                <w:szCs w:val="21"/>
                <w:highlight w:val="none"/>
                <w:lang w:val="zh-CN"/>
              </w:rPr>
              <w:t>/</w:t>
            </w:r>
          </w:p>
        </w:tc>
      </w:tr>
    </w:tbl>
    <w:p>
      <w:pPr>
        <w:spacing w:before="120" w:after="120"/>
        <w:jc w:val="center"/>
        <w:rPr>
          <w:rFonts w:hint="eastAsia" w:ascii="隶书" w:hAnsi="宋体" w:eastAsia="隶书"/>
          <w:sz w:val="24"/>
          <w:highlight w:val="none"/>
          <w:vertAlign w:val="superscript"/>
        </w:rPr>
      </w:pPr>
      <w:r>
        <w:rPr>
          <w:rFonts w:hint="eastAsia" w:ascii="黑体" w:eastAsia="黑体"/>
          <w:b/>
          <w:bCs/>
          <w:kern w:val="44"/>
          <w:sz w:val="30"/>
          <w:szCs w:val="30"/>
          <w:highlight w:val="none"/>
        </w:rPr>
        <w:t>附录4   资格审查条件(总监理工程师最低要求)</w:t>
      </w:r>
    </w:p>
    <w:tbl>
      <w:tblPr>
        <w:tblStyle w:val="15"/>
        <w:tblW w:w="908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40"/>
        <w:gridCol w:w="1566"/>
        <w:gridCol w:w="3799"/>
        <w:gridCol w:w="14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1140" w:type="dxa"/>
            <w:noWrap w:val="0"/>
            <w:vAlign w:val="center"/>
          </w:tcPr>
          <w:p>
            <w:pPr>
              <w:jc w:val="center"/>
              <w:rPr>
                <w:rFonts w:hint="eastAsia" w:ascii="宋体" w:hAnsi="宋体"/>
                <w:szCs w:val="21"/>
                <w:highlight w:val="none"/>
              </w:rPr>
            </w:pPr>
            <w:r>
              <w:rPr>
                <w:rFonts w:hint="eastAsia" w:ascii="宋体" w:hAnsi="宋体"/>
                <w:szCs w:val="21"/>
                <w:highlight w:val="none"/>
                <w:lang w:val="en-US" w:eastAsia="zh-CN"/>
              </w:rPr>
              <w:t>标段</w:t>
            </w:r>
          </w:p>
        </w:tc>
        <w:tc>
          <w:tcPr>
            <w:tcW w:w="1140" w:type="dxa"/>
            <w:noWrap w:val="0"/>
            <w:vAlign w:val="center"/>
          </w:tcPr>
          <w:p>
            <w:pPr>
              <w:jc w:val="center"/>
              <w:rPr>
                <w:rFonts w:hint="eastAsia" w:ascii="宋体" w:hAnsi="宋体"/>
                <w:szCs w:val="21"/>
                <w:highlight w:val="none"/>
              </w:rPr>
            </w:pPr>
            <w:r>
              <w:rPr>
                <w:rFonts w:hint="eastAsia" w:ascii="宋体" w:hAnsi="宋体"/>
                <w:szCs w:val="21"/>
                <w:highlight w:val="none"/>
              </w:rPr>
              <w:t>人  员</w:t>
            </w:r>
          </w:p>
        </w:tc>
        <w:tc>
          <w:tcPr>
            <w:tcW w:w="1566" w:type="dxa"/>
            <w:noWrap w:val="0"/>
            <w:vAlign w:val="center"/>
          </w:tcPr>
          <w:p>
            <w:pPr>
              <w:jc w:val="center"/>
              <w:rPr>
                <w:rFonts w:hint="eastAsia" w:ascii="宋体" w:hAnsi="宋体"/>
                <w:szCs w:val="21"/>
                <w:highlight w:val="none"/>
              </w:rPr>
            </w:pPr>
            <w:r>
              <w:rPr>
                <w:rFonts w:hint="eastAsia" w:ascii="宋体" w:hAnsi="宋体"/>
                <w:szCs w:val="21"/>
                <w:highlight w:val="none"/>
              </w:rPr>
              <w:t>数量</w:t>
            </w:r>
          </w:p>
        </w:tc>
        <w:tc>
          <w:tcPr>
            <w:tcW w:w="3799" w:type="dxa"/>
            <w:noWrap w:val="0"/>
            <w:vAlign w:val="center"/>
          </w:tcPr>
          <w:p>
            <w:pPr>
              <w:jc w:val="center"/>
              <w:rPr>
                <w:rFonts w:hint="eastAsia" w:ascii="宋体" w:hAnsi="宋体"/>
                <w:szCs w:val="21"/>
                <w:highlight w:val="none"/>
              </w:rPr>
            </w:pPr>
            <w:r>
              <w:rPr>
                <w:rFonts w:hint="eastAsia" w:ascii="宋体" w:hAnsi="宋体"/>
                <w:szCs w:val="21"/>
                <w:highlight w:val="none"/>
              </w:rPr>
              <w:t>资 格 要 求</w:t>
            </w:r>
          </w:p>
        </w:tc>
        <w:tc>
          <w:tcPr>
            <w:tcW w:w="1438" w:type="dxa"/>
            <w:noWrap w:val="0"/>
            <w:vAlign w:val="center"/>
          </w:tcPr>
          <w:p>
            <w:pPr>
              <w:jc w:val="center"/>
              <w:rPr>
                <w:rFonts w:hint="eastAsia" w:ascii="宋体" w:hAnsi="宋体"/>
                <w:szCs w:val="21"/>
                <w:highlight w:val="none"/>
              </w:rPr>
            </w:pPr>
            <w:r>
              <w:rPr>
                <w:rFonts w:hint="eastAsia" w:ascii="宋体" w:hAnsi="宋体"/>
                <w:szCs w:val="21"/>
                <w:highlight w:val="none"/>
              </w:rPr>
              <w:t>在岗要求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40" w:type="dxa"/>
            <w:noWrap w:val="0"/>
            <w:vAlign w:val="center"/>
          </w:tcPr>
          <w:p>
            <w:pPr>
              <w:adjustRightInd w:val="0"/>
              <w:snapToGrid w:val="0"/>
              <w:spacing w:before="120" w:beforeLines="50" w:after="120" w:afterLines="50"/>
              <w:jc w:val="center"/>
              <w:rPr>
                <w:rFonts w:hint="eastAsia" w:ascii="宋体" w:hAnsi="宋体"/>
                <w:szCs w:val="21"/>
                <w:highlight w:val="none"/>
              </w:rPr>
            </w:pPr>
            <w:r>
              <w:rPr>
                <w:rFonts w:hint="eastAsia" w:ascii="宋体" w:hAnsi="宋体" w:eastAsia="宋体" w:cs="Times New Roman"/>
                <w:szCs w:val="21"/>
                <w:highlight w:val="none"/>
                <w:lang w:val="en-US" w:eastAsia="zh-CN"/>
              </w:rPr>
              <w:t>SBJL01、SBJL02</w:t>
            </w:r>
          </w:p>
        </w:tc>
        <w:tc>
          <w:tcPr>
            <w:tcW w:w="1140" w:type="dxa"/>
            <w:noWrap w:val="0"/>
            <w:vAlign w:val="center"/>
          </w:tcPr>
          <w:p>
            <w:pPr>
              <w:jc w:val="center"/>
              <w:rPr>
                <w:rFonts w:ascii="宋体" w:hAnsi="宋体"/>
                <w:szCs w:val="21"/>
                <w:highlight w:val="none"/>
              </w:rPr>
            </w:pPr>
            <w:r>
              <w:rPr>
                <w:rFonts w:hint="eastAsia" w:ascii="宋体" w:hAnsi="宋体"/>
                <w:szCs w:val="21"/>
                <w:highlight w:val="none"/>
              </w:rPr>
              <w:t>总监理工程师</w:t>
            </w:r>
          </w:p>
        </w:tc>
        <w:tc>
          <w:tcPr>
            <w:tcW w:w="1566" w:type="dxa"/>
            <w:noWrap w:val="0"/>
            <w:vAlign w:val="center"/>
          </w:tcPr>
          <w:p>
            <w:pPr>
              <w:jc w:val="center"/>
              <w:rPr>
                <w:rFonts w:ascii="宋体" w:hAnsi="宋体"/>
                <w:szCs w:val="21"/>
                <w:highlight w:val="none"/>
              </w:rPr>
            </w:pPr>
            <w:r>
              <w:rPr>
                <w:rFonts w:hint="eastAsia" w:ascii="宋体" w:hAnsi="宋体"/>
                <w:szCs w:val="21"/>
                <w:highlight w:val="none"/>
              </w:rPr>
              <w:t>1</w:t>
            </w:r>
          </w:p>
        </w:tc>
        <w:tc>
          <w:tcPr>
            <w:tcW w:w="3799" w:type="dxa"/>
            <w:noWrap w:val="0"/>
            <w:vAlign w:val="center"/>
          </w:tcPr>
          <w:p>
            <w:pPr>
              <w:spacing w:line="36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（1）投标人自有人员；</w:t>
            </w:r>
          </w:p>
          <w:p>
            <w:pPr>
              <w:spacing w:line="36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（2）相关专业高级工程师职称；</w:t>
            </w:r>
          </w:p>
          <w:p>
            <w:pPr>
              <w:spacing w:line="360" w:lineRule="exact"/>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（3）具有《监理工程师注册证书》（水土保持工程施工监理）；</w:t>
            </w:r>
          </w:p>
          <w:p>
            <w:pPr>
              <w:spacing w:line="36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担任过1项</w:t>
            </w:r>
            <w:r>
              <w:rPr>
                <w:rFonts w:hint="eastAsia" w:ascii="宋体" w:hAnsi="宋体" w:eastAsia="宋体" w:cs="Times New Roman"/>
                <w:szCs w:val="21"/>
                <w:highlight w:val="none"/>
                <w:lang w:val="en-US" w:eastAsia="zh-CN"/>
              </w:rPr>
              <w:t>公路水土保持工程施工监理的</w:t>
            </w:r>
            <w:r>
              <w:rPr>
                <w:rFonts w:hint="eastAsia" w:ascii="宋体" w:hAnsi="宋体" w:eastAsia="宋体" w:cs="Times New Roman"/>
                <w:szCs w:val="21"/>
                <w:highlight w:val="none"/>
              </w:rPr>
              <w:t>总监理工程师</w:t>
            </w:r>
            <w:r>
              <w:rPr>
                <w:rFonts w:hint="eastAsia" w:ascii="宋体" w:hAnsi="宋体" w:eastAsia="宋体" w:cs="Times New Roman"/>
                <w:szCs w:val="21"/>
                <w:highlight w:val="none"/>
                <w:lang w:eastAsia="zh-CN"/>
              </w:rPr>
              <w:t>。</w:t>
            </w:r>
          </w:p>
        </w:tc>
        <w:tc>
          <w:tcPr>
            <w:tcW w:w="1438" w:type="dxa"/>
            <w:noWrap w:val="0"/>
            <w:vAlign w:val="center"/>
          </w:tcPr>
          <w:p>
            <w:pPr>
              <w:spacing w:line="360" w:lineRule="exact"/>
              <w:jc w:val="left"/>
              <w:rPr>
                <w:rFonts w:hint="eastAsia" w:ascii="宋体" w:hAnsi="宋体" w:eastAsia="宋体" w:cs="Times New Roman"/>
                <w:szCs w:val="21"/>
                <w:highlight w:val="none"/>
              </w:rPr>
            </w:pPr>
            <w:r>
              <w:rPr>
                <w:rFonts w:hint="eastAsia" w:ascii="宋体" w:hAnsi="宋体" w:eastAsia="宋体" w:cs="Times New Roman"/>
                <w:szCs w:val="21"/>
                <w:highlight w:val="none"/>
              </w:rPr>
              <w:t>无在岗项目（指目前未在其他项目上任职，或虽在其他项目上任职但本项目中标后能够从该项目撤离）</w:t>
            </w:r>
          </w:p>
        </w:tc>
      </w:tr>
    </w:tbl>
    <w:p>
      <w:pPr>
        <w:rPr>
          <w:rFonts w:hint="eastAsia"/>
          <w:color w:val="000000"/>
          <w:highlight w:val="none"/>
        </w:rPr>
      </w:pPr>
    </w:p>
    <w:p>
      <w:pPr>
        <w:rPr>
          <w:rFonts w:hint="eastAsia" w:ascii="楷体" w:hAnsi="楷体" w:eastAsia="楷体" w:cs="Times New Roman"/>
          <w:color w:val="000000"/>
          <w:highlight w:val="none"/>
          <w:lang w:val="zh-CN"/>
        </w:rPr>
      </w:pPr>
      <w:r>
        <w:rPr>
          <w:rFonts w:hint="eastAsia" w:ascii="楷体" w:hAnsi="楷体" w:eastAsia="楷体"/>
          <w:color w:val="000000"/>
          <w:highlight w:val="none"/>
          <w:lang w:val="zh-CN"/>
        </w:rPr>
        <w:t>注： “投标人自有人员”指投标人为其申报社会保险登记，并为其缴纳社会保险费的人员。如果投标人属事业法人单位，则由投标人的上级行政主管部门出具拟委任的总监理工程师是投标人单位职工的有效书面证明材料。</w:t>
      </w:r>
    </w:p>
    <w:p>
      <w:pPr>
        <w:rPr>
          <w:rFonts w:hint="eastAsia"/>
          <w:lang w:val="en-US" w:eastAsia="zh-CN"/>
        </w:rPr>
        <w:sectPr>
          <w:headerReference r:id="rId3" w:type="default"/>
          <w:pgSz w:w="11906" w:h="16838"/>
          <w:pgMar w:top="1418" w:right="1701" w:bottom="1588" w:left="1701" w:header="851" w:footer="992" w:gutter="0"/>
          <w:pgBorders>
            <w:top w:val="none" w:sz="0" w:space="0"/>
            <w:left w:val="none" w:sz="0" w:space="0"/>
            <w:bottom w:val="none" w:sz="0" w:space="0"/>
            <w:right w:val="none" w:sz="0" w:space="0"/>
          </w:pgBorders>
          <w:cols w:space="720" w:num="1"/>
          <w:docGrid w:linePitch="312" w:charSpace="0"/>
        </w:sectPr>
      </w:pPr>
    </w:p>
    <w:p>
      <w:pPr>
        <w:pStyle w:val="6"/>
        <w:pageBreakBefore w:val="0"/>
        <w:numPr>
          <w:ilvl w:val="0"/>
          <w:numId w:val="0"/>
        </w:numPr>
        <w:kinsoku/>
        <w:wordWrap/>
        <w:overflowPunct/>
        <w:topLinePunct w:val="0"/>
        <w:autoSpaceDE/>
        <w:autoSpaceDN/>
        <w:bidi w:val="0"/>
        <w:adjustRightInd/>
        <w:spacing w:before="0" w:beforeLines="0" w:after="0" w:afterLines="0" w:line="360" w:lineRule="exact"/>
        <w:rPr>
          <w:rFonts w:hint="eastAsia" w:ascii="宋体" w:hAnsi="宋体" w:eastAsia="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5</w:t>
      </w:r>
      <w:r>
        <w:rPr>
          <w:rFonts w:hint="eastAsia" w:ascii="宋体" w:hAnsi="宋体" w:eastAsia="宋体" w:cs="宋体"/>
          <w:b/>
          <w:bCs/>
          <w:color w:val="000000"/>
          <w:kern w:val="44"/>
          <w:sz w:val="24"/>
          <w:szCs w:val="24"/>
          <w:highlight w:val="none"/>
          <w:lang w:val="en-US" w:eastAsia="zh-CN"/>
        </w:rPr>
        <w:t>.评标办法（综合评</w:t>
      </w:r>
      <w:r>
        <w:rPr>
          <w:rFonts w:hint="eastAsia" w:ascii="宋体" w:hAnsi="宋体" w:cs="宋体"/>
          <w:b/>
          <w:bCs/>
          <w:color w:val="000000"/>
          <w:kern w:val="44"/>
          <w:sz w:val="24"/>
          <w:szCs w:val="24"/>
          <w:highlight w:val="none"/>
          <w:lang w:val="en-US" w:eastAsia="zh-CN"/>
        </w:rPr>
        <w:t>估</w:t>
      </w:r>
      <w:r>
        <w:rPr>
          <w:rFonts w:hint="eastAsia" w:ascii="宋体" w:hAnsi="宋体" w:eastAsia="宋体" w:cs="宋体"/>
          <w:b/>
          <w:bCs/>
          <w:color w:val="000000"/>
          <w:kern w:val="44"/>
          <w:sz w:val="24"/>
          <w:szCs w:val="24"/>
          <w:highlight w:val="none"/>
          <w:lang w:val="en-US" w:eastAsia="zh-CN"/>
        </w:rPr>
        <w:t>法）</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b/>
          <w:bCs/>
          <w:color w:val="000000"/>
          <w:kern w:val="44"/>
          <w:sz w:val="24"/>
          <w:szCs w:val="24"/>
          <w:highlight w:val="none"/>
          <w:lang w:val="en-US" w:eastAsia="zh-CN" w:bidi="ar-SA"/>
        </w:rPr>
      </w:pPr>
      <w:bookmarkStart w:id="2" w:name="_Toc31589"/>
      <w:bookmarkStart w:id="3" w:name="_Toc462671353"/>
      <w:bookmarkStart w:id="4" w:name="_Toc448495594"/>
      <w:r>
        <w:rPr>
          <w:rFonts w:hint="eastAsia" w:ascii="宋体" w:hAnsi="宋体" w:eastAsia="宋体" w:cs="宋体"/>
          <w:b/>
          <w:bCs/>
          <w:color w:val="000000"/>
          <w:kern w:val="44"/>
          <w:sz w:val="24"/>
          <w:szCs w:val="24"/>
          <w:highlight w:val="none"/>
          <w:lang w:val="en-US" w:eastAsia="zh-CN" w:bidi="ar-SA"/>
        </w:rPr>
        <w:t>评标办法前附表</w:t>
      </w:r>
      <w:bookmarkEnd w:id="2"/>
      <w:bookmarkEnd w:id="3"/>
    </w:p>
    <w:tbl>
      <w:tblPr>
        <w:tblStyle w:val="15"/>
        <w:tblW w:w="5162"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01"/>
        <w:gridCol w:w="1234"/>
        <w:gridCol w:w="2465"/>
        <w:gridCol w:w="419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条款号</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评审因素</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1" w:hRule="atLeast"/>
        </w:trPr>
        <w:tc>
          <w:tcPr>
            <w:tcW w:w="40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1</w:t>
            </w:r>
          </w:p>
        </w:tc>
        <w:tc>
          <w:tcPr>
            <w:tcW w:w="71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评标办法</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中标候选人排序方法</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spacing w:line="320" w:lineRule="exact"/>
              <w:ind w:left="113" w:leftChars="54" w:right="113" w:firstLine="315" w:firstLineChars="150"/>
              <w:rPr>
                <w:rFonts w:ascii="宋体" w:hAnsi="宋体"/>
                <w:szCs w:val="21"/>
                <w:highlight w:val="none"/>
              </w:rPr>
            </w:pPr>
            <w:r>
              <w:rPr>
                <w:rFonts w:hint="eastAsia" w:ascii="宋体" w:hAnsi="宋体"/>
                <w:szCs w:val="21"/>
                <w:highlight w:val="none"/>
              </w:rPr>
              <w:t>本次评标采用综合评估法。评标委员会对满足招标文件实质性要求的投标文件，按照本章第2.2款规定的评分标准进行打分，按照综合得分由高至低排序，推荐得分最高者为中标候选人，但投标报价低于其成本的除外。综合评分相等时，评标委员会依次按照以下优先顺序推荐中标候选人：</w:t>
            </w:r>
          </w:p>
          <w:p>
            <w:pPr>
              <w:spacing w:line="320" w:lineRule="exact"/>
              <w:ind w:left="113" w:right="113" w:firstLine="210" w:firstLineChars="100"/>
              <w:rPr>
                <w:rFonts w:ascii="宋体" w:hAnsi="宋体"/>
                <w:szCs w:val="21"/>
                <w:highlight w:val="none"/>
              </w:rPr>
            </w:pPr>
            <w:r>
              <w:rPr>
                <w:rFonts w:hint="eastAsia" w:ascii="宋体" w:hAnsi="宋体"/>
                <w:szCs w:val="21"/>
                <w:highlight w:val="none"/>
              </w:rPr>
              <w:t>（1）评标价低的优先；</w:t>
            </w:r>
          </w:p>
          <w:p>
            <w:pPr>
              <w:spacing w:line="320" w:lineRule="exact"/>
              <w:ind w:left="113" w:right="113" w:firstLine="210" w:firstLineChars="100"/>
              <w:rPr>
                <w:rFonts w:hint="eastAsia" w:ascii="宋体" w:hAnsi="宋体"/>
                <w:szCs w:val="21"/>
                <w:highlight w:val="none"/>
              </w:rPr>
            </w:pPr>
            <w:r>
              <w:rPr>
                <w:rFonts w:hint="eastAsia" w:ascii="宋体" w:hAnsi="宋体"/>
                <w:szCs w:val="21"/>
                <w:highlight w:val="none"/>
              </w:rPr>
              <w:t>（2）履约信誉得分较高的优先；</w:t>
            </w:r>
          </w:p>
          <w:p>
            <w:pPr>
              <w:spacing w:line="320" w:lineRule="exact"/>
              <w:ind w:left="113" w:right="113" w:firstLine="210" w:firstLineChars="100"/>
              <w:rPr>
                <w:rFonts w:hint="eastAsia" w:ascii="宋体" w:hAnsi="宋体"/>
                <w:szCs w:val="21"/>
                <w:highlight w:val="none"/>
              </w:rPr>
            </w:pPr>
            <w:r>
              <w:rPr>
                <w:rFonts w:hint="eastAsia" w:ascii="宋体" w:hAnsi="宋体"/>
                <w:szCs w:val="21"/>
                <w:highlight w:val="none"/>
              </w:rPr>
              <w:t>（3）商务和技术得分较高的优先；</w:t>
            </w:r>
          </w:p>
          <w:p>
            <w:pPr>
              <w:spacing w:line="320" w:lineRule="exact"/>
              <w:ind w:left="113" w:right="113" w:firstLine="210" w:firstLineChars="100"/>
              <w:rPr>
                <w:color w:val="000000"/>
                <w:highlight w:val="none"/>
              </w:rPr>
            </w:pPr>
            <w:r>
              <w:rPr>
                <w:rFonts w:hint="eastAsia" w:ascii="宋体" w:hAnsi="宋体"/>
                <w:szCs w:val="21"/>
                <w:highlight w:val="none"/>
              </w:rPr>
              <w:t>（4）评委会投票表决，推荐票数多的优先。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restart"/>
            <w:tcBorders>
              <w:top w:val="outset" w:color="auto" w:sz="6" w:space="0"/>
              <w:left w:val="outset" w:color="auto" w:sz="6" w:space="0"/>
              <w:right w:val="outset" w:color="auto" w:sz="6" w:space="0"/>
            </w:tcBorders>
            <w:noWrap w:val="0"/>
            <w:vAlign w:val="center"/>
          </w:tcPr>
          <w:p>
            <w:pPr>
              <w:jc w:val="left"/>
              <w:rPr>
                <w:color w:val="000000"/>
                <w:highlight w:val="none"/>
              </w:rPr>
            </w:pPr>
            <w:r>
              <w:rPr>
                <w:color w:val="000000"/>
                <w:highlight w:val="none"/>
              </w:rPr>
              <w:t>2.1.1</w:t>
            </w:r>
          </w:p>
        </w:tc>
        <w:tc>
          <w:tcPr>
            <w:tcW w:w="718" w:type="pct"/>
            <w:vMerge w:val="restart"/>
            <w:tcBorders>
              <w:top w:val="outset" w:color="auto" w:sz="6" w:space="0"/>
              <w:left w:val="outset" w:color="auto" w:sz="6" w:space="0"/>
              <w:right w:val="outset" w:color="auto" w:sz="6" w:space="0"/>
            </w:tcBorders>
            <w:noWrap w:val="0"/>
            <w:vAlign w:val="center"/>
          </w:tcPr>
          <w:p>
            <w:pPr>
              <w:jc w:val="center"/>
              <w:rPr>
                <w:rFonts w:hint="eastAsia"/>
                <w:color w:val="000000"/>
                <w:highlight w:val="none"/>
              </w:rPr>
            </w:pPr>
            <w:r>
              <w:rPr>
                <w:color w:val="000000"/>
                <w:highlight w:val="none"/>
              </w:rPr>
              <w:t>形式评审</w:t>
            </w:r>
          </w:p>
          <w:p>
            <w:pPr>
              <w:jc w:val="center"/>
              <w:rPr>
                <w:color w:val="000000"/>
                <w:highlight w:val="none"/>
              </w:rPr>
            </w:pPr>
            <w:r>
              <w:rPr>
                <w:color w:val="000000"/>
                <w:highlight w:val="none"/>
              </w:rPr>
              <w:t>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投标人名称</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投标函</w:t>
            </w:r>
            <w:r>
              <w:rPr>
                <w:rFonts w:hint="eastAsia"/>
                <w:color w:val="000000"/>
                <w:highlight w:val="none"/>
              </w:rPr>
              <w:t>及投标函附录</w:t>
            </w:r>
            <w:r>
              <w:rPr>
                <w:color w:val="000000"/>
                <w:highlight w:val="none"/>
              </w:rPr>
              <w:t>签字盖章</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有法定代表人或其委托代理人签字</w:t>
            </w:r>
            <w:r>
              <w:rPr>
                <w:rFonts w:hint="eastAsia"/>
                <w:color w:val="000000"/>
                <w:highlight w:val="none"/>
              </w:rPr>
              <w:t>并</w:t>
            </w:r>
            <w:r>
              <w:rPr>
                <w:color w:val="000000"/>
                <w:highlight w:val="none"/>
              </w:rPr>
              <w:t>加盖单位章。</w:t>
            </w:r>
            <w:r>
              <w:rPr>
                <w:rFonts w:hint="eastAsia"/>
                <w:color w:val="000000"/>
                <w:highlight w:val="none"/>
              </w:rPr>
              <w:t>由法定代表人签字的，应附法定代表人身份证明，由代理人签字的，应附授权委托书，身份证明或授权委托书应符合第六章“投标文件格式”的规定。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投标文件格式</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w:t>
            </w:r>
            <w:r>
              <w:rPr>
                <w:rFonts w:hint="eastAsia"/>
                <w:color w:val="000000"/>
                <w:highlight w:val="none"/>
              </w:rPr>
              <w:t>六</w:t>
            </w:r>
            <w:r>
              <w:rPr>
                <w:color w:val="000000"/>
                <w:highlight w:val="none"/>
              </w:rPr>
              <w:t>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联合体投标人</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ascii="宋体" w:hAnsi="宋体"/>
                <w:szCs w:val="21"/>
                <w:highlight w:val="none"/>
              </w:rPr>
              <w:t>投标人未以联合体形式投标。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备选投标方案</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投标人</w:t>
            </w:r>
            <w:r>
              <w:rPr>
                <w:rFonts w:hint="eastAsia"/>
                <w:color w:val="000000"/>
                <w:highlight w:val="none"/>
                <w:lang w:val="en-US" w:eastAsia="zh-CN"/>
              </w:rPr>
              <w:t>未</w:t>
            </w:r>
            <w:r>
              <w:rPr>
                <w:rFonts w:hint="eastAsia"/>
                <w:color w:val="000000"/>
                <w:highlight w:val="none"/>
              </w:rPr>
              <w:t>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投标保证金</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投标人按照招标文件的规定提供了投标保证金：</w:t>
            </w:r>
          </w:p>
          <w:p>
            <w:pPr>
              <w:jc w:val="left"/>
              <w:rPr>
                <w:rFonts w:hint="eastAsia" w:eastAsia="宋体" w:cs="Times New Roman"/>
                <w:color w:val="000000"/>
                <w:highlight w:val="none"/>
              </w:rPr>
            </w:pPr>
            <w:r>
              <w:rPr>
                <w:rFonts w:hint="eastAsia" w:eastAsia="宋体" w:cs="Times New Roman"/>
                <w:color w:val="000000"/>
                <w:highlight w:val="none"/>
              </w:rPr>
              <w:t>a.投标保证金金额符合招标文件规定的金额，且投标保证金有效期不少于投标有效期；</w:t>
            </w:r>
          </w:p>
          <w:p>
            <w:pPr>
              <w:jc w:val="left"/>
              <w:rPr>
                <w:rFonts w:hint="eastAsia" w:eastAsia="宋体" w:cs="Times New Roman"/>
                <w:color w:val="000000"/>
                <w:highlight w:val="none"/>
              </w:rPr>
            </w:pPr>
            <w:r>
              <w:rPr>
                <w:rFonts w:hint="eastAsia" w:eastAsia="宋体" w:cs="Times New Roman"/>
                <w:color w:val="000000"/>
                <w:highlight w:val="none"/>
              </w:rPr>
              <w:t>b.若投标保证金采用现金或支票形式提交，投标人应在</w:t>
            </w:r>
            <w:r>
              <w:rPr>
                <w:rFonts w:hint="eastAsia" w:eastAsia="宋体" w:cs="Times New Roman"/>
                <w:color w:val="000000"/>
                <w:highlight w:val="none"/>
                <w:lang w:val="zh-CN"/>
              </w:rPr>
              <w:t>投标</w:t>
            </w:r>
            <w:r>
              <w:rPr>
                <w:rFonts w:hint="eastAsia" w:eastAsia="宋体" w:cs="Times New Roman"/>
                <w:color w:val="000000"/>
                <w:highlight w:val="none"/>
              </w:rPr>
              <w:t>截止时间之前，将投标保证金由投标人的基本账户一次性转入并到达招标人指定账户；</w:t>
            </w:r>
          </w:p>
          <w:p>
            <w:pPr>
              <w:jc w:val="left"/>
              <w:rPr>
                <w:rFonts w:hint="eastAsia" w:eastAsia="宋体" w:cs="Times New Roman"/>
                <w:color w:val="000000"/>
                <w:highlight w:val="none"/>
              </w:rPr>
            </w:pPr>
            <w:r>
              <w:rPr>
                <w:rFonts w:hint="eastAsia" w:eastAsia="宋体" w:cs="Times New Roman"/>
                <w:color w:val="000000"/>
                <w:highlight w:val="none"/>
              </w:rPr>
              <w:t>c.若投标保证金采用银行保函形式提交，银行保函的格式、开具保函的银行均满足招标文件要求，且在</w:t>
            </w:r>
            <w:r>
              <w:rPr>
                <w:rFonts w:hint="eastAsia" w:eastAsia="宋体" w:cs="Times New Roman"/>
                <w:color w:val="000000"/>
                <w:highlight w:val="none"/>
                <w:lang w:val="zh-CN"/>
              </w:rPr>
              <w:t>投标</w:t>
            </w:r>
            <w:r>
              <w:rPr>
                <w:rFonts w:hint="eastAsia" w:eastAsia="宋体" w:cs="Times New Roman"/>
                <w:color w:val="000000"/>
                <w:highlight w:val="none"/>
              </w:rPr>
              <w:t>截止时间之前向招标人提交了银行保函原件。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完成期限</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投标文件载明的招标项目完成期限符合招标文件规定。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实质性要求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投标文件对招标文件的实质性要求和条件作出响应。</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权利义务</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权利义务符合招标文件规定：</w:t>
            </w:r>
          </w:p>
          <w:p>
            <w:pPr>
              <w:jc w:val="left"/>
              <w:rPr>
                <w:rFonts w:hint="eastAsia" w:eastAsia="宋体" w:cs="Times New Roman"/>
                <w:color w:val="000000"/>
                <w:highlight w:val="none"/>
              </w:rPr>
            </w:pPr>
            <w:r>
              <w:rPr>
                <w:rFonts w:hint="eastAsia" w:eastAsia="宋体" w:cs="Times New Roman"/>
                <w:color w:val="000000"/>
                <w:highlight w:val="none"/>
              </w:rPr>
              <w:t>a.投标人应接受招标文件规定的风险划分原则，未提出新的风险划分办法；</w:t>
            </w:r>
          </w:p>
          <w:p>
            <w:pPr>
              <w:jc w:val="left"/>
              <w:rPr>
                <w:rFonts w:hint="eastAsia" w:eastAsia="宋体" w:cs="Times New Roman"/>
                <w:color w:val="000000"/>
                <w:highlight w:val="none"/>
              </w:rPr>
            </w:pPr>
            <w:r>
              <w:rPr>
                <w:rFonts w:hint="eastAsia" w:eastAsia="宋体" w:cs="Times New Roman"/>
                <w:color w:val="000000"/>
                <w:highlight w:val="none"/>
              </w:rPr>
              <w:t>b.投标人未增加委托人的责任范围，或减少投标人义务；</w:t>
            </w:r>
          </w:p>
          <w:p>
            <w:pPr>
              <w:jc w:val="left"/>
              <w:rPr>
                <w:rFonts w:hint="eastAsia" w:eastAsia="宋体" w:cs="Times New Roman"/>
                <w:color w:val="000000"/>
                <w:highlight w:val="none"/>
              </w:rPr>
            </w:pPr>
            <w:r>
              <w:rPr>
                <w:rFonts w:hint="eastAsia" w:eastAsia="宋体" w:cs="Times New Roman"/>
                <w:color w:val="000000"/>
                <w:highlight w:val="none"/>
              </w:rPr>
              <w:t>c.投标人未提出不同的支付办法；</w:t>
            </w:r>
          </w:p>
          <w:p>
            <w:pPr>
              <w:jc w:val="left"/>
              <w:rPr>
                <w:rFonts w:hint="eastAsia" w:eastAsia="宋体" w:cs="Times New Roman"/>
                <w:color w:val="000000"/>
                <w:highlight w:val="none"/>
              </w:rPr>
            </w:pPr>
            <w:r>
              <w:rPr>
                <w:rFonts w:hint="eastAsia" w:eastAsia="宋体" w:cs="Times New Roman"/>
                <w:color w:val="000000"/>
                <w:highlight w:val="none"/>
              </w:rPr>
              <w:t>d.投标人对合同纠纷、事故处理办法未提出异议；</w:t>
            </w:r>
          </w:p>
          <w:p>
            <w:pPr>
              <w:jc w:val="left"/>
              <w:rPr>
                <w:rFonts w:hint="eastAsia" w:eastAsia="宋体" w:cs="Times New Roman"/>
                <w:color w:val="000000"/>
                <w:highlight w:val="none"/>
              </w:rPr>
            </w:pPr>
            <w:r>
              <w:rPr>
                <w:rFonts w:hint="eastAsia" w:eastAsia="宋体" w:cs="Times New Roman"/>
                <w:color w:val="000000"/>
                <w:highlight w:val="none"/>
              </w:rPr>
              <w:t>e.投标人在投标活动中无欺诈行为；</w:t>
            </w:r>
          </w:p>
          <w:p>
            <w:pPr>
              <w:jc w:val="left"/>
              <w:rPr>
                <w:rFonts w:hint="eastAsia" w:eastAsia="宋体" w:cs="Times New Roman"/>
                <w:color w:val="000000"/>
                <w:highlight w:val="none"/>
              </w:rPr>
            </w:pPr>
            <w:r>
              <w:rPr>
                <w:rFonts w:hint="eastAsia" w:eastAsia="宋体" w:cs="Times New Roman"/>
                <w:color w:val="000000"/>
                <w:highlight w:val="none"/>
              </w:rPr>
              <w:t>f.投标人未对合同条款有重要保留。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lang w:val="en-US" w:eastAsia="zh-CN"/>
              </w:rPr>
            </w:pPr>
            <w:r>
              <w:rPr>
                <w:rFonts w:hint="eastAsia" w:eastAsia="宋体" w:cs="Times New Roman"/>
                <w:color w:val="000000"/>
                <w:highlight w:val="none"/>
              </w:rPr>
              <w:t>投标文件正、副本份数</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投标文件正、副本份数符合招标文件第二章“投标人须知”第3.7.4项规定。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restart"/>
            <w:tcBorders>
              <w:top w:val="outset" w:color="auto" w:sz="6" w:space="0"/>
              <w:left w:val="outset" w:color="auto" w:sz="6" w:space="0"/>
              <w:right w:val="outset" w:color="auto" w:sz="6" w:space="0"/>
            </w:tcBorders>
            <w:noWrap w:val="0"/>
            <w:vAlign w:val="center"/>
          </w:tcPr>
          <w:p>
            <w:pPr>
              <w:jc w:val="left"/>
              <w:rPr>
                <w:color w:val="000000"/>
                <w:highlight w:val="none"/>
              </w:rPr>
            </w:pPr>
            <w:r>
              <w:rPr>
                <w:color w:val="000000"/>
                <w:highlight w:val="none"/>
              </w:rPr>
              <w:t>2.1.2</w:t>
            </w:r>
          </w:p>
        </w:tc>
        <w:tc>
          <w:tcPr>
            <w:tcW w:w="718" w:type="pct"/>
            <w:vMerge w:val="restart"/>
            <w:tcBorders>
              <w:top w:val="outset" w:color="auto" w:sz="6" w:space="0"/>
              <w:left w:val="outset" w:color="auto" w:sz="6" w:space="0"/>
              <w:right w:val="outset" w:color="auto" w:sz="6" w:space="0"/>
            </w:tcBorders>
            <w:noWrap w:val="0"/>
            <w:vAlign w:val="center"/>
          </w:tcPr>
          <w:p>
            <w:pPr>
              <w:jc w:val="center"/>
              <w:rPr>
                <w:rFonts w:hint="eastAsia"/>
                <w:color w:val="000000"/>
                <w:highlight w:val="none"/>
              </w:rPr>
            </w:pPr>
            <w:r>
              <w:rPr>
                <w:color w:val="000000"/>
                <w:highlight w:val="none"/>
              </w:rPr>
              <w:t>资格评审</w:t>
            </w:r>
          </w:p>
          <w:p>
            <w:pPr>
              <w:jc w:val="center"/>
              <w:rPr>
                <w:color w:val="000000"/>
                <w:highlight w:val="none"/>
              </w:rPr>
            </w:pPr>
            <w:r>
              <w:rPr>
                <w:color w:val="000000"/>
                <w:highlight w:val="none"/>
              </w:rPr>
              <w:t>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营业执照和组织机构代码证</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符合第二章“投标人须知” 第3.5.1项规定，具备有效的营业执照和组织机构代码证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资质要求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财务</w:t>
            </w:r>
            <w:r>
              <w:rPr>
                <w:rFonts w:hint="eastAsia"/>
                <w:color w:val="000000"/>
                <w:highlight w:val="none"/>
              </w:rPr>
              <w:t>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业绩</w:t>
            </w:r>
            <w:r>
              <w:rPr>
                <w:rFonts w:hint="eastAsia"/>
                <w:color w:val="000000"/>
                <w:highlight w:val="none"/>
              </w:rPr>
              <w:t>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信誉</w:t>
            </w:r>
            <w:r>
              <w:rPr>
                <w:rFonts w:hint="eastAsia"/>
                <w:color w:val="000000"/>
                <w:highlight w:val="none"/>
              </w:rPr>
              <w:t>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总监理工程师</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其他主要人员</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试验检测仪器要求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其他要求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联合体投标人</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w:t>
            </w:r>
            <w:r>
              <w:rPr>
                <w:rFonts w:hint="eastAsia"/>
                <w:color w:val="000000"/>
                <w:highlight w:val="none"/>
              </w:rPr>
              <w:t>2</w:t>
            </w:r>
            <w:r>
              <w:rPr>
                <w:color w:val="000000"/>
                <w:highlight w:val="none"/>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不存在禁止投标的情形</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不存在</w:t>
            </w:r>
            <w:r>
              <w:rPr>
                <w:color w:val="000000"/>
                <w:highlight w:val="none"/>
              </w:rPr>
              <w:t>第二章“投标人须知”第1.4.</w:t>
            </w:r>
            <w:r>
              <w:rPr>
                <w:rFonts w:hint="eastAsia"/>
                <w:color w:val="000000"/>
                <w:highlight w:val="none"/>
              </w:rPr>
              <w:t>3</w:t>
            </w:r>
            <w:r>
              <w:rPr>
                <w:color w:val="000000"/>
                <w:highlight w:val="none"/>
              </w:rPr>
              <w:t>项规定</w:t>
            </w:r>
            <w:r>
              <w:rPr>
                <w:rFonts w:hint="eastAsia"/>
                <w:color w:val="000000"/>
                <w:highlight w:val="none"/>
              </w:rPr>
              <w:t>的任何一种情形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restar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2.1.3</w:t>
            </w:r>
          </w:p>
        </w:tc>
        <w:tc>
          <w:tcPr>
            <w:tcW w:w="718"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响应性评审标准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投标报价</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符合第二</w:t>
            </w:r>
            <w:r>
              <w:rPr>
                <w:color w:val="000000"/>
                <w:highlight w:val="none"/>
              </w:rPr>
              <w:t>章“投标人须知”第</w:t>
            </w:r>
            <w:r>
              <w:rPr>
                <w:rFonts w:hint="eastAsia"/>
                <w:color w:val="000000"/>
                <w:highlight w:val="none"/>
              </w:rPr>
              <w:t>3.2款</w:t>
            </w:r>
            <w:r>
              <w:rPr>
                <w:color w:val="000000"/>
                <w:highlight w:val="none"/>
              </w:rPr>
              <w:t>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投标内容</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监理服务期限</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符合第二章“投标人须知”第1.3.</w:t>
            </w:r>
            <w:r>
              <w:rPr>
                <w:rFonts w:hint="eastAsia"/>
                <w:color w:val="000000"/>
                <w:highlight w:val="none"/>
              </w:rPr>
              <w:t>2</w:t>
            </w:r>
            <w:r>
              <w:rPr>
                <w:color w:val="000000"/>
                <w:highlight w:val="none"/>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质量标准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符合第二章“投标人须知”第1.3.</w:t>
            </w:r>
            <w:r>
              <w:rPr>
                <w:rFonts w:hint="eastAsia"/>
                <w:color w:val="000000"/>
                <w:highlight w:val="none"/>
              </w:rPr>
              <w:t>3</w:t>
            </w:r>
            <w:r>
              <w:rPr>
                <w:color w:val="000000"/>
                <w:highlight w:val="none"/>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投标有效期</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投标保证金</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权利义务</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w:t>
            </w:r>
            <w:r>
              <w:rPr>
                <w:rFonts w:hint="eastAsia"/>
                <w:color w:val="000000"/>
                <w:highlight w:val="none"/>
              </w:rPr>
              <w:t>1.12.1</w:t>
            </w:r>
            <w:r>
              <w:rPr>
                <w:color w:val="000000"/>
                <w:highlight w:val="none"/>
              </w:rPr>
              <w:t>项规定</w:t>
            </w:r>
            <w:r>
              <w:rPr>
                <w:rFonts w:hint="eastAsia"/>
                <w:color w:val="000000"/>
                <w:highlight w:val="none"/>
              </w:rPr>
              <w:t>和第四章“合同条款及格式”中的实质性要求和条件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监理大纲</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w:t>
            </w:r>
            <w:r>
              <w:rPr>
                <w:rFonts w:hint="eastAsia"/>
                <w:color w:val="000000"/>
                <w:highlight w:val="none"/>
              </w:rPr>
              <w:t>五</w:t>
            </w:r>
            <w:r>
              <w:rPr>
                <w:color w:val="000000"/>
                <w:highlight w:val="none"/>
              </w:rPr>
              <w:t>章“</w:t>
            </w:r>
            <w:r>
              <w:rPr>
                <w:rFonts w:hint="eastAsia"/>
                <w:color w:val="000000"/>
                <w:highlight w:val="none"/>
              </w:rPr>
              <w:t>委托人要求</w:t>
            </w:r>
            <w:r>
              <w:rPr>
                <w:color w:val="000000"/>
                <w:highlight w:val="none"/>
              </w:rPr>
              <w:t>”</w:t>
            </w:r>
            <w:r>
              <w:rPr>
                <w:rFonts w:hint="eastAsia"/>
                <w:color w:val="000000"/>
                <w:highlight w:val="none"/>
              </w:rPr>
              <w:t>中的实质性要求和条件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条款号</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条款内容</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编列内容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2.2.1</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分值构成</w:t>
            </w:r>
            <w:r>
              <w:rPr>
                <w:color w:val="000000"/>
                <w:highlight w:val="none"/>
              </w:rPr>
              <w:br w:type="textWrapping"/>
            </w:r>
            <w:r>
              <w:rPr>
                <w:color w:val="000000"/>
                <w:highlight w:val="none"/>
              </w:rPr>
              <w:t>（总分100分）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资信业绩部分</w:t>
            </w:r>
            <w:r>
              <w:rPr>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55</w:t>
            </w:r>
            <w:r>
              <w:rPr>
                <w:rFonts w:hint="eastAsia" w:ascii="宋体" w:hAnsi="宋体"/>
                <w:color w:val="000000"/>
                <w:highlight w:val="none"/>
                <w:u w:val="single"/>
              </w:rPr>
              <w:t xml:space="preserve"> </w:t>
            </w:r>
            <w:r>
              <w:rPr>
                <w:rFonts w:ascii="宋体" w:hAnsi="宋体"/>
                <w:color w:val="000000"/>
                <w:highlight w:val="none"/>
              </w:rPr>
              <w:t>分</w:t>
            </w:r>
          </w:p>
          <w:p>
            <w:pPr>
              <w:jc w:val="left"/>
              <w:rPr>
                <w:rFonts w:hint="eastAsia"/>
                <w:color w:val="000000"/>
                <w:highlight w:val="none"/>
              </w:rPr>
            </w:pPr>
            <w:r>
              <w:rPr>
                <w:rFonts w:hint="eastAsia"/>
                <w:color w:val="000000"/>
                <w:highlight w:val="none"/>
              </w:rPr>
              <w:t>监理大纲部分</w:t>
            </w:r>
            <w:r>
              <w:rPr>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35</w:t>
            </w:r>
            <w:r>
              <w:rPr>
                <w:rFonts w:hint="eastAsia" w:ascii="宋体" w:hAnsi="宋体"/>
                <w:color w:val="000000"/>
                <w:highlight w:val="none"/>
                <w:u w:val="single"/>
              </w:rPr>
              <w:t xml:space="preserve"> </w:t>
            </w:r>
            <w:r>
              <w:rPr>
                <w:rFonts w:ascii="宋体" w:hAnsi="宋体"/>
                <w:color w:val="000000"/>
                <w:highlight w:val="none"/>
              </w:rPr>
              <w:t>分</w:t>
            </w:r>
          </w:p>
          <w:p>
            <w:pPr>
              <w:jc w:val="left"/>
              <w:rPr>
                <w:rFonts w:ascii="宋体" w:hAnsi="宋体"/>
                <w:color w:val="000000"/>
                <w:highlight w:val="none"/>
              </w:rPr>
            </w:pPr>
            <w:r>
              <w:rPr>
                <w:color w:val="000000"/>
                <w:highlight w:val="none"/>
              </w:rPr>
              <w:t>投标报价：</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10</w:t>
            </w:r>
            <w:r>
              <w:rPr>
                <w:rFonts w:hint="eastAsia" w:ascii="宋体" w:hAnsi="宋体"/>
                <w:color w:val="000000"/>
                <w:highlight w:val="none"/>
                <w:u w:val="single"/>
              </w:rPr>
              <w:t xml:space="preserve">  </w:t>
            </w:r>
            <w:r>
              <w:rPr>
                <w:rFonts w:ascii="宋体" w:hAnsi="宋体"/>
                <w:color w:val="000000"/>
                <w:highlight w:val="none"/>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981"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2.2.2</w:t>
            </w:r>
          </w:p>
        </w:tc>
        <w:tc>
          <w:tcPr>
            <w:tcW w:w="2524"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评标</w:t>
            </w:r>
            <w:r>
              <w:rPr>
                <w:color w:val="000000"/>
                <w:highlight w:val="none"/>
              </w:rPr>
              <w:t>基准价计算方法</w:t>
            </w:r>
          </w:p>
        </w:tc>
        <w:tc>
          <w:tcPr>
            <w:tcW w:w="429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000000"/>
                <w:highlight w:val="none"/>
              </w:rPr>
            </w:pPr>
            <w:r>
              <w:rPr>
                <w:rFonts w:hint="eastAsia" w:ascii="宋体" w:hAnsi="宋体" w:cs="宋体"/>
                <w:spacing w:val="8"/>
                <w:position w:val="14"/>
                <w:sz w:val="21"/>
                <w:szCs w:val="21"/>
                <w:highlight w:val="none"/>
                <w:vertAlign w:val="baseline"/>
                <w:lang w:val="en-US" w:eastAsia="zh-CN"/>
              </w:rPr>
              <w:t>通过初步评审的所有投标人的最低评标价格为评标基准价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2.2.3</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color w:val="000000"/>
                <w:highlight w:val="none"/>
              </w:rPr>
              <w:t>投标报价的偏差率</w:t>
            </w:r>
          </w:p>
          <w:p>
            <w:pPr>
              <w:jc w:val="center"/>
              <w:rPr>
                <w:color w:val="000000"/>
                <w:highlight w:val="none"/>
              </w:rPr>
            </w:pPr>
            <w:r>
              <w:rPr>
                <w:color w:val="000000"/>
                <w:highlight w:val="none"/>
              </w:rPr>
              <w:t>计算公式</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ind w:firstLine="420" w:firstLineChars="200"/>
              <w:jc w:val="left"/>
              <w:rPr>
                <w:rFonts w:hint="eastAsia" w:ascii="宋体" w:hAnsi="宋体"/>
                <w:szCs w:val="21"/>
                <w:highlight w:val="none"/>
              </w:rPr>
            </w:pPr>
            <w:r>
              <w:rPr>
                <w:rFonts w:hint="eastAsia" w:ascii="宋体" w:hAnsi="宋体"/>
                <w:szCs w:val="21"/>
                <w:highlight w:val="none"/>
              </w:rPr>
              <w:t>偏差率=100%×（投标人评标价-评标基准价）/评标基准价</w:t>
            </w:r>
          </w:p>
          <w:p>
            <w:pPr>
              <w:ind w:firstLine="420" w:firstLineChars="200"/>
              <w:jc w:val="left"/>
              <w:rPr>
                <w:color w:val="000000"/>
                <w:highlight w:val="none"/>
              </w:rPr>
            </w:pPr>
            <w:r>
              <w:rPr>
                <w:rFonts w:hint="eastAsia" w:ascii="宋体" w:hAnsi="宋体"/>
                <w:szCs w:val="21"/>
                <w:highlight w:val="none"/>
              </w:rPr>
              <w:t>偏差率保留2位小数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条款号</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评分因素</w:t>
            </w:r>
            <w:r>
              <w:rPr>
                <w:rFonts w:hint="eastAsia"/>
                <w:color w:val="000000"/>
                <w:highlight w:val="none"/>
              </w:rPr>
              <w:t>（偏差率）</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color w:val="000000"/>
                <w:highlight w:val="none"/>
              </w:rPr>
              <w:t>2.2.4</w:t>
            </w:r>
          </w:p>
          <w:p>
            <w:pPr>
              <w:jc w:val="center"/>
              <w:rPr>
                <w:color w:val="000000"/>
                <w:highlight w:val="none"/>
              </w:rPr>
            </w:pPr>
            <w:r>
              <w:rPr>
                <w:color w:val="000000"/>
                <w:highlight w:val="none"/>
              </w:rPr>
              <w:t>(1)</w:t>
            </w:r>
          </w:p>
        </w:tc>
        <w:tc>
          <w:tcPr>
            <w:tcW w:w="718"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rFonts w:hint="eastAsia"/>
                <w:color w:val="000000"/>
                <w:highlight w:val="none"/>
              </w:rPr>
              <w:t>资信业绩</w:t>
            </w:r>
          </w:p>
          <w:p>
            <w:pPr>
              <w:jc w:val="center"/>
              <w:rPr>
                <w:color w:val="000000"/>
                <w:highlight w:val="none"/>
              </w:rPr>
            </w:pPr>
            <w:r>
              <w:rPr>
                <w:color w:val="000000"/>
                <w:highlight w:val="none"/>
              </w:rPr>
              <w:t>评分标准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信誉</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10分）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pStyle w:val="8"/>
              <w:jc w:val="both"/>
              <w:rPr>
                <w:rFonts w:hint="eastAsia" w:ascii="宋体" w:hAnsi="宋体" w:eastAsia="宋体" w:cs="宋体"/>
                <w:highlight w:val="none"/>
                <w:lang w:val="en-US" w:eastAsia="zh-CN"/>
              </w:rPr>
            </w:pPr>
            <w:r>
              <w:rPr>
                <w:rFonts w:hint="eastAsia" w:ascii="宋体" w:hAnsi="宋体" w:eastAsia="宋体" w:cs="宋体"/>
                <w:color w:val="000000"/>
                <w:kern w:val="2"/>
                <w:sz w:val="21"/>
                <w:szCs w:val="22"/>
                <w:highlight w:val="none"/>
                <w:lang w:val="en-US" w:eastAsia="zh-CN" w:bidi="ar-SA"/>
              </w:rPr>
              <w:t>依据投标人的市场反馈等情况评分，一般得6分，最多加4分。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79" w:hRule="atLeast"/>
        </w:trPr>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rPr>
            </w:pPr>
            <w:r>
              <w:rPr>
                <w:rFonts w:hint="eastAsia" w:ascii="宋体" w:hAnsi="宋体" w:eastAsia="宋体" w:cs="宋体"/>
                <w:color w:val="000000"/>
                <w:highlight w:val="none"/>
              </w:rPr>
              <w:t>类似项目业绩</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20分）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both"/>
              <w:textAlignment w:val="auto"/>
              <w:rPr>
                <w:rFonts w:hint="eastAsia" w:ascii="宋体" w:hAnsi="宋体" w:eastAsia="宋体" w:cs="宋体"/>
                <w:highlight w:val="none"/>
                <w:lang w:val="en-US" w:eastAsia="zh-CN"/>
              </w:rPr>
            </w:pPr>
            <w:r>
              <w:rPr>
                <w:rFonts w:hint="eastAsia" w:ascii="宋体" w:hAnsi="宋体" w:eastAsia="宋体" w:cs="宋体"/>
                <w:highlight w:val="none"/>
              </w:rPr>
              <w:t>满足资格审查条件得</w:t>
            </w:r>
            <w:r>
              <w:rPr>
                <w:rFonts w:hint="eastAsia" w:ascii="宋体" w:hAnsi="宋体" w:eastAsia="宋体" w:cs="宋体"/>
                <w:szCs w:val="21"/>
                <w:highlight w:val="none"/>
              </w:rPr>
              <w:t>12分，</w:t>
            </w:r>
            <w:r>
              <w:rPr>
                <w:rFonts w:hint="eastAsia" w:ascii="宋体" w:hAnsi="宋体" w:eastAsia="宋体" w:cs="宋体"/>
                <w:szCs w:val="21"/>
                <w:highlight w:val="none"/>
                <w:lang w:val="en-US" w:eastAsia="zh-CN"/>
              </w:rPr>
              <w:t>2019年1月1日以后每增加1项公路水土保持工程施工监理业绩加8分，最多加8分。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rPr>
            </w:pPr>
            <w:r>
              <w:rPr>
                <w:rFonts w:hint="eastAsia" w:ascii="宋体" w:hAnsi="宋体" w:eastAsia="宋体" w:cs="宋体"/>
                <w:color w:val="000000"/>
                <w:highlight w:val="none"/>
              </w:rPr>
              <w:t>总监理工程师资历和业绩</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25分）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满足资格审查条件得15分，每增加1项公路水土保持工程施工监理的总监理工程师加10分，最多加10分。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44"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color w:val="000000"/>
                <w:highlight w:val="none"/>
              </w:rPr>
              <w:t>2.2.4</w:t>
            </w:r>
          </w:p>
          <w:p>
            <w:pPr>
              <w:jc w:val="center"/>
              <w:rPr>
                <w:color w:val="000000"/>
                <w:highlight w:val="none"/>
              </w:rPr>
            </w:pPr>
            <w:r>
              <w:rPr>
                <w:color w:val="000000"/>
                <w:highlight w:val="none"/>
              </w:rPr>
              <w:t>(2)</w:t>
            </w:r>
          </w:p>
        </w:tc>
        <w:tc>
          <w:tcPr>
            <w:tcW w:w="718"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rFonts w:hint="eastAsia"/>
                <w:color w:val="000000"/>
                <w:highlight w:val="none"/>
              </w:rPr>
              <w:t>监理大纲</w:t>
            </w:r>
          </w:p>
          <w:p>
            <w:pPr>
              <w:jc w:val="center"/>
              <w:rPr>
                <w:color w:val="000000"/>
                <w:highlight w:val="none"/>
              </w:rPr>
            </w:pPr>
            <w:r>
              <w:rPr>
                <w:rFonts w:hint="eastAsia"/>
                <w:color w:val="000000"/>
                <w:highlight w:val="none"/>
              </w:rPr>
              <w:t>评分</w:t>
            </w:r>
            <w:r>
              <w:rPr>
                <w:color w:val="000000"/>
                <w:highlight w:val="none"/>
              </w:rPr>
              <w:t>标准</w:t>
            </w:r>
          </w:p>
        </w:tc>
        <w:tc>
          <w:tcPr>
            <w:tcW w:w="1434" w:type="pct"/>
            <w:tcBorders>
              <w:top w:val="outset" w:color="auto" w:sz="6" w:space="0"/>
              <w:left w:val="outset" w:color="auto" w:sz="6" w:space="0"/>
              <w:bottom w:val="single" w:color="auto" w:sz="4"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监理方案、各项保证措施等（35分）</w:t>
            </w:r>
          </w:p>
        </w:tc>
        <w:tc>
          <w:tcPr>
            <w:tcW w:w="2438" w:type="pct"/>
            <w:tcBorders>
              <w:top w:val="outset" w:color="auto" w:sz="6" w:space="0"/>
              <w:left w:val="outset" w:color="auto" w:sz="6" w:space="0"/>
              <w:bottom w:val="single" w:color="auto" w:sz="4"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一般得21分，视情况酌情加分，</w:t>
            </w:r>
            <w:r>
              <w:rPr>
                <w:rFonts w:hint="eastAsia" w:ascii="宋体" w:hAnsi="宋体" w:eastAsia="宋体" w:cs="宋体"/>
                <w:color w:val="000000"/>
                <w:kern w:val="2"/>
                <w:sz w:val="21"/>
                <w:szCs w:val="22"/>
                <w:highlight w:val="none"/>
                <w:lang w:val="en-US" w:eastAsia="zh-CN" w:bidi="ar-SA"/>
              </w:rPr>
              <w:t>最多加14分</w:t>
            </w:r>
            <w:r>
              <w:rPr>
                <w:rFonts w:hint="eastAsia" w:ascii="宋体" w:hAnsi="宋体" w:eastAsia="宋体" w:cs="宋体"/>
                <w:color w:val="000000"/>
                <w:highlight w:val="none"/>
                <w:lang w:val="en-US"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color w:val="000000"/>
                <w:highlight w:val="none"/>
              </w:rPr>
              <w:t>2.2.4</w:t>
            </w:r>
          </w:p>
          <w:p>
            <w:pPr>
              <w:jc w:val="center"/>
              <w:rPr>
                <w:color w:val="000000"/>
                <w:highlight w:val="none"/>
              </w:rPr>
            </w:pPr>
            <w:r>
              <w:rPr>
                <w:color w:val="000000"/>
                <w:highlight w:val="none"/>
              </w:rPr>
              <w:t>(3)</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color w:val="000000"/>
                <w:highlight w:val="none"/>
              </w:rPr>
              <w:t>投标报价</w:t>
            </w:r>
          </w:p>
          <w:p>
            <w:pPr>
              <w:jc w:val="center"/>
              <w:rPr>
                <w:color w:val="000000"/>
                <w:highlight w:val="none"/>
              </w:rPr>
            </w:pPr>
            <w:r>
              <w:rPr>
                <w:color w:val="000000"/>
                <w:highlight w:val="none"/>
              </w:rPr>
              <w:t>评分标准</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评标价得分（10分）</w:t>
            </w:r>
          </w:p>
        </w:tc>
        <w:tc>
          <w:tcPr>
            <w:tcW w:w="42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pacing w:val="8"/>
                <w:position w:val="14"/>
                <w:sz w:val="21"/>
                <w:szCs w:val="21"/>
                <w:highlight w:val="none"/>
                <w:vertAlign w:val="baseline"/>
                <w:lang w:val="en-US" w:eastAsia="zh-CN"/>
              </w:rPr>
            </w:pPr>
            <w:r>
              <w:rPr>
                <w:rFonts w:hint="eastAsia" w:ascii="宋体" w:hAnsi="宋体" w:cs="宋体"/>
                <w:spacing w:val="8"/>
                <w:position w:val="14"/>
                <w:sz w:val="21"/>
                <w:szCs w:val="21"/>
                <w:highlight w:val="none"/>
                <w:vertAlign w:val="baseline"/>
                <w:lang w:val="en-US" w:eastAsia="zh-CN"/>
              </w:rPr>
              <w:t>当投标人的报价等于评标基准价时，得满分10分，评审价格每高于评审基准价一个百分点扣0.1分，报价分最低得0分。</w:t>
            </w:r>
          </w:p>
          <w:p>
            <w:pPr>
              <w:jc w:val="left"/>
              <w:rPr>
                <w:rFonts w:hint="eastAsia" w:ascii="宋体" w:hAnsi="宋体" w:eastAsia="宋体" w:cs="宋体"/>
                <w:szCs w:val="21"/>
                <w:highlight w:val="none"/>
              </w:rPr>
            </w:pPr>
            <w:r>
              <w:rPr>
                <w:rFonts w:hint="eastAsia" w:ascii="宋体" w:hAnsi="宋体" w:eastAsia="宋体" w:cs="宋体"/>
                <w:szCs w:val="21"/>
                <w:highlight w:val="none"/>
              </w:rPr>
              <w:t>评标价得分保留两位小数，小数点后第三位“四舍五入”。</w:t>
            </w:r>
          </w:p>
        </w:tc>
      </w:tr>
    </w:tbl>
    <w:p>
      <w:pPr>
        <w:jc w:val="right"/>
        <w:rPr>
          <w:rFonts w:hint="eastAsia" w:ascii="宋体" w:hAnsi="宋体" w:cs="宋体"/>
          <w:color w:val="000000"/>
          <w:sz w:val="21"/>
          <w:szCs w:val="21"/>
          <w:highlight w:val="none"/>
          <w:lang w:val="en-US" w:eastAsia="zh-CN"/>
        </w:rPr>
      </w:pPr>
    </w:p>
    <w:p>
      <w:pPr>
        <w:jc w:val="right"/>
        <w:rPr>
          <w:rFonts w:hint="eastAsia" w:ascii="宋体" w:hAnsi="宋体" w:cs="宋体"/>
          <w:color w:val="000000"/>
          <w:sz w:val="21"/>
          <w:szCs w:val="21"/>
          <w:highlight w:val="none"/>
          <w:lang w:val="en-US" w:eastAsia="zh-CN"/>
        </w:rPr>
      </w:pPr>
    </w:p>
    <w:bookmarkEnd w:id="4"/>
    <w:p>
      <w:pPr>
        <w:pStyle w:val="6"/>
        <w:pageBreakBefore w:val="0"/>
        <w:kinsoku/>
        <w:wordWrap/>
        <w:overflowPunct/>
        <w:topLinePunct w:val="0"/>
        <w:autoSpaceDE/>
        <w:autoSpaceDN/>
        <w:bidi w:val="0"/>
        <w:adjustRightInd/>
        <w:spacing w:before="0" w:beforeLines="0" w:after="0" w:afterLines="0" w:line="360" w:lineRule="exact"/>
        <w:rPr>
          <w:rFonts w:hint="eastAsia" w:ascii="宋体" w:hAnsi="宋体" w:eastAsia="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6</w:t>
      </w:r>
      <w:r>
        <w:rPr>
          <w:rFonts w:hint="eastAsia" w:ascii="宋体" w:hAnsi="宋体" w:eastAsia="宋体" w:cs="宋体"/>
          <w:b/>
          <w:bCs/>
          <w:color w:val="000000"/>
          <w:kern w:val="44"/>
          <w:sz w:val="24"/>
          <w:szCs w:val="24"/>
          <w:highlight w:val="none"/>
          <w:lang w:val="en-US" w:eastAsia="zh-CN"/>
        </w:rPr>
        <w:t>.联系方式</w:t>
      </w:r>
    </w:p>
    <w:tbl>
      <w:tblPr>
        <w:tblStyle w:val="15"/>
        <w:tblW w:w="8168" w:type="dxa"/>
        <w:tblInd w:w="0" w:type="dxa"/>
        <w:tblLayout w:type="fixed"/>
        <w:tblCellMar>
          <w:top w:w="0" w:type="dxa"/>
          <w:left w:w="170" w:type="dxa"/>
          <w:bottom w:w="0" w:type="dxa"/>
          <w:right w:w="170" w:type="dxa"/>
        </w:tblCellMar>
      </w:tblPr>
      <w:tblGrid>
        <w:gridCol w:w="8168"/>
      </w:tblGrid>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招 标 人：吉林省金泉公路工程咨询监理有限责任公司</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地    址: 长春市工农大路689号</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jc w:val="both"/>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 xml:space="preserve">联 系 人: 李晓东 </w:t>
            </w:r>
          </w:p>
        </w:tc>
      </w:tr>
      <w:tr>
        <w:tblPrEx>
          <w:tblCellMar>
            <w:top w:w="0" w:type="dxa"/>
            <w:left w:w="170" w:type="dxa"/>
            <w:bottom w:w="0" w:type="dxa"/>
            <w:right w:w="170" w:type="dxa"/>
          </w:tblCellMar>
        </w:tblPrEx>
        <w:trPr>
          <w:trHeight w:val="283" w:hRule="atLeast"/>
        </w:trPr>
        <w:tc>
          <w:tcPr>
            <w:tcW w:w="8168" w:type="dxa"/>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157" w:beforeLines="50" w:after="157" w:afterLines="50" w:line="280" w:lineRule="exact"/>
              <w:ind w:firstLine="210" w:firstLineChars="100"/>
              <w:jc w:val="both"/>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电   话: 18844117077</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ascii="宋体" w:hAnsi="宋体"/>
                <w:sz w:val="21"/>
                <w:szCs w:val="21"/>
                <w:highlight w:val="none"/>
              </w:rPr>
            </w:pPr>
            <w:r>
              <w:rPr>
                <w:rFonts w:ascii="宋体" w:hAnsi="宋体"/>
                <w:sz w:val="21"/>
                <w:szCs w:val="21"/>
                <w:highlight w:val="none"/>
              </w:rPr>
              <w:t>招标代理机构</w:t>
            </w:r>
            <w:r>
              <w:rPr>
                <w:rFonts w:hint="eastAsia" w:ascii="宋体" w:hAnsi="宋体"/>
                <w:sz w:val="21"/>
                <w:szCs w:val="21"/>
                <w:highlight w:val="none"/>
              </w:rPr>
              <w:t>：</w:t>
            </w:r>
            <w:r>
              <w:rPr>
                <w:rFonts w:hint="eastAsia" w:ascii="宋体" w:hAnsi="宋体"/>
                <w:color w:val="000000"/>
                <w:sz w:val="21"/>
                <w:szCs w:val="21"/>
                <w:highlight w:val="none"/>
              </w:rPr>
              <w:t>吉林省</w:t>
            </w:r>
            <w:r>
              <w:rPr>
                <w:rFonts w:hint="eastAsia" w:ascii="宋体" w:hAnsi="宋体"/>
                <w:color w:val="000000"/>
                <w:sz w:val="21"/>
                <w:szCs w:val="21"/>
                <w:highlight w:val="none"/>
                <w:lang w:val="en-US" w:eastAsia="zh-CN"/>
              </w:rPr>
              <w:t>常利工程信息咨询有限公司</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hint="default" w:ascii="宋体" w:hAnsi="宋体" w:eastAsia="宋体"/>
                <w:sz w:val="21"/>
                <w:szCs w:val="21"/>
                <w:highlight w:val="none"/>
                <w:lang w:val="en-US" w:eastAsia="zh-CN"/>
              </w:rPr>
            </w:pPr>
            <w:r>
              <w:rPr>
                <w:rFonts w:ascii="宋体" w:hAnsi="宋体"/>
                <w:sz w:val="21"/>
                <w:szCs w:val="21"/>
                <w:highlight w:val="none"/>
              </w:rPr>
              <w:t>地　</w:t>
            </w:r>
            <w:r>
              <w:rPr>
                <w:rFonts w:hint="eastAsia" w:ascii="宋体" w:hAnsi="宋体"/>
                <w:sz w:val="21"/>
                <w:szCs w:val="21"/>
                <w:highlight w:val="none"/>
              </w:rPr>
              <w:t xml:space="preserve"> </w:t>
            </w:r>
            <w:r>
              <w:rPr>
                <w:rFonts w:ascii="宋体" w:hAnsi="宋体"/>
                <w:sz w:val="21"/>
                <w:szCs w:val="21"/>
                <w:highlight w:val="none"/>
              </w:rPr>
              <w:t>址：</w:t>
            </w:r>
            <w:r>
              <w:rPr>
                <w:rFonts w:hint="eastAsia" w:ascii="宋体" w:hAnsi="宋体"/>
                <w:color w:val="000000"/>
                <w:sz w:val="21"/>
                <w:szCs w:val="21"/>
                <w:highlight w:val="none"/>
              </w:rPr>
              <w:t>长春市</w:t>
            </w:r>
            <w:r>
              <w:rPr>
                <w:rFonts w:hint="eastAsia" w:ascii="宋体" w:hAnsi="宋体"/>
                <w:color w:val="000000"/>
                <w:sz w:val="21"/>
                <w:szCs w:val="21"/>
                <w:highlight w:val="none"/>
                <w:lang w:val="en-US" w:eastAsia="zh-CN"/>
              </w:rPr>
              <w:t>高新区越达科技园5栋</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ascii="宋体" w:hAnsi="宋体"/>
                <w:sz w:val="21"/>
                <w:szCs w:val="21"/>
                <w:highlight w:val="none"/>
              </w:rPr>
            </w:pPr>
            <w:r>
              <w:rPr>
                <w:rFonts w:ascii="宋体" w:hAnsi="宋体"/>
                <w:sz w:val="21"/>
                <w:szCs w:val="21"/>
                <w:highlight w:val="none"/>
              </w:rPr>
              <w:t>联 系 人：</w:t>
            </w:r>
            <w:r>
              <w:rPr>
                <w:rFonts w:hint="eastAsia" w:ascii="宋体" w:hAnsi="宋体"/>
                <w:color w:val="000000"/>
                <w:sz w:val="21"/>
                <w:szCs w:val="21"/>
                <w:highlight w:val="none"/>
              </w:rPr>
              <w:t>孙静</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hint="default" w:ascii="宋体" w:hAnsi="宋体" w:eastAsia="宋体"/>
                <w:sz w:val="21"/>
                <w:szCs w:val="21"/>
                <w:highlight w:val="none"/>
                <w:lang w:val="en-US" w:eastAsia="zh-CN"/>
              </w:rPr>
            </w:pPr>
            <w:r>
              <w:rPr>
                <w:rFonts w:ascii="宋体" w:hAnsi="宋体"/>
                <w:sz w:val="21"/>
                <w:szCs w:val="21"/>
                <w:highlight w:val="none"/>
              </w:rPr>
              <w:t>电　　话：</w:t>
            </w:r>
            <w:r>
              <w:rPr>
                <w:rFonts w:hint="eastAsia" w:ascii="宋体" w:hAnsi="宋体"/>
                <w:color w:val="000000"/>
                <w:sz w:val="21"/>
                <w:szCs w:val="21"/>
                <w:highlight w:val="none"/>
              </w:rPr>
              <w:t>0431</w:t>
            </w:r>
            <w:r>
              <w:rPr>
                <w:rFonts w:hint="eastAsia" w:ascii="宋体" w:hAnsi="宋体"/>
                <w:color w:val="000000"/>
                <w:sz w:val="21"/>
                <w:szCs w:val="21"/>
                <w:highlight w:val="none"/>
                <w:lang w:val="en-US" w:eastAsia="zh-CN"/>
              </w:rPr>
              <w:t>-81902477</w:t>
            </w:r>
          </w:p>
        </w:tc>
      </w:tr>
    </w:tbl>
    <w:p>
      <w:pPr>
        <w:pStyle w:val="6"/>
        <w:pageBreakBefore w:val="0"/>
        <w:kinsoku/>
        <w:wordWrap/>
        <w:overflowPunct/>
        <w:topLinePunct w:val="0"/>
        <w:autoSpaceDE/>
        <w:autoSpaceDN/>
        <w:bidi w:val="0"/>
        <w:adjustRightInd/>
        <w:spacing w:before="0" w:beforeLines="0" w:after="0" w:afterLines="0" w:line="360" w:lineRule="exact"/>
        <w:rPr>
          <w:rFonts w:hint="eastAsia" w:ascii="宋体" w:hAnsi="宋体" w:eastAsia="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7</w:t>
      </w:r>
      <w:r>
        <w:rPr>
          <w:rFonts w:hint="eastAsia" w:ascii="宋体" w:hAnsi="宋体" w:eastAsia="宋体" w:cs="宋体"/>
          <w:b/>
          <w:bCs/>
          <w:color w:val="000000"/>
          <w:kern w:val="44"/>
          <w:sz w:val="24"/>
          <w:szCs w:val="24"/>
          <w:highlight w:val="none"/>
          <w:lang w:val="en-US" w:eastAsia="zh-CN"/>
        </w:rPr>
        <w:t>.公开期限</w:t>
      </w:r>
    </w:p>
    <w:p>
      <w:pPr>
        <w:spacing w:line="360" w:lineRule="auto"/>
        <w:ind w:firstLine="420" w:firstLineChars="200"/>
        <w:rPr>
          <w:rFonts w:hint="default"/>
          <w:lang w:val="en-US" w:eastAsia="zh-CN"/>
        </w:rPr>
      </w:pPr>
      <w:r>
        <w:rPr>
          <w:rFonts w:hint="eastAsia" w:ascii="宋体" w:hAnsi="宋体" w:cs="宋体"/>
        </w:rPr>
        <w:t>本次项目招标文件关键内容信息公开至</w:t>
      </w:r>
      <w:r>
        <w:rPr>
          <w:rFonts w:hint="eastAsia" w:ascii="宋体" w:hAnsi="宋体" w:cs="宋体"/>
          <w:lang w:val="en-US" w:eastAsia="zh-CN"/>
        </w:rPr>
        <w:t>投标截止之日前10天</w:t>
      </w:r>
      <w:r>
        <w:rPr>
          <w:rFonts w:hint="eastAsia" w:ascii="宋体" w:hAnsi="宋体" w:cs="宋体"/>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zQ2YmFjMDkyZjU4NTk5NzRmMDJkYjY2MTcyMjgifQ=="/>
  </w:docVars>
  <w:rsids>
    <w:rsidRoot w:val="00000000"/>
    <w:rsid w:val="08056744"/>
    <w:rsid w:val="0A8D135C"/>
    <w:rsid w:val="0C051FE9"/>
    <w:rsid w:val="0FF90F48"/>
    <w:rsid w:val="195D6AC6"/>
    <w:rsid w:val="1AAB4C55"/>
    <w:rsid w:val="31D51D6E"/>
    <w:rsid w:val="320A3449"/>
    <w:rsid w:val="38090CCF"/>
    <w:rsid w:val="3BA7551B"/>
    <w:rsid w:val="3BCD6881"/>
    <w:rsid w:val="40AF2428"/>
    <w:rsid w:val="418000D4"/>
    <w:rsid w:val="419521E9"/>
    <w:rsid w:val="45124BE3"/>
    <w:rsid w:val="53C64D45"/>
    <w:rsid w:val="608D5C8A"/>
    <w:rsid w:val="62BB0251"/>
    <w:rsid w:val="64F03032"/>
    <w:rsid w:val="77B76CF9"/>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autoRedefine/>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szCs w:val="24"/>
    </w:rPr>
  </w:style>
  <w:style w:type="paragraph" w:styleId="7">
    <w:name w:val="annotation text"/>
    <w:basedOn w:val="1"/>
    <w:autoRedefine/>
    <w:qFormat/>
    <w:uiPriority w:val="0"/>
    <w:pPr>
      <w:jc w:val="left"/>
    </w:pPr>
    <w:rPr>
      <w:szCs w:val="24"/>
    </w:rPr>
  </w:style>
  <w:style w:type="paragraph" w:styleId="8">
    <w:name w:val="Plain Text"/>
    <w:basedOn w:val="1"/>
    <w:autoRedefine/>
    <w:qFormat/>
    <w:uiPriority w:val="99"/>
    <w:rPr>
      <w:rFonts w:ascii="宋体" w:hAnsi="Courier"/>
      <w:szCs w:val="20"/>
      <w:u w:val="single"/>
    </w:rPr>
  </w:style>
  <w:style w:type="paragraph" w:styleId="9">
    <w:name w:val="Date"/>
    <w:basedOn w:val="1"/>
    <w:next w:val="1"/>
    <w:autoRedefine/>
    <w:qFormat/>
    <w:uiPriority w:val="0"/>
    <w:pPr>
      <w:ind w:left="100" w:leftChars="2500"/>
    </w:pPr>
    <w:rPr>
      <w:rFonts w:ascii="Times New Roman" w:hAnsi="Times New Roman"/>
      <w:szCs w:val="24"/>
    </w:rPr>
  </w:style>
  <w:style w:type="paragraph" w:styleId="10">
    <w:name w:val="footer"/>
    <w:basedOn w:val="1"/>
    <w:autoRedefine/>
    <w:unhideWhenUsed/>
    <w:qFormat/>
    <w:uiPriority w:val="99"/>
    <w:pPr>
      <w:tabs>
        <w:tab w:val="center" w:pos="4153"/>
        <w:tab w:val="right" w:pos="8306"/>
      </w:tabs>
      <w:snapToGrid w:val="0"/>
      <w:jc w:val="left"/>
    </w:pPr>
    <w:rPr>
      <w:kern w:val="0"/>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autoRedefine/>
    <w:qFormat/>
    <w:uiPriority w:val="0"/>
    <w:pPr>
      <w:snapToGrid w:val="0"/>
      <w:jc w:val="left"/>
    </w:pPr>
    <w:rPr>
      <w:sz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footnote reference"/>
    <w:autoRedefine/>
    <w:qFormat/>
    <w:uiPriority w:val="0"/>
    <w:rPr>
      <w:vertAlign w:val="superscript"/>
    </w:rPr>
  </w:style>
  <w:style w:type="paragraph" w:customStyle="1" w:styleId="20">
    <w:name w:val="p0"/>
    <w:basedOn w:val="1"/>
    <w:autoRedefine/>
    <w:qFormat/>
    <w:uiPriority w:val="99"/>
    <w:pPr>
      <w:widowControl/>
    </w:pPr>
    <w:rPr>
      <w:rFonts w:ascii="Times New Roman" w:hAnsi="Times New Roman"/>
      <w:kern w:val="0"/>
      <w:szCs w:val="21"/>
    </w:rPr>
  </w:style>
  <w:style w:type="paragraph" w:customStyle="1" w:styleId="21">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22">
    <w:name w:val="其他"/>
    <w:basedOn w:val="1"/>
    <w:autoRedefine/>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23">
    <w:name w:val="列出段落11"/>
    <w:basedOn w:val="1"/>
    <w:autoRedefine/>
    <w:qFormat/>
    <w:uiPriority w:val="34"/>
    <w:pPr>
      <w:ind w:firstLine="420" w:firstLineChars="200"/>
    </w:pPr>
    <w:rPr>
      <w:rFonts w:ascii="等线" w:hAnsi="等线" w:eastAsia="等线"/>
      <w:szCs w:val="24"/>
    </w:rPr>
  </w:style>
  <w:style w:type="paragraph" w:customStyle="1" w:styleId="24">
    <w:name w:val="MSG_EN_FONT_STYLE_NAME_TEMPLATE_ROLE_NUMBER MSG_EN_FONT_STYLE_NAME_BY_ROLE_TEXT 131"/>
    <w:basedOn w:val="1"/>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25">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paragraph" w:customStyle="1" w:styleId="26">
    <w:name w:val="MSG_EN_FONT_STYLE_NAME_TEMPLATE_ROLE_NUMBER MSG_EN_FONT_STYLE_NAME_BY_ROLE_TEXT 5"/>
    <w:basedOn w:val="1"/>
    <w:autoRedefine/>
    <w:qFormat/>
    <w:uiPriority w:val="0"/>
    <w:pPr>
      <w:shd w:val="clear" w:color="auto" w:fill="FFFFFF"/>
      <w:spacing w:before="5120" w:line="170" w:lineRule="exact"/>
      <w:jc w:val="left"/>
    </w:pPr>
    <w:rPr>
      <w:rFonts w:ascii="PMingLiU" w:hAnsi="PMingLiU" w:eastAsia="PMingLiU"/>
      <w:kern w:val="0"/>
      <w:sz w:val="17"/>
      <w:szCs w:val="17"/>
    </w:rPr>
  </w:style>
  <w:style w:type="paragraph" w:customStyle="1" w:styleId="27">
    <w:name w:val="正文文本 (2)"/>
    <w:basedOn w:val="1"/>
    <w:autoRedefine/>
    <w:qFormat/>
    <w:uiPriority w:val="0"/>
    <w:pPr>
      <w:shd w:val="clear" w:color="auto" w:fill="FFFFFF"/>
      <w:spacing w:before="300" w:line="439" w:lineRule="exact"/>
      <w:jc w:val="distribute"/>
    </w:pPr>
    <w:rPr>
      <w:rFonts w:ascii="宋体" w:hAnsi="宋体"/>
      <w:kern w:val="0"/>
      <w:sz w:val="22"/>
    </w:rPr>
  </w:style>
  <w:style w:type="character" w:customStyle="1" w:styleId="2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文本 (14)"/>
    <w:basedOn w:val="1"/>
    <w:autoRedefine/>
    <w:qFormat/>
    <w:uiPriority w:val="0"/>
    <w:pPr>
      <w:shd w:val="clear" w:color="auto" w:fill="FFFFFF"/>
      <w:spacing w:before="300" w:line="300" w:lineRule="exact"/>
      <w:jc w:val="distribute"/>
    </w:pPr>
    <w:rPr>
      <w:rFonts w:ascii="宋体" w:hAnsi="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10182</Words>
  <Characters>11611</Characters>
  <Lines>0</Lines>
  <Paragraphs>0</Paragraphs>
  <TotalTime>0</TotalTime>
  <ScaleCrop>false</ScaleCrop>
  <LinksUpToDate>false</LinksUpToDate>
  <CharactersWithSpaces>11719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2023-08-24T06:58:00Z</dcterms:created>
  <dc:creator>杨光福</dc:creator>
  <cp:lastModifiedBy>Admin</cp:lastModifiedBy>
  <cp:lastPrinted>2023-09-27T04:53:00Z</cp:lastPrinted>
  <dcterms:modified xsi:type="dcterms:W3CDTF">2024-05-07T01:07:07Z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A2ABD52119A1457BBD939ADFF65B51E8_12</vt:lpwstr>
  </property>
</Properties>
</file>