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exact"/>
        <w:jc w:val="center"/>
        <w:rPr>
          <w:rFonts w:hint="eastAsia" w:ascii="宋体" w:hAnsi="宋体" w:eastAsia="宋体" w:cs="宋体"/>
          <w:b/>
          <w:bCs/>
          <w:color w:val="000000"/>
          <w:kern w:val="44"/>
          <w:sz w:val="24"/>
          <w:szCs w:val="24"/>
          <w:highlight w:val="none"/>
          <w:lang w:val="en-US" w:eastAsia="zh-CN" w:bidi="ar-SA"/>
        </w:rPr>
      </w:pPr>
      <w:r>
        <w:rPr>
          <w:rFonts w:hint="eastAsia" w:ascii="宋体" w:hAnsi="宋体" w:eastAsia="宋体" w:cs="宋体"/>
          <w:b/>
          <w:bCs/>
          <w:color w:val="000000"/>
          <w:kern w:val="44"/>
          <w:sz w:val="24"/>
          <w:szCs w:val="24"/>
          <w:highlight w:val="none"/>
          <w:lang w:val="en-US" w:eastAsia="zh-CN" w:bidi="ar-SA"/>
        </w:rPr>
        <w:t>全省传输系统接入层升级改造专项一期工程施工招标</w:t>
      </w:r>
    </w:p>
    <w:p>
      <w:pPr>
        <w:pStyle w:val="4"/>
        <w:pageBreakBefore w:val="0"/>
        <w:kinsoku/>
        <w:wordWrap/>
        <w:overflowPunct/>
        <w:topLinePunct w:val="0"/>
        <w:autoSpaceDE/>
        <w:autoSpaceDN/>
        <w:bidi w:val="0"/>
        <w:adjustRightInd/>
        <w:spacing w:before="0" w:beforeLines="0" w:after="0" w:afterLines="0" w:line="360" w:lineRule="exact"/>
        <w:jc w:val="center"/>
        <w:rPr>
          <w:rFonts w:hint="eastAsia" w:ascii="宋体" w:hAnsi="宋体" w:eastAsia="宋体" w:cs="宋体"/>
          <w:b/>
          <w:bCs/>
          <w:color w:val="000000"/>
          <w:kern w:val="44"/>
          <w:sz w:val="24"/>
          <w:szCs w:val="24"/>
          <w:highlight w:val="none"/>
          <w:lang w:val="en-US" w:eastAsia="zh-CN"/>
        </w:rPr>
      </w:pPr>
      <w:bookmarkStart w:id="0" w:name="_Toc359047734"/>
      <w:bookmarkStart w:id="1" w:name="_Toc359047598"/>
      <w:bookmarkStart w:id="2" w:name="_Toc359047678"/>
      <w:r>
        <w:rPr>
          <w:rFonts w:hint="eastAsia" w:ascii="宋体" w:hAnsi="宋体" w:eastAsia="宋体" w:cs="宋体"/>
          <w:b/>
          <w:bCs/>
          <w:color w:val="000000"/>
          <w:kern w:val="44"/>
          <w:sz w:val="24"/>
          <w:szCs w:val="24"/>
          <w:highlight w:val="none"/>
          <w:lang w:val="en-US" w:eastAsia="zh-CN"/>
        </w:rPr>
        <w:t>招标文件关键内容</w:t>
      </w:r>
    </w:p>
    <w:bookmarkEnd w:id="0"/>
    <w:bookmarkEnd w:id="1"/>
    <w:bookmarkEnd w:id="2"/>
    <w:p>
      <w:pPr>
        <w:spacing w:line="360" w:lineRule="auto"/>
        <w:rPr>
          <w:rFonts w:ascii="宋体" w:hAnsi="宋体"/>
          <w:b/>
          <w:szCs w:val="21"/>
          <w:highlight w:val="none"/>
        </w:rPr>
      </w:pPr>
      <w:r>
        <w:rPr>
          <w:rFonts w:hint="eastAsia" w:ascii="宋体" w:hAnsi="宋体"/>
          <w:b/>
          <w:szCs w:val="21"/>
          <w:highlight w:val="none"/>
        </w:rPr>
        <w:t>1、招标条件</w:t>
      </w:r>
    </w:p>
    <w:p>
      <w:pPr>
        <w:adjustRightInd w:val="0"/>
        <w:snapToGrid w:val="0"/>
        <w:spacing w:line="360" w:lineRule="auto"/>
        <w:ind w:firstLine="420" w:firstLineChars="200"/>
        <w:rPr>
          <w:szCs w:val="21"/>
          <w:highlight w:val="none"/>
        </w:rPr>
      </w:pPr>
      <w:r>
        <w:rPr>
          <w:rFonts w:hint="eastAsia"/>
          <w:szCs w:val="21"/>
          <w:highlight w:val="none"/>
        </w:rPr>
        <w:t>本招标项目</w:t>
      </w:r>
      <w:bookmarkStart w:id="3" w:name="_Toc355376932"/>
      <w:r>
        <w:rPr>
          <w:rFonts w:hint="eastAsia" w:ascii="宋体" w:hAnsi="宋体" w:eastAsia="宋体" w:cs="宋体"/>
          <w:bCs/>
          <w:color w:val="000000"/>
          <w:kern w:val="0"/>
          <w:szCs w:val="21"/>
          <w:highlight w:val="none"/>
          <w:lang w:val="en-US" w:eastAsia="zh-CN"/>
        </w:rPr>
        <w:t>全省传输系统接入层升级改造专项一期</w:t>
      </w:r>
      <w:r>
        <w:rPr>
          <w:rFonts w:hint="eastAsia" w:ascii="宋体" w:hAnsi="宋体" w:eastAsia="宋体" w:cs="宋体"/>
          <w:bCs/>
          <w:color w:val="000000"/>
          <w:kern w:val="0"/>
          <w:szCs w:val="21"/>
          <w:highlight w:val="none"/>
        </w:rPr>
        <w:t>工程</w:t>
      </w:r>
      <w:r>
        <w:rPr>
          <w:rFonts w:hint="eastAsia"/>
          <w:szCs w:val="21"/>
          <w:highlight w:val="none"/>
        </w:rPr>
        <w:t>已获得</w:t>
      </w:r>
      <w:r>
        <w:rPr>
          <w:rFonts w:hint="eastAsia" w:ascii="宋体" w:hAnsi="宋体" w:cs="宋体"/>
          <w:color w:val="000000"/>
          <w:kern w:val="0"/>
          <w:szCs w:val="21"/>
          <w:highlight w:val="none"/>
          <w:lang w:val="zh-CN"/>
        </w:rPr>
        <w:t>批准建设，项目业主（招标人）为</w:t>
      </w:r>
      <w:r>
        <w:rPr>
          <w:rFonts w:hint="eastAsia" w:ascii="宋体" w:hAnsi="宋体" w:cs="宋体"/>
          <w:bCs/>
          <w:color w:val="000000"/>
          <w:kern w:val="0"/>
          <w:szCs w:val="21"/>
          <w:highlight w:val="none"/>
        </w:rPr>
        <w:t>吉林省高速公路集团有限公司</w:t>
      </w:r>
      <w:r>
        <w:rPr>
          <w:rFonts w:hint="eastAsia" w:ascii="宋体" w:hAnsi="宋体" w:cs="宋体"/>
          <w:color w:val="000000"/>
          <w:kern w:val="0"/>
          <w:szCs w:val="21"/>
          <w:highlight w:val="none"/>
          <w:lang w:val="zh-CN"/>
        </w:rPr>
        <w:t>，建设资金来</w:t>
      </w:r>
      <w:r>
        <w:rPr>
          <w:rFonts w:hint="eastAsia" w:ascii="宋体" w:hAnsi="宋体" w:cs="宋体"/>
          <w:kern w:val="0"/>
          <w:szCs w:val="21"/>
          <w:highlight w:val="none"/>
          <w:lang w:val="zh-CN"/>
        </w:rPr>
        <w:t>自</w:t>
      </w:r>
      <w:r>
        <w:rPr>
          <w:rFonts w:hint="eastAsia" w:ascii="宋体" w:hAnsi="宋体" w:cs="宋体"/>
          <w:kern w:val="0"/>
          <w:szCs w:val="21"/>
          <w:highlight w:val="none"/>
        </w:rPr>
        <w:t>企业自筹</w:t>
      </w:r>
      <w:r>
        <w:rPr>
          <w:rFonts w:hint="eastAsia" w:ascii="宋体" w:hAnsi="宋体" w:cs="宋体"/>
          <w:kern w:val="0"/>
          <w:szCs w:val="21"/>
          <w:highlight w:val="none"/>
          <w:lang w:val="zh-CN"/>
        </w:rPr>
        <w:t>。</w:t>
      </w:r>
      <w:r>
        <w:rPr>
          <w:rFonts w:hint="eastAsia"/>
          <w:szCs w:val="21"/>
          <w:highlight w:val="none"/>
        </w:rPr>
        <w:t>项目已具备招标条件，现对该项目的施工</w:t>
      </w:r>
      <w:bookmarkStart w:id="4" w:name="OLE_LINK9"/>
      <w:r>
        <w:rPr>
          <w:rFonts w:hint="eastAsia"/>
          <w:szCs w:val="21"/>
          <w:highlight w:val="none"/>
        </w:rPr>
        <w:t>进行公开招标</w:t>
      </w:r>
      <w:bookmarkEnd w:id="4"/>
      <w:bookmarkStart w:id="5" w:name="OLE_LINK10"/>
      <w:r>
        <w:rPr>
          <w:rFonts w:hint="eastAsia"/>
          <w:szCs w:val="21"/>
          <w:highlight w:val="none"/>
        </w:rPr>
        <w:t>。</w:t>
      </w:r>
      <w:bookmarkEnd w:id="5"/>
    </w:p>
    <w:p>
      <w:pPr>
        <w:spacing w:line="360" w:lineRule="auto"/>
        <w:rPr>
          <w:rFonts w:ascii="宋体" w:hAnsi="宋体"/>
          <w:b/>
          <w:szCs w:val="21"/>
          <w:highlight w:val="none"/>
        </w:rPr>
      </w:pPr>
      <w:r>
        <w:rPr>
          <w:rFonts w:hint="eastAsia" w:ascii="宋体" w:hAnsi="宋体"/>
          <w:b/>
          <w:szCs w:val="21"/>
          <w:highlight w:val="none"/>
        </w:rPr>
        <w:t>2、项目概况与招标范围</w:t>
      </w:r>
      <w:bookmarkEnd w:id="3"/>
    </w:p>
    <w:p>
      <w:pPr>
        <w:tabs>
          <w:tab w:val="left" w:pos="0"/>
        </w:tabs>
        <w:spacing w:line="360" w:lineRule="auto"/>
        <w:ind w:firstLine="420" w:firstLineChars="200"/>
        <w:rPr>
          <w:rFonts w:ascii="宋体" w:hAnsi="宋体"/>
          <w:szCs w:val="21"/>
          <w:highlight w:val="none"/>
        </w:rPr>
      </w:pPr>
      <w:bookmarkStart w:id="6" w:name="OLE_LINK11"/>
      <w:bookmarkStart w:id="7" w:name="_Toc355376933"/>
      <w:r>
        <w:rPr>
          <w:rFonts w:ascii="宋体" w:hAnsi="宋体"/>
          <w:szCs w:val="21"/>
          <w:highlight w:val="none"/>
        </w:rPr>
        <w:t>2.1</w:t>
      </w:r>
      <w:r>
        <w:rPr>
          <w:rFonts w:hint="eastAsia" w:ascii="宋体" w:hAnsi="宋体"/>
          <w:szCs w:val="21"/>
          <w:highlight w:val="none"/>
        </w:rPr>
        <w:t>建设地点：吉林省境内</w:t>
      </w:r>
    </w:p>
    <w:p>
      <w:pPr>
        <w:spacing w:line="360" w:lineRule="auto"/>
        <w:ind w:firstLine="420"/>
        <w:rPr>
          <w:rFonts w:ascii="宋体" w:hAnsi="宋体"/>
          <w:color w:val="000000"/>
          <w:szCs w:val="21"/>
          <w:highlight w:val="none"/>
        </w:rPr>
      </w:pPr>
      <w:r>
        <w:rPr>
          <w:rFonts w:hint="eastAsia" w:ascii="宋体" w:hAnsi="宋体"/>
          <w:color w:val="000000"/>
          <w:szCs w:val="21"/>
          <w:highlight w:val="none"/>
        </w:rPr>
        <w:t>2.2</w:t>
      </w:r>
      <w:r>
        <w:rPr>
          <w:rFonts w:hint="eastAsia" w:ascii="宋体" w:hAnsi="宋体"/>
          <w:color w:val="000000"/>
          <w:szCs w:val="21"/>
          <w:highlight w:val="none"/>
          <w:lang w:val="en-US" w:eastAsia="zh-CN"/>
        </w:rPr>
        <w:t>工程</w:t>
      </w:r>
      <w:r>
        <w:rPr>
          <w:rFonts w:hint="eastAsia" w:ascii="宋体" w:hAnsi="宋体"/>
          <w:color w:val="000000"/>
          <w:szCs w:val="21"/>
          <w:highlight w:val="none"/>
        </w:rPr>
        <w:t>规模：</w:t>
      </w:r>
      <w:r>
        <w:rPr>
          <w:rFonts w:hint="eastAsia" w:ascii="宋体" w:hAnsi="宋体"/>
          <w:color w:val="000000"/>
          <w:szCs w:val="21"/>
          <w:highlight w:val="none"/>
          <w:lang w:val="en-US" w:eastAsia="zh-CN"/>
        </w:rPr>
        <w:t>全省传输系统接入层升级改造专项一期</w:t>
      </w:r>
      <w:r>
        <w:rPr>
          <w:rFonts w:hint="eastAsia" w:ascii="宋体" w:hAnsi="宋体"/>
          <w:color w:val="000000"/>
          <w:szCs w:val="21"/>
          <w:highlight w:val="none"/>
        </w:rPr>
        <w:t>工程</w:t>
      </w:r>
      <w:r>
        <w:rPr>
          <w:rFonts w:hint="eastAsia" w:ascii="宋体" w:hAnsi="宋体"/>
          <w:color w:val="000000"/>
          <w:szCs w:val="21"/>
          <w:highlight w:val="none"/>
          <w:lang w:eastAsia="zh-CN"/>
        </w:rPr>
        <w:t>包括：</w:t>
      </w:r>
      <w:r>
        <w:rPr>
          <w:rFonts w:hint="eastAsia" w:ascii="宋体" w:hAnsi="宋体"/>
          <w:color w:val="000000"/>
          <w:szCs w:val="21"/>
          <w:highlight w:val="none"/>
          <w:lang w:val="en-US" w:eastAsia="zh-CN"/>
        </w:rPr>
        <w:t>（1）对延吉、长白山、通化、靖宇四个区域分公司及所辖通信站进行传输系统升级改造，主要包含：8 个汇聚节点及 74 个接入节点传输设备迭代升级；（2）将执法局、人民大街 11711 号机房内传输设备迁移至长春南收费站并以单链形式挂在骨干环网下</w:t>
      </w:r>
      <w:r>
        <w:rPr>
          <w:rFonts w:hint="eastAsia" w:ascii="宋体" w:hAnsi="宋体" w:eastAsia="宋体" w:cs="Times New Roman"/>
          <w:szCs w:val="21"/>
          <w:highlight w:val="none"/>
        </w:rPr>
        <w:t>。</w:t>
      </w:r>
    </w:p>
    <w:p>
      <w:pPr>
        <w:spacing w:line="360" w:lineRule="auto"/>
        <w:ind w:firstLine="420"/>
        <w:rPr>
          <w:rFonts w:ascii="宋体" w:hAnsi="宋体"/>
          <w:szCs w:val="21"/>
          <w:highlight w:val="none"/>
        </w:rPr>
      </w:pPr>
      <w:r>
        <w:rPr>
          <w:rFonts w:hint="eastAsia" w:ascii="宋体" w:hAnsi="宋体"/>
          <w:szCs w:val="21"/>
          <w:highlight w:val="none"/>
        </w:rPr>
        <w:t>2.3计划工期：2023年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日至2023年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lang w:val="en-US" w:eastAsia="zh-CN"/>
        </w:rPr>
        <w:t>82日历天</w:t>
      </w:r>
      <w:r>
        <w:rPr>
          <w:rFonts w:hint="eastAsia" w:ascii="宋体" w:hAnsi="宋体"/>
          <w:szCs w:val="21"/>
          <w:highlight w:val="none"/>
        </w:rPr>
        <w:t>；</w:t>
      </w:r>
    </w:p>
    <w:p>
      <w:pPr>
        <w:spacing w:line="360" w:lineRule="auto"/>
        <w:ind w:firstLine="420"/>
        <w:rPr>
          <w:rFonts w:hint="eastAsia" w:ascii="宋体" w:hAnsi="宋体"/>
          <w:color w:val="000000"/>
          <w:szCs w:val="21"/>
          <w:highlight w:val="none"/>
          <w:lang w:val="en-US" w:eastAsia="zh-CN"/>
        </w:rPr>
      </w:pPr>
      <w:r>
        <w:rPr>
          <w:rFonts w:hint="eastAsia" w:ascii="宋体" w:hAnsi="宋体"/>
          <w:szCs w:val="21"/>
          <w:highlight w:val="none"/>
        </w:rPr>
        <w:t>2.4标段划分：</w:t>
      </w:r>
      <w:r>
        <w:rPr>
          <w:rFonts w:hint="eastAsia" w:ascii="宋体" w:hAnsi="宋体"/>
          <w:color w:val="000000"/>
          <w:szCs w:val="21"/>
          <w:highlight w:val="none"/>
          <w:lang w:val="en-US" w:eastAsia="zh-CN"/>
        </w:rPr>
        <w:t>划分为1个标段，即JD01标段。</w:t>
      </w:r>
    </w:p>
    <w:p>
      <w:pPr>
        <w:spacing w:line="360" w:lineRule="auto"/>
        <w:ind w:firstLine="420"/>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2.5招标范围：全省传输系统接入层升级改造专项一期工程施工图设计范围内所有工程的施工。</w:t>
      </w:r>
    </w:p>
    <w:bookmarkEnd w:id="6"/>
    <w:p>
      <w:pPr>
        <w:tabs>
          <w:tab w:val="left" w:pos="0"/>
        </w:tabs>
        <w:spacing w:line="360" w:lineRule="auto"/>
        <w:rPr>
          <w:rFonts w:ascii="宋体" w:hAnsi="宋体"/>
          <w:b/>
          <w:szCs w:val="21"/>
          <w:highlight w:val="none"/>
        </w:rPr>
      </w:pPr>
      <w:r>
        <w:rPr>
          <w:rFonts w:hint="eastAsia" w:ascii="宋体" w:hAnsi="宋体"/>
          <w:b/>
          <w:szCs w:val="21"/>
          <w:highlight w:val="none"/>
        </w:rPr>
        <w:t>3、投标人资格要求</w:t>
      </w:r>
      <w:bookmarkEnd w:id="7"/>
    </w:p>
    <w:p>
      <w:pPr>
        <w:spacing w:line="360" w:lineRule="auto"/>
        <w:ind w:firstLine="420" w:firstLineChars="200"/>
        <w:jc w:val="left"/>
        <w:rPr>
          <w:rFonts w:hint="eastAsia" w:hAnsi="宋体" w:cs="宋体"/>
          <w:kern w:val="0"/>
          <w:highlight w:val="none"/>
        </w:rPr>
      </w:pPr>
      <w:r>
        <w:rPr>
          <w:rFonts w:ascii="宋体" w:hAnsi="宋体"/>
          <w:szCs w:val="21"/>
          <w:highlight w:val="none"/>
        </w:rPr>
        <w:t>3.1</w:t>
      </w:r>
      <w:r>
        <w:rPr>
          <w:rFonts w:hint="eastAsia" w:hAnsi="宋体"/>
          <w:highlight w:val="none"/>
        </w:rPr>
        <w:t>本次招标要求投标人</w:t>
      </w:r>
      <w:r>
        <w:rPr>
          <w:rFonts w:hint="eastAsia" w:hAnsi="宋体"/>
          <w:highlight w:val="none"/>
          <w:lang w:val="en-US" w:eastAsia="zh-CN"/>
        </w:rPr>
        <w:t>具有</w:t>
      </w:r>
      <w:r>
        <w:rPr>
          <w:rFonts w:hint="eastAsia" w:ascii="宋体" w:hAnsi="宋体" w:eastAsia="宋体" w:cs="宋体"/>
          <w:kern w:val="0"/>
          <w:highlight w:val="none"/>
          <w:vertAlign w:val="baseline"/>
          <w:lang w:eastAsia="zh-CN"/>
        </w:rPr>
        <w:t>公路交通工程（公路机电工程分项）专业承包一级资质</w:t>
      </w:r>
      <w:r>
        <w:rPr>
          <w:rFonts w:hint="eastAsia" w:ascii="宋体" w:hAnsi="宋体" w:cs="宋体"/>
          <w:kern w:val="0"/>
          <w:highlight w:val="none"/>
          <w:vertAlign w:val="baseline"/>
          <w:lang w:eastAsia="zh-CN"/>
        </w:rPr>
        <w:t>，在2018年1月1日后（以交工时间为准），完成过1项单项合同额不低于1000万元的高速公路机电工程施工业绩</w:t>
      </w:r>
      <w:r>
        <w:rPr>
          <w:rFonts w:hint="eastAsia"/>
          <w:color w:val="000000"/>
          <w:szCs w:val="21"/>
          <w:highlight w:val="none"/>
          <w:shd w:val="clear" w:color="auto" w:fill="FFFFFF"/>
          <w:lang w:eastAsia="zh-CN"/>
        </w:rPr>
        <w:t>，</w:t>
      </w:r>
      <w:r>
        <w:rPr>
          <w:rFonts w:hint="eastAsia" w:ascii="宋体" w:hAnsi="宋体" w:cs="宋体"/>
          <w:kern w:val="0"/>
          <w:highlight w:val="none"/>
        </w:rPr>
        <w:t>并在人员、设备、资金等方面具</w:t>
      </w:r>
      <w:r>
        <w:rPr>
          <w:rFonts w:hint="eastAsia" w:hAnsi="宋体" w:cs="宋体"/>
          <w:kern w:val="0"/>
          <w:highlight w:val="none"/>
        </w:rPr>
        <w:t>有相应的施工能力。</w:t>
      </w:r>
    </w:p>
    <w:p>
      <w:pPr>
        <w:spacing w:line="360" w:lineRule="auto"/>
        <w:ind w:firstLine="420" w:firstLineChars="200"/>
        <w:jc w:val="left"/>
        <w:rPr>
          <w:color w:val="000000"/>
          <w:sz w:val="20"/>
          <w:szCs w:val="20"/>
          <w:highlight w:val="none"/>
          <w:shd w:val="clear" w:color="auto" w:fill="FFFFFF"/>
        </w:rPr>
      </w:pPr>
      <w:r>
        <w:rPr>
          <w:rFonts w:hint="eastAsia" w:ascii="宋体" w:hAnsi="宋体" w:eastAsia="宋体" w:cs="宋体"/>
          <w:highlight w:val="none"/>
        </w:rPr>
        <w:t>投标人应进入交通运输部“全国公路建设市场信用信息</w:t>
      </w:r>
      <w:r>
        <w:rPr>
          <w:rFonts w:hint="eastAsia" w:ascii="宋体" w:hAnsi="宋体" w:eastAsia="宋体" w:cs="宋体"/>
          <w:szCs w:val="21"/>
          <w:highlight w:val="none"/>
        </w:rPr>
        <w:t>管理系统（http:glxy.mot.gov.cn)”中</w:t>
      </w:r>
      <w:r>
        <w:rPr>
          <w:rFonts w:hint="eastAsia" w:ascii="宋体" w:hAnsi="宋体" w:eastAsia="宋体" w:cs="宋体"/>
          <w:highlight w:val="none"/>
        </w:rPr>
        <w:t>的公路工程施工资质企业名录，且投</w:t>
      </w:r>
      <w:r>
        <w:rPr>
          <w:rFonts w:hAnsi="宋体"/>
          <w:highlight w:val="none"/>
        </w:rPr>
        <w:t>标人名称和资质</w:t>
      </w:r>
      <w:r>
        <w:rPr>
          <w:rFonts w:hint="eastAsia" w:hAnsi="宋体"/>
          <w:highlight w:val="none"/>
          <w:lang w:eastAsia="zh-CN"/>
        </w:rPr>
        <w:t>（指</w:t>
      </w:r>
      <w:r>
        <w:rPr>
          <w:rFonts w:hint="eastAsia" w:ascii="宋体" w:hAnsi="宋体" w:eastAsia="宋体" w:cs="宋体"/>
          <w:kern w:val="0"/>
          <w:highlight w:val="none"/>
          <w:vertAlign w:val="baseline"/>
          <w:lang w:eastAsia="zh-CN"/>
        </w:rPr>
        <w:t>公路交通工程（公路机电工程分项）专业承包</w:t>
      </w:r>
      <w:r>
        <w:rPr>
          <w:rFonts w:hint="eastAsia" w:ascii="宋体" w:hAnsi="宋体" w:cs="宋体"/>
          <w:kern w:val="0"/>
          <w:highlight w:val="none"/>
          <w:vertAlign w:val="baseline"/>
          <w:lang w:eastAsia="zh-CN"/>
        </w:rPr>
        <w:t>资质</w:t>
      </w:r>
      <w:r>
        <w:rPr>
          <w:rFonts w:hint="eastAsia" w:hAnsi="宋体"/>
          <w:highlight w:val="none"/>
          <w:lang w:eastAsia="zh-CN"/>
        </w:rPr>
        <w:t>）</w:t>
      </w:r>
      <w:r>
        <w:rPr>
          <w:rFonts w:hAnsi="宋体"/>
          <w:highlight w:val="none"/>
        </w:rPr>
        <w:t>与该名录中的相应企业名称和资质完全一致</w:t>
      </w:r>
      <w:r>
        <w:rPr>
          <w:rFonts w:hint="eastAsia" w:hAnsi="宋体"/>
          <w:highlight w:val="none"/>
        </w:rPr>
        <w:t>。</w:t>
      </w:r>
    </w:p>
    <w:p>
      <w:pPr>
        <w:adjustRightInd w:val="0"/>
        <w:snapToGrid w:val="0"/>
        <w:spacing w:line="360" w:lineRule="auto"/>
        <w:ind w:firstLine="420" w:firstLineChars="200"/>
        <w:rPr>
          <w:rFonts w:ascii="宋体" w:hAnsi="宋体"/>
          <w:szCs w:val="21"/>
          <w:highlight w:val="none"/>
        </w:rPr>
      </w:pPr>
      <w:r>
        <w:rPr>
          <w:rFonts w:ascii="宋体" w:hAnsi="宋体" w:cs="Courier New"/>
          <w:szCs w:val="21"/>
          <w:highlight w:val="none"/>
        </w:rPr>
        <w:t>3.2</w:t>
      </w:r>
      <w:r>
        <w:rPr>
          <w:rFonts w:hint="eastAsia" w:ascii="宋体" w:hAnsi="宋体" w:cs="Courier New"/>
          <w:szCs w:val="21"/>
          <w:highlight w:val="none"/>
        </w:rPr>
        <w:t>本次招标</w:t>
      </w:r>
      <w:bookmarkStart w:id="8" w:name="_Toc355376934"/>
      <w:r>
        <w:rPr>
          <w:rFonts w:hint="eastAsia" w:ascii="宋体" w:hAnsi="宋体" w:cs="Courier New"/>
          <w:szCs w:val="21"/>
          <w:highlight w:val="none"/>
        </w:rPr>
        <w:t>不接受联合体投标。</w:t>
      </w:r>
    </w:p>
    <w:bookmarkEnd w:id="8"/>
    <w:p>
      <w:pPr>
        <w:tabs>
          <w:tab w:val="left" w:pos="540"/>
        </w:tabs>
        <w:spacing w:line="360" w:lineRule="auto"/>
        <w:ind w:firstLine="420" w:firstLineChars="200"/>
        <w:rPr>
          <w:rFonts w:ascii="宋体" w:hAnsi="宋体" w:eastAsia="宋体" w:cs="Courier New"/>
          <w:szCs w:val="21"/>
          <w:highlight w:val="none"/>
        </w:rPr>
      </w:pPr>
      <w:r>
        <w:rPr>
          <w:rFonts w:hint="eastAsia" w:ascii="宋体" w:hAnsi="宋体"/>
          <w:szCs w:val="21"/>
          <w:highlight w:val="none"/>
        </w:rPr>
        <w:t>3.</w:t>
      </w:r>
      <w:r>
        <w:rPr>
          <w:rFonts w:hint="eastAsia" w:ascii="宋体" w:hAnsi="宋体"/>
          <w:szCs w:val="21"/>
          <w:highlight w:val="none"/>
          <w:lang w:val="en-US" w:eastAsia="zh-CN"/>
        </w:rPr>
        <w:t>3</w:t>
      </w:r>
      <w:r>
        <w:rPr>
          <w:rFonts w:hint="eastAsia" w:ascii="宋体" w:hAnsi="宋体" w:eastAsia="宋体" w:cs="Courier New"/>
          <w:szCs w:val="21"/>
          <w:highlight w:val="none"/>
        </w:rPr>
        <w:t>与招标人存在利害关系可能影响招标公正性的单位，不得参加投标。单位负责人为同一人或存在控股、管理关系的不同单位，不得同时参加同一标段投标，否则，相关投标均无效。</w:t>
      </w:r>
    </w:p>
    <w:p>
      <w:pPr>
        <w:tabs>
          <w:tab w:val="left" w:pos="540"/>
        </w:tabs>
        <w:spacing w:line="360" w:lineRule="auto"/>
        <w:ind w:firstLine="420" w:firstLineChars="200"/>
        <w:rPr>
          <w:rFonts w:hint="eastAsia" w:ascii="宋体" w:hAnsi="宋体" w:cs="宋体"/>
          <w:szCs w:val="21"/>
          <w:highlight w:val="none"/>
        </w:rPr>
        <w:sectPr>
          <w:pgSz w:w="11906" w:h="16838"/>
          <w:pgMar w:top="1418" w:right="1701" w:bottom="1588" w:left="1701"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szCs w:val="21"/>
          <w:highlight w:val="none"/>
        </w:rPr>
        <w:t>3.</w:t>
      </w:r>
      <w:r>
        <w:rPr>
          <w:rFonts w:hint="eastAsia" w:ascii="宋体" w:hAnsi="宋体"/>
          <w:szCs w:val="21"/>
          <w:highlight w:val="none"/>
          <w:lang w:val="en-US" w:eastAsia="zh-CN"/>
        </w:rPr>
        <w:t>4</w:t>
      </w:r>
      <w:r>
        <w:rPr>
          <w:rFonts w:hint="eastAsia" w:ascii="宋体" w:hAnsi="宋体"/>
          <w:szCs w:val="21"/>
          <w:highlight w:val="none"/>
        </w:rPr>
        <w:t>在“信用中国”网</w:t>
      </w:r>
      <w:r>
        <w:rPr>
          <w:rFonts w:hint="eastAsia" w:ascii="宋体" w:hAnsi="宋体" w:cs="宋体"/>
          <w:szCs w:val="21"/>
          <w:highlight w:val="none"/>
        </w:rPr>
        <w:t>站（</w:t>
      </w:r>
      <w:r>
        <w:rPr>
          <w:rFonts w:hint="eastAsia" w:ascii="宋体" w:hAnsi="宋体" w:cs="宋体"/>
          <w:szCs w:val="21"/>
          <w:highlight w:val="none"/>
          <w:lang w:bidi="en-US"/>
        </w:rPr>
        <w:t>http://www.creditchina.gov.cn/</w:t>
      </w:r>
      <w:r>
        <w:rPr>
          <w:rFonts w:hint="eastAsia" w:ascii="宋体" w:hAnsi="宋体" w:cs="宋体"/>
          <w:szCs w:val="21"/>
          <w:highlight w:val="none"/>
        </w:rPr>
        <w:t>）中被列入失信被执行人名单的投标人，不得参加投标。</w:t>
      </w:r>
    </w:p>
    <w:p>
      <w:pPr>
        <w:pStyle w:val="3"/>
        <w:keepNext w:val="0"/>
        <w:keepLines w:val="0"/>
        <w:numPr>
          <w:ilvl w:val="0"/>
          <w:numId w:val="0"/>
        </w:numPr>
        <w:spacing w:before="0" w:after="0" w:line="240" w:lineRule="auto"/>
        <w:jc w:val="left"/>
        <w:rPr>
          <w:rFonts w:hint="eastAsia" w:ascii="宋体" w:hAnsi="宋体" w:cs="宋体"/>
          <w:b/>
          <w:bCs/>
          <w:color w:val="000000"/>
          <w:kern w:val="44"/>
          <w:sz w:val="24"/>
          <w:szCs w:val="24"/>
          <w:highlight w:val="none"/>
          <w:lang w:val="en-US" w:eastAsia="zh-CN"/>
        </w:rPr>
      </w:pPr>
      <w:r>
        <w:rPr>
          <w:rFonts w:hint="eastAsia" w:ascii="宋体" w:hAnsi="宋体" w:cs="宋体"/>
          <w:b/>
          <w:bCs/>
          <w:color w:val="000000"/>
          <w:kern w:val="44"/>
          <w:sz w:val="24"/>
          <w:szCs w:val="24"/>
          <w:highlight w:val="none"/>
          <w:lang w:val="en-US" w:eastAsia="zh-CN"/>
        </w:rPr>
        <w:t>4.最低资格条件</w:t>
      </w:r>
    </w:p>
    <w:p>
      <w:pPr>
        <w:widowControl w:val="0"/>
        <w:numPr>
          <w:ilvl w:val="0"/>
          <w:numId w:val="0"/>
        </w:numPr>
        <w:jc w:val="both"/>
        <w:rPr>
          <w:rFonts w:hint="eastAsia"/>
          <w:lang w:val="en-US" w:eastAsia="zh-CN"/>
        </w:rPr>
      </w:pPr>
    </w:p>
    <w:p>
      <w:pPr>
        <w:pStyle w:val="3"/>
        <w:keepNext w:val="0"/>
        <w:keepLines w:val="0"/>
        <w:spacing w:before="100" w:beforeAutospacing="1" w:after="0" w:line="240" w:lineRule="auto"/>
        <w:jc w:val="center"/>
        <w:rPr>
          <w:rFonts w:ascii="黑体" w:hAnsi="黑体" w:eastAsia="黑体"/>
          <w:sz w:val="28"/>
          <w:szCs w:val="28"/>
          <w:highlight w:val="none"/>
        </w:rPr>
      </w:pPr>
      <w:bookmarkStart w:id="9" w:name="_Toc138920822"/>
      <w:bookmarkStart w:id="10" w:name="_Toc11858"/>
      <w:r>
        <w:rPr>
          <w:rFonts w:hint="eastAsia" w:ascii="黑体" w:hAnsi="黑体" w:eastAsia="黑体"/>
          <w:sz w:val="28"/>
          <w:szCs w:val="28"/>
          <w:highlight w:val="none"/>
        </w:rPr>
        <w:t>附录1 资格审查条件（资质最低要求）</w:t>
      </w:r>
      <w:bookmarkEnd w:id="9"/>
      <w:bookmarkEnd w:id="10"/>
    </w:p>
    <w:tbl>
      <w:tblPr>
        <w:tblStyle w:val="11"/>
        <w:tblW w:w="95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8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0" w:type="dxa"/>
            <w:tcBorders>
              <w:tl2br w:val="nil"/>
              <w:tr2bl w:val="nil"/>
            </w:tcBorders>
            <w:vAlign w:val="center"/>
          </w:tcPr>
          <w:p>
            <w:pPr>
              <w:jc w:val="center"/>
              <w:rPr>
                <w:rFonts w:ascii="宋体" w:hAnsi="宋体"/>
                <w:szCs w:val="21"/>
                <w:highlight w:val="none"/>
              </w:rPr>
            </w:pPr>
            <w:r>
              <w:rPr>
                <w:rFonts w:hint="eastAsia" w:ascii="宋体" w:hAnsi="宋体"/>
                <w:szCs w:val="21"/>
                <w:highlight w:val="none"/>
              </w:rPr>
              <w:t>标段</w:t>
            </w:r>
          </w:p>
        </w:tc>
        <w:tc>
          <w:tcPr>
            <w:tcW w:w="8196" w:type="dxa"/>
            <w:tcBorders>
              <w:tl2br w:val="nil"/>
              <w:tr2bl w:val="nil"/>
            </w:tcBorders>
            <w:vAlign w:val="center"/>
          </w:tcPr>
          <w:p>
            <w:pPr>
              <w:jc w:val="center"/>
              <w:rPr>
                <w:rFonts w:ascii="宋体" w:hAnsi="宋体"/>
                <w:szCs w:val="21"/>
                <w:highlight w:val="none"/>
              </w:rPr>
            </w:pPr>
            <w:r>
              <w:rPr>
                <w:rFonts w:hint="eastAsia" w:ascii="宋体" w:hAnsi="宋体"/>
                <w:szCs w:val="21"/>
                <w:highlight w:val="none"/>
              </w:rPr>
              <w:t>施工企业资质等级要求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20" w:type="dxa"/>
            <w:tcBorders>
              <w:tl2br w:val="nil"/>
              <w:tr2bl w:val="nil"/>
            </w:tcBorders>
            <w:vAlign w:val="center"/>
          </w:tcPr>
          <w:p>
            <w:pPr>
              <w:tabs>
                <w:tab w:val="left" w:pos="0"/>
              </w:tabs>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JD01</w:t>
            </w:r>
          </w:p>
        </w:tc>
        <w:tc>
          <w:tcPr>
            <w:tcW w:w="8196" w:type="dxa"/>
            <w:tcBorders>
              <w:tl2br w:val="nil"/>
              <w:tr2bl w:val="nil"/>
            </w:tcBorders>
            <w:vAlign w:val="center"/>
          </w:tcPr>
          <w:p>
            <w:pPr>
              <w:spacing w:line="360" w:lineRule="auto"/>
              <w:jc w:val="both"/>
              <w:rPr>
                <w:rFonts w:ascii="宋体" w:hAnsi="宋体"/>
                <w:bCs/>
                <w:szCs w:val="21"/>
                <w:highlight w:val="none"/>
              </w:rPr>
            </w:pPr>
            <w:r>
              <w:rPr>
                <w:rFonts w:hint="eastAsia" w:ascii="宋体" w:hAnsi="宋体" w:eastAsia="宋体" w:cs="宋体"/>
                <w:kern w:val="0"/>
                <w:highlight w:val="none"/>
                <w:vertAlign w:val="baseline"/>
                <w:lang w:eastAsia="zh-CN"/>
              </w:rPr>
              <w:t>公路交通工程（公路机电工程分项）专业承包一级资质</w:t>
            </w:r>
          </w:p>
        </w:tc>
      </w:tr>
    </w:tbl>
    <w:p>
      <w:pPr>
        <w:pStyle w:val="3"/>
        <w:keepNext w:val="0"/>
        <w:keepLines w:val="0"/>
        <w:spacing w:before="100" w:beforeAutospacing="1" w:after="0" w:line="240" w:lineRule="auto"/>
        <w:jc w:val="center"/>
        <w:rPr>
          <w:rFonts w:hint="eastAsia" w:ascii="黑体" w:hAnsi="黑体" w:eastAsia="黑体"/>
          <w:sz w:val="28"/>
          <w:szCs w:val="28"/>
          <w:highlight w:val="none"/>
        </w:rPr>
      </w:pPr>
      <w:bookmarkStart w:id="11" w:name="_Toc26375"/>
      <w:bookmarkStart w:id="12" w:name="_Toc138920823"/>
    </w:p>
    <w:p>
      <w:pPr>
        <w:pStyle w:val="3"/>
        <w:keepNext w:val="0"/>
        <w:keepLines w:val="0"/>
        <w:spacing w:before="100" w:beforeAutospacing="1" w:after="0" w:line="240" w:lineRule="auto"/>
        <w:jc w:val="center"/>
        <w:rPr>
          <w:rFonts w:ascii="黑体" w:hAnsi="黑体" w:eastAsia="黑体"/>
          <w:sz w:val="28"/>
          <w:szCs w:val="28"/>
          <w:highlight w:val="none"/>
        </w:rPr>
      </w:pPr>
      <w:r>
        <w:rPr>
          <w:rFonts w:hint="eastAsia" w:ascii="黑体" w:hAnsi="黑体" w:eastAsia="黑体"/>
          <w:sz w:val="28"/>
          <w:szCs w:val="28"/>
          <w:highlight w:val="none"/>
        </w:rPr>
        <w:t>附录2 资格审查条件（财务最低要求）</w:t>
      </w:r>
      <w:bookmarkEnd w:id="11"/>
      <w:bookmarkEnd w:id="12"/>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8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1365"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szCs w:val="21"/>
                <w:highlight w:val="none"/>
              </w:rPr>
            </w:pPr>
            <w:r>
              <w:rPr>
                <w:rFonts w:hint="eastAsia" w:ascii="宋体" w:hAnsi="宋体"/>
                <w:szCs w:val="21"/>
                <w:highlight w:val="none"/>
              </w:rPr>
              <w:t>标段</w:t>
            </w:r>
          </w:p>
        </w:tc>
        <w:tc>
          <w:tcPr>
            <w:tcW w:w="8151" w:type="dxa"/>
            <w:tcBorders>
              <w:top w:val="single" w:color="auto" w:sz="8" w:space="0"/>
              <w:left w:val="single" w:color="auto" w:sz="4" w:space="0"/>
              <w:bottom w:val="single" w:color="auto" w:sz="4" w:space="0"/>
              <w:right w:val="single" w:color="auto" w:sz="8" w:space="0"/>
            </w:tcBorders>
            <w:vAlign w:val="center"/>
          </w:tcPr>
          <w:p>
            <w:pPr>
              <w:spacing w:line="360" w:lineRule="auto"/>
              <w:jc w:val="center"/>
              <w:rPr>
                <w:rFonts w:hint="eastAsia"/>
                <w:szCs w:val="21"/>
                <w:highlight w:val="none"/>
              </w:rPr>
            </w:pPr>
            <w:r>
              <w:rPr>
                <w:rFonts w:hint="eastAsia"/>
                <w:szCs w:val="21"/>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jc w:val="center"/>
        </w:trPr>
        <w:tc>
          <w:tcPr>
            <w:tcW w:w="1365" w:type="dxa"/>
            <w:tcBorders>
              <w:top w:val="single" w:color="auto" w:sz="4" w:space="0"/>
              <w:left w:val="single" w:color="auto" w:sz="8" w:space="0"/>
              <w:bottom w:val="single" w:color="auto" w:sz="8" w:space="0"/>
              <w:right w:val="single" w:color="auto" w:sz="4" w:space="0"/>
            </w:tcBorders>
            <w:vAlign w:val="center"/>
          </w:tcPr>
          <w:p>
            <w:pPr>
              <w:pStyle w:val="6"/>
              <w:adjustRightInd w:val="0"/>
              <w:snapToGrid w:val="0"/>
              <w:spacing w:before="120" w:beforeLines="50"/>
              <w:jc w:val="center"/>
              <w:rPr>
                <w:rFonts w:ascii="宋体" w:hAnsi="宋体" w:cs="宋体"/>
                <w:color w:val="000000"/>
                <w:kern w:val="0"/>
                <w:szCs w:val="21"/>
                <w:highlight w:val="none"/>
              </w:rPr>
            </w:pPr>
            <w:r>
              <w:rPr>
                <w:rFonts w:hint="eastAsia" w:ascii="宋体" w:hAnsi="宋体"/>
                <w:color w:val="000000"/>
                <w:szCs w:val="21"/>
                <w:highlight w:val="none"/>
              </w:rPr>
              <w:t>JD01</w:t>
            </w:r>
          </w:p>
        </w:tc>
        <w:tc>
          <w:tcPr>
            <w:tcW w:w="8151"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50" w:afterLines="50" w:line="240" w:lineRule="auto"/>
              <w:jc w:val="left"/>
              <w:textAlignment w:val="auto"/>
              <w:rPr>
                <w:rFonts w:ascii="宋体" w:hAnsi="宋体" w:cs="宋体"/>
                <w:color w:val="000000"/>
                <w:kern w:val="0"/>
                <w:szCs w:val="21"/>
                <w:highlight w:val="none"/>
              </w:rPr>
            </w:pPr>
            <w:r>
              <w:rPr>
                <w:rFonts w:hint="eastAsia" w:ascii="宋体" w:hAnsi="宋体"/>
                <w:sz w:val="21"/>
                <w:szCs w:val="21"/>
                <w:highlight w:val="none"/>
                <w:vertAlign w:val="baseline"/>
                <w:lang w:val="en-US" w:eastAsia="zh-CN"/>
              </w:rPr>
              <w:t>投标人的2022年度经会计师事务所或审计机构审计的财务会计报表中流动资产与流动负债的比值不小于1。</w:t>
            </w:r>
          </w:p>
        </w:tc>
      </w:tr>
    </w:tbl>
    <w:p>
      <w:pPr>
        <w:pStyle w:val="3"/>
        <w:keepNext w:val="0"/>
        <w:keepLines w:val="0"/>
        <w:spacing w:before="100" w:beforeAutospacing="1" w:after="0" w:line="240" w:lineRule="auto"/>
        <w:jc w:val="center"/>
        <w:rPr>
          <w:rFonts w:hint="eastAsia" w:ascii="黑体" w:hAnsi="黑体" w:eastAsia="黑体"/>
          <w:sz w:val="28"/>
          <w:szCs w:val="28"/>
          <w:highlight w:val="none"/>
        </w:rPr>
      </w:pPr>
      <w:bookmarkStart w:id="13" w:name="_Toc138920824"/>
      <w:bookmarkStart w:id="14" w:name="_Toc16345"/>
    </w:p>
    <w:p>
      <w:pPr>
        <w:pStyle w:val="3"/>
        <w:keepNext w:val="0"/>
        <w:keepLines w:val="0"/>
        <w:spacing w:before="100" w:beforeAutospacing="1" w:after="0" w:line="240" w:lineRule="auto"/>
        <w:jc w:val="center"/>
        <w:rPr>
          <w:rFonts w:ascii="黑体" w:hAnsi="黑体" w:eastAsia="黑体"/>
          <w:sz w:val="28"/>
          <w:szCs w:val="28"/>
          <w:highlight w:val="none"/>
        </w:rPr>
      </w:pPr>
      <w:r>
        <w:rPr>
          <w:rFonts w:hint="eastAsia" w:ascii="黑体" w:hAnsi="黑体" w:eastAsia="黑体"/>
          <w:sz w:val="28"/>
          <w:szCs w:val="28"/>
          <w:highlight w:val="none"/>
        </w:rPr>
        <w:t>附录3 资格审查条件（业绩最低要求）</w:t>
      </w:r>
      <w:bookmarkEnd w:id="13"/>
      <w:bookmarkEnd w:id="14"/>
    </w:p>
    <w:tbl>
      <w:tblPr>
        <w:tblStyle w:val="11"/>
        <w:tblW w:w="95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1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3" w:type="dxa"/>
            <w:tcBorders>
              <w:tl2br w:val="nil"/>
              <w:tr2bl w:val="nil"/>
            </w:tcBorders>
            <w:vAlign w:val="center"/>
          </w:tcPr>
          <w:p>
            <w:pPr>
              <w:spacing w:line="0" w:lineRule="atLeast"/>
              <w:jc w:val="center"/>
              <w:rPr>
                <w:sz w:val="28"/>
                <w:szCs w:val="28"/>
                <w:highlight w:val="none"/>
              </w:rPr>
            </w:pPr>
            <w:r>
              <w:rPr>
                <w:rFonts w:hint="eastAsia" w:ascii="宋体" w:hAnsi="宋体"/>
                <w:szCs w:val="21"/>
                <w:highlight w:val="none"/>
              </w:rPr>
              <w:t>标段</w:t>
            </w:r>
          </w:p>
        </w:tc>
        <w:tc>
          <w:tcPr>
            <w:tcW w:w="8168" w:type="dxa"/>
            <w:tcBorders>
              <w:tl2br w:val="nil"/>
              <w:tr2bl w:val="nil"/>
            </w:tcBorders>
            <w:vAlign w:val="center"/>
          </w:tcPr>
          <w:p>
            <w:pPr>
              <w:spacing w:line="0" w:lineRule="atLeast"/>
              <w:jc w:val="center"/>
              <w:rPr>
                <w:sz w:val="28"/>
                <w:szCs w:val="28"/>
                <w:highlight w:val="none"/>
              </w:rPr>
            </w:pPr>
            <w:r>
              <w:rPr>
                <w:rFonts w:hint="eastAsia"/>
                <w:szCs w:val="21"/>
                <w:highlight w:val="none"/>
              </w:rPr>
              <w:t>业绩要求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353" w:type="dxa"/>
            <w:tcBorders>
              <w:tl2br w:val="nil"/>
              <w:tr2bl w:val="nil"/>
            </w:tcBorders>
            <w:vAlign w:val="center"/>
          </w:tcPr>
          <w:p>
            <w:pPr>
              <w:tabs>
                <w:tab w:val="left" w:pos="0"/>
              </w:tabs>
              <w:spacing w:line="0" w:lineRule="atLeast"/>
              <w:jc w:val="center"/>
              <w:rPr>
                <w:rFonts w:ascii="宋体" w:hAnsi="宋体"/>
                <w:color w:val="000000"/>
                <w:szCs w:val="21"/>
                <w:highlight w:val="none"/>
              </w:rPr>
            </w:pPr>
            <w:r>
              <w:rPr>
                <w:rFonts w:hint="eastAsia" w:ascii="宋体" w:hAnsi="宋体"/>
                <w:color w:val="000000"/>
                <w:szCs w:val="21"/>
                <w:highlight w:val="none"/>
              </w:rPr>
              <w:t>JD01</w:t>
            </w:r>
          </w:p>
        </w:tc>
        <w:tc>
          <w:tcPr>
            <w:tcW w:w="8168" w:type="dxa"/>
            <w:tcBorders>
              <w:tl2br w:val="nil"/>
              <w:tr2bl w:val="nil"/>
            </w:tcBorders>
            <w:vAlign w:val="center"/>
          </w:tcPr>
          <w:p>
            <w:pPr>
              <w:spacing w:line="360" w:lineRule="auto"/>
              <w:jc w:val="left"/>
              <w:rPr>
                <w:rFonts w:ascii="宋体" w:hAnsi="宋体"/>
                <w:szCs w:val="21"/>
                <w:highlight w:val="none"/>
              </w:rPr>
            </w:pPr>
            <w:r>
              <w:rPr>
                <w:rFonts w:hint="eastAsia" w:ascii="宋体" w:hAnsi="宋体"/>
                <w:szCs w:val="21"/>
                <w:highlight w:val="none"/>
                <w:lang w:eastAsia="zh-CN"/>
              </w:rPr>
              <w:t>在2018年1月1日后（以交工时间为准），完成过1项单项合同额不低于1000万元的高速公路机电工程施工业绩。</w:t>
            </w:r>
          </w:p>
        </w:tc>
      </w:tr>
    </w:tbl>
    <w:p>
      <w:pPr>
        <w:pStyle w:val="3"/>
        <w:keepNext w:val="0"/>
        <w:keepLines w:val="0"/>
        <w:spacing w:before="100" w:beforeAutospacing="1" w:after="0" w:line="240" w:lineRule="auto"/>
        <w:jc w:val="center"/>
        <w:rPr>
          <w:rFonts w:hint="eastAsia" w:ascii="黑体" w:hAnsi="黑体" w:eastAsia="黑体"/>
          <w:sz w:val="28"/>
          <w:szCs w:val="28"/>
          <w:highlight w:val="none"/>
        </w:rPr>
      </w:pPr>
      <w:bookmarkStart w:id="15" w:name="_Toc138920825"/>
      <w:bookmarkStart w:id="16" w:name="_Toc26437"/>
    </w:p>
    <w:p>
      <w:pPr>
        <w:pStyle w:val="3"/>
        <w:keepNext w:val="0"/>
        <w:keepLines w:val="0"/>
        <w:spacing w:before="100" w:beforeAutospacing="1" w:after="0" w:line="240" w:lineRule="auto"/>
        <w:jc w:val="center"/>
        <w:rPr>
          <w:rFonts w:ascii="黑体" w:hAnsi="黑体" w:eastAsia="黑体"/>
          <w:sz w:val="28"/>
          <w:szCs w:val="28"/>
          <w:highlight w:val="none"/>
        </w:rPr>
      </w:pPr>
      <w:r>
        <w:rPr>
          <w:rFonts w:hint="eastAsia" w:ascii="黑体" w:hAnsi="黑体" w:eastAsia="黑体"/>
          <w:sz w:val="28"/>
          <w:szCs w:val="28"/>
          <w:highlight w:val="none"/>
        </w:rPr>
        <w:t>附录4 资格审查条件（信誉最低要求）</w:t>
      </w:r>
      <w:bookmarkEnd w:id="15"/>
      <w:bookmarkEnd w:id="16"/>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5" w:hRule="atLeast"/>
          <w:jc w:val="center"/>
        </w:trPr>
        <w:tc>
          <w:tcPr>
            <w:tcW w:w="9540" w:type="dxa"/>
            <w:tcBorders>
              <w:tl2br w:val="nil"/>
              <w:tr2bl w:val="nil"/>
            </w:tcBorders>
            <w:vAlign w:val="center"/>
          </w:tcPr>
          <w:p>
            <w:pPr>
              <w:jc w:val="center"/>
              <w:rPr>
                <w:szCs w:val="21"/>
                <w:highlight w:val="none"/>
              </w:rPr>
            </w:pPr>
            <w:r>
              <w:rPr>
                <w:rFonts w:hint="eastAsia"/>
                <w:szCs w:val="21"/>
                <w:highlight w:val="none"/>
              </w:rPr>
              <w:t>信誉要求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540" w:type="dxa"/>
            <w:tcBorders>
              <w:tl2br w:val="nil"/>
              <w:tr2bl w:val="nil"/>
            </w:tcBorders>
            <w:vAlign w:val="center"/>
          </w:tcPr>
          <w:p>
            <w:pPr>
              <w:ind w:firstLine="420" w:firstLineChars="200"/>
              <w:rPr>
                <w:highlight w:val="none"/>
              </w:rPr>
            </w:pPr>
            <w:r>
              <w:rPr>
                <w:rFonts w:hint="eastAsia"/>
                <w:szCs w:val="21"/>
                <w:highlight w:val="none"/>
              </w:rPr>
              <w:t>/</w:t>
            </w:r>
          </w:p>
        </w:tc>
      </w:tr>
    </w:tbl>
    <w:p>
      <w:pPr>
        <w:rPr>
          <w:rFonts w:hint="eastAsia" w:ascii="黑体" w:hAnsi="黑体" w:eastAsia="黑体" w:cs="Times New Roman"/>
          <w:b/>
          <w:bCs/>
          <w:kern w:val="2"/>
          <w:sz w:val="28"/>
          <w:szCs w:val="28"/>
          <w:highlight w:val="none"/>
          <w:lang w:val="en-US" w:eastAsia="zh-CN" w:bidi="ar-SA"/>
        </w:rPr>
      </w:pPr>
      <w:bookmarkStart w:id="17" w:name="_Toc27462"/>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hint="eastAsia" w:ascii="黑体" w:hAnsi="黑体" w:eastAsia="黑体" w:cs="Times New Roman"/>
          <w:b/>
          <w:bCs/>
          <w:kern w:val="2"/>
          <w:sz w:val="28"/>
          <w:szCs w:val="28"/>
          <w:highlight w:val="none"/>
          <w:lang w:val="en-US" w:eastAsia="zh-CN" w:bidi="ar-SA"/>
        </w:rPr>
      </w:pPr>
    </w:p>
    <w:p>
      <w:pPr>
        <w:rPr>
          <w:rFonts w:ascii="黑体" w:hAnsi="黑体" w:eastAsia="黑体"/>
          <w:sz w:val="28"/>
          <w:szCs w:val="28"/>
          <w:highlight w:val="none"/>
        </w:rPr>
      </w:pPr>
      <w:r>
        <w:rPr>
          <w:rFonts w:hint="eastAsia" w:ascii="黑体" w:hAnsi="黑体" w:eastAsia="黑体" w:cs="Times New Roman"/>
          <w:b/>
          <w:bCs/>
          <w:kern w:val="2"/>
          <w:sz w:val="28"/>
          <w:szCs w:val="28"/>
          <w:highlight w:val="none"/>
          <w:lang w:val="en-US" w:eastAsia="zh-CN" w:bidi="ar-SA"/>
        </w:rPr>
        <w:t>附录5 资格审查条件（项目经理和项目总工最低要求）</w:t>
      </w:r>
      <w:bookmarkEnd w:id="17"/>
    </w:p>
    <w:tbl>
      <w:tblPr>
        <w:tblStyle w:val="11"/>
        <w:tblW w:w="11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46"/>
        <w:gridCol w:w="1280"/>
        <w:gridCol w:w="5827"/>
        <w:gridCol w:w="17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49" w:type="dxa"/>
            <w:tcBorders>
              <w:tl2br w:val="nil"/>
              <w:tr2bl w:val="nil"/>
            </w:tcBorders>
            <w:vAlign w:val="center"/>
          </w:tcPr>
          <w:p>
            <w:pPr>
              <w:jc w:val="center"/>
              <w:rPr>
                <w:rFonts w:ascii="宋体" w:hAnsi="宋体"/>
                <w:szCs w:val="21"/>
                <w:highlight w:val="none"/>
              </w:rPr>
            </w:pPr>
            <w:r>
              <w:rPr>
                <w:rFonts w:hint="eastAsia" w:ascii="宋体" w:hAnsi="宋体"/>
                <w:szCs w:val="21"/>
                <w:highlight w:val="none"/>
              </w:rPr>
              <w:t>标段</w:t>
            </w:r>
          </w:p>
        </w:tc>
        <w:tc>
          <w:tcPr>
            <w:tcW w:w="1246" w:type="dxa"/>
            <w:tcBorders>
              <w:tl2br w:val="nil"/>
              <w:tr2bl w:val="nil"/>
            </w:tcBorders>
            <w:vAlign w:val="center"/>
          </w:tcPr>
          <w:p>
            <w:pPr>
              <w:jc w:val="center"/>
              <w:rPr>
                <w:rFonts w:hint="eastAsia" w:ascii="宋体" w:hAnsi="宋体"/>
                <w:szCs w:val="21"/>
                <w:highlight w:val="none"/>
              </w:rPr>
            </w:pPr>
            <w:r>
              <w:rPr>
                <w:rFonts w:hint="eastAsia" w:ascii="宋体" w:hAnsi="宋体"/>
                <w:szCs w:val="21"/>
                <w:highlight w:val="none"/>
              </w:rPr>
              <w:t>人员</w:t>
            </w:r>
            <w:r>
              <w:rPr>
                <w:rStyle w:val="13"/>
                <w:rFonts w:ascii="方正超粗黑简体" w:eastAsia="方正超粗黑简体"/>
                <w:bCs/>
                <w:szCs w:val="21"/>
                <w:highlight w:val="none"/>
              </w:rPr>
              <w:footnoteReference w:id="0"/>
            </w:r>
          </w:p>
        </w:tc>
        <w:tc>
          <w:tcPr>
            <w:tcW w:w="1280" w:type="dxa"/>
            <w:tcBorders>
              <w:tl2br w:val="nil"/>
              <w:tr2bl w:val="nil"/>
            </w:tcBorders>
            <w:vAlign w:val="center"/>
          </w:tcPr>
          <w:p>
            <w:pPr>
              <w:jc w:val="center"/>
              <w:rPr>
                <w:rFonts w:ascii="宋体" w:hAnsi="宋体"/>
                <w:szCs w:val="21"/>
                <w:highlight w:val="none"/>
              </w:rPr>
            </w:pPr>
            <w:r>
              <w:rPr>
                <w:rFonts w:ascii="宋体" w:hAnsi="宋体"/>
                <w:szCs w:val="21"/>
                <w:highlight w:val="none"/>
              </w:rPr>
              <w:t>数量</w:t>
            </w:r>
          </w:p>
        </w:tc>
        <w:tc>
          <w:tcPr>
            <w:tcW w:w="5827" w:type="dxa"/>
            <w:tcBorders>
              <w:tl2br w:val="nil"/>
              <w:tr2bl w:val="nil"/>
            </w:tcBorders>
            <w:vAlign w:val="center"/>
          </w:tcPr>
          <w:p>
            <w:pPr>
              <w:jc w:val="center"/>
              <w:rPr>
                <w:rFonts w:ascii="宋体" w:hAnsi="宋体"/>
                <w:szCs w:val="21"/>
                <w:highlight w:val="none"/>
              </w:rPr>
            </w:pPr>
            <w:r>
              <w:rPr>
                <w:rFonts w:hint="eastAsia" w:ascii="宋体" w:hAnsi="宋体"/>
                <w:szCs w:val="21"/>
                <w:highlight w:val="none"/>
              </w:rPr>
              <w:t>资格要求</w:t>
            </w:r>
          </w:p>
        </w:tc>
        <w:tc>
          <w:tcPr>
            <w:tcW w:w="1769" w:type="dxa"/>
            <w:tcBorders>
              <w:tl2br w:val="nil"/>
              <w:tr2bl w:val="nil"/>
            </w:tcBorders>
            <w:vAlign w:val="center"/>
          </w:tcPr>
          <w:p>
            <w:pPr>
              <w:jc w:val="center"/>
              <w:rPr>
                <w:rFonts w:ascii="宋体" w:hAnsi="宋体"/>
                <w:szCs w:val="21"/>
                <w:highlight w:val="none"/>
              </w:rPr>
            </w:pPr>
            <w:r>
              <w:rPr>
                <w:rFonts w:hint="eastAsia" w:ascii="宋体" w:hAnsi="宋体"/>
                <w:szCs w:val="21"/>
                <w:highlight w:val="none"/>
              </w:rPr>
              <w:t>在岗要求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9" w:type="dxa"/>
            <w:vMerge w:val="restart"/>
            <w:tcBorders>
              <w:tl2br w:val="nil"/>
              <w:tr2bl w:val="nil"/>
            </w:tcBorders>
            <w:vAlign w:val="center"/>
          </w:tcPr>
          <w:p>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JD01</w:t>
            </w:r>
          </w:p>
        </w:tc>
        <w:tc>
          <w:tcPr>
            <w:tcW w:w="1246" w:type="dxa"/>
            <w:tcBorders>
              <w:tl2br w:val="nil"/>
              <w:tr2bl w:val="nil"/>
            </w:tcBorders>
            <w:vAlign w:val="center"/>
          </w:tcPr>
          <w:p>
            <w:pPr>
              <w:jc w:val="center"/>
              <w:rPr>
                <w:rFonts w:hint="eastAsia" w:ascii="宋体" w:hAnsi="宋体" w:eastAsia="宋体" w:cs="宋体"/>
                <w:b w:val="0"/>
                <w:bCs/>
                <w:szCs w:val="21"/>
                <w:highlight w:val="none"/>
              </w:rPr>
            </w:pPr>
            <w:r>
              <w:rPr>
                <w:rFonts w:hint="eastAsia" w:ascii="宋体" w:hAnsi="宋体" w:eastAsia="宋体" w:cs="宋体"/>
                <w:b w:val="0"/>
                <w:bCs/>
                <w:szCs w:val="21"/>
                <w:highlight w:val="none"/>
              </w:rPr>
              <w:t>项目经理</w:t>
            </w:r>
          </w:p>
        </w:tc>
        <w:tc>
          <w:tcPr>
            <w:tcW w:w="1280" w:type="dxa"/>
            <w:tcBorders>
              <w:tl2br w:val="nil"/>
              <w:tr2bl w:val="nil"/>
            </w:tcBorders>
            <w:vAlign w:val="center"/>
          </w:tcPr>
          <w:p>
            <w:pPr>
              <w:jc w:val="center"/>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1</w:t>
            </w:r>
          </w:p>
        </w:tc>
        <w:tc>
          <w:tcPr>
            <w:tcW w:w="5827" w:type="dxa"/>
            <w:tcBorders>
              <w:tl2br w:val="nil"/>
              <w:tr2bl w:val="nil"/>
            </w:tcBorders>
            <w:vAlign w:val="center"/>
          </w:tcPr>
          <w:p>
            <w:pPr>
              <w:spacing w:line="276" w:lineRule="auto"/>
              <w:rPr>
                <w:rFonts w:hint="eastAsia"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（1）投标人自有人员</w:t>
            </w:r>
            <w:r>
              <w:rPr>
                <w:rStyle w:val="13"/>
                <w:rFonts w:hint="eastAsia" w:ascii="宋体" w:hAnsi="宋体" w:eastAsia="宋体" w:cs="宋体"/>
                <w:color w:val="000000"/>
                <w:szCs w:val="21"/>
                <w:highlight w:val="none"/>
                <w:shd w:val="clear" w:color="auto" w:fill="FFFFFF"/>
              </w:rPr>
              <w:footnoteReference w:id="1"/>
            </w:r>
            <w:r>
              <w:rPr>
                <w:rFonts w:hint="eastAsia" w:ascii="宋体" w:hAnsi="宋体" w:eastAsia="宋体" w:cs="宋体"/>
                <w:color w:val="000000"/>
                <w:szCs w:val="21"/>
                <w:highlight w:val="none"/>
                <w:shd w:val="clear" w:color="auto" w:fill="FFFFFF"/>
              </w:rPr>
              <w:t>；</w:t>
            </w:r>
          </w:p>
          <w:p>
            <w:pPr>
              <w:spacing w:line="276" w:lineRule="auto"/>
              <w:rPr>
                <w:rFonts w:hint="eastAsia"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（2）具有公路工程或机电工程相关专业</w:t>
            </w:r>
            <w:r>
              <w:rPr>
                <w:rFonts w:hint="eastAsia" w:ascii="宋体" w:hAnsi="宋体" w:eastAsia="宋体" w:cs="宋体"/>
                <w:color w:val="000000"/>
                <w:szCs w:val="21"/>
                <w:highlight w:val="none"/>
                <w:shd w:val="clear" w:color="auto" w:fill="FFFFFF"/>
                <w:vertAlign w:val="superscript"/>
              </w:rPr>
              <w:footnoteReference w:id="2"/>
            </w:r>
            <w:r>
              <w:rPr>
                <w:rFonts w:hint="eastAsia" w:ascii="宋体" w:hAnsi="宋体" w:eastAsia="宋体" w:cs="宋体"/>
                <w:color w:val="000000"/>
                <w:szCs w:val="21"/>
                <w:highlight w:val="none"/>
                <w:shd w:val="clear" w:color="auto" w:fill="FFFFFF"/>
              </w:rPr>
              <w:t>工程师职称；</w:t>
            </w:r>
          </w:p>
          <w:p>
            <w:pPr>
              <w:spacing w:line="276" w:lineRule="auto"/>
              <w:rPr>
                <w:rFonts w:hint="eastAsia"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（3）具有建设行政主管部门颁发且已经在投标人单位注册的“公路工程”专业或“机电工程”专业《一级建造师注册证书》；</w:t>
            </w:r>
          </w:p>
          <w:p>
            <w:pPr>
              <w:spacing w:line="276" w:lineRule="auto"/>
              <w:rPr>
                <w:rFonts w:hint="eastAsia"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（4）具有交通运输主管部门颁发的有效的B类安全生产考核合格证书。</w:t>
            </w:r>
          </w:p>
        </w:tc>
        <w:tc>
          <w:tcPr>
            <w:tcW w:w="1769" w:type="dxa"/>
            <w:vMerge w:val="restart"/>
            <w:tcBorders>
              <w:tl2br w:val="nil"/>
              <w:tr2bl w:val="nil"/>
            </w:tcBorders>
            <w:vAlign w:val="center"/>
          </w:tcPr>
          <w:p>
            <w:pPr>
              <w:widowControl/>
              <w:jc w:val="center"/>
              <w:rPr>
                <w:rFonts w:hint="eastAsia"/>
                <w:kern w:val="0"/>
                <w:szCs w:val="21"/>
                <w:highlight w:val="none"/>
              </w:rPr>
            </w:pPr>
            <w:r>
              <w:rPr>
                <w:rFonts w:hint="eastAsia"/>
                <w:kern w:val="0"/>
                <w:szCs w:val="21"/>
                <w:highlight w:val="none"/>
              </w:rPr>
              <w:t>无在岗项目（指目前未在其他项目上任职，或虽在其他项目上任职但本项目中标后能够从该项目撤离）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949" w:type="dxa"/>
            <w:vMerge w:val="continue"/>
            <w:tcBorders>
              <w:tl2br w:val="nil"/>
              <w:tr2bl w:val="nil"/>
            </w:tcBorders>
            <w:vAlign w:val="center"/>
          </w:tcPr>
          <w:p>
            <w:pPr>
              <w:jc w:val="center"/>
              <w:rPr>
                <w:rFonts w:hint="eastAsia" w:ascii="宋体" w:hAnsi="宋体" w:eastAsia="宋体" w:cs="宋体"/>
                <w:b/>
                <w:szCs w:val="21"/>
                <w:highlight w:val="none"/>
              </w:rPr>
            </w:pPr>
          </w:p>
        </w:tc>
        <w:tc>
          <w:tcPr>
            <w:tcW w:w="1246" w:type="dxa"/>
            <w:tcBorders>
              <w:tl2br w:val="nil"/>
              <w:tr2bl w:val="nil"/>
            </w:tcBorders>
            <w:vAlign w:val="center"/>
          </w:tcPr>
          <w:p>
            <w:pPr>
              <w:jc w:val="center"/>
              <w:rPr>
                <w:rFonts w:hint="eastAsia" w:ascii="宋体" w:hAnsi="宋体" w:eastAsia="宋体" w:cs="宋体"/>
                <w:b/>
                <w:szCs w:val="21"/>
                <w:highlight w:val="none"/>
              </w:rPr>
            </w:pPr>
            <w:r>
              <w:rPr>
                <w:rFonts w:hint="eastAsia" w:ascii="宋体" w:hAnsi="宋体" w:eastAsia="宋体" w:cs="宋体"/>
                <w:b w:val="0"/>
                <w:bCs/>
                <w:szCs w:val="21"/>
                <w:highlight w:val="none"/>
              </w:rPr>
              <w:t>项目总工</w:t>
            </w:r>
          </w:p>
        </w:tc>
        <w:tc>
          <w:tcPr>
            <w:tcW w:w="1280" w:type="dxa"/>
            <w:tcBorders>
              <w:tl2br w:val="nil"/>
              <w:tr2bl w:val="nil"/>
            </w:tcBorders>
            <w:vAlign w:val="center"/>
          </w:tcPr>
          <w:p>
            <w:pPr>
              <w:jc w:val="center"/>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w:t>
            </w:r>
          </w:p>
        </w:tc>
        <w:tc>
          <w:tcPr>
            <w:tcW w:w="5827" w:type="dxa"/>
            <w:tcBorders>
              <w:tl2br w:val="nil"/>
              <w:tr2bl w:val="nil"/>
            </w:tcBorders>
            <w:vAlign w:val="center"/>
          </w:tcPr>
          <w:p>
            <w:pPr>
              <w:spacing w:line="276" w:lineRule="auto"/>
              <w:rPr>
                <w:rFonts w:hint="eastAsia"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（1）投标人自有人员；</w:t>
            </w:r>
          </w:p>
          <w:p>
            <w:pPr>
              <w:spacing w:line="276" w:lineRule="auto"/>
              <w:rPr>
                <w:rFonts w:hint="eastAsia"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（2）具有公路工程或机电工程相关专业高级工程师职称。</w:t>
            </w:r>
          </w:p>
          <w:p>
            <w:pPr>
              <w:spacing w:line="276" w:lineRule="auto"/>
              <w:rPr>
                <w:rFonts w:hint="eastAsia" w:ascii="宋体" w:hAnsi="宋体" w:eastAsia="宋体" w:cs="宋体"/>
                <w:bCs/>
                <w:szCs w:val="21"/>
                <w:highlight w:val="none"/>
              </w:rPr>
            </w:pPr>
            <w:r>
              <w:rPr>
                <w:rFonts w:hint="eastAsia" w:ascii="宋体" w:hAnsi="宋体" w:eastAsia="宋体" w:cs="宋体"/>
                <w:color w:val="000000"/>
                <w:szCs w:val="21"/>
                <w:highlight w:val="none"/>
                <w:shd w:val="clear" w:color="auto" w:fill="FFFFFF"/>
              </w:rPr>
              <w:t>（3）</w:t>
            </w:r>
            <w:r>
              <w:rPr>
                <w:rFonts w:hint="eastAsia" w:ascii="宋体" w:hAnsi="宋体" w:eastAsia="宋体" w:cs="宋体"/>
                <w:szCs w:val="21"/>
                <w:highlight w:val="none"/>
              </w:rPr>
              <w:t>具有交通运输主管部门颁发的有效的B类安全生产考核合格证书；</w:t>
            </w:r>
          </w:p>
        </w:tc>
        <w:tc>
          <w:tcPr>
            <w:tcW w:w="1769" w:type="dxa"/>
            <w:vMerge w:val="continue"/>
            <w:tcBorders>
              <w:tl2br w:val="nil"/>
              <w:tr2bl w:val="nil"/>
            </w:tcBorders>
          </w:tcPr>
          <w:p>
            <w:pPr>
              <w:widowControl/>
              <w:jc w:val="left"/>
              <w:rPr>
                <w:bCs/>
                <w:szCs w:val="21"/>
                <w:highlight w:val="none"/>
              </w:rPr>
            </w:pPr>
          </w:p>
        </w:tc>
      </w:tr>
    </w:tbl>
    <w:p>
      <w:pPr>
        <w:pStyle w:val="4"/>
        <w:pageBreakBefore w:val="0"/>
        <w:numPr>
          <w:ilvl w:val="0"/>
          <w:numId w:val="0"/>
        </w:numPr>
        <w:kinsoku/>
        <w:wordWrap/>
        <w:overflowPunct/>
        <w:topLinePunct w:val="0"/>
        <w:autoSpaceDE/>
        <w:autoSpaceDN/>
        <w:bidi w:val="0"/>
        <w:adjustRightInd/>
        <w:spacing w:before="0" w:beforeLines="0" w:after="0" w:afterLines="0" w:line="360" w:lineRule="exact"/>
        <w:rPr>
          <w:rFonts w:hint="eastAsia" w:ascii="宋体" w:hAnsi="宋体" w:cs="宋体"/>
          <w:b/>
          <w:bCs/>
          <w:color w:val="000000"/>
          <w:kern w:val="44"/>
          <w:sz w:val="24"/>
          <w:szCs w:val="24"/>
          <w:highlight w:val="none"/>
          <w:lang w:val="en-US" w:eastAsia="zh-CN"/>
        </w:rPr>
        <w:sectPr>
          <w:pgSz w:w="11906" w:h="16838"/>
          <w:pgMar w:top="1418" w:right="1701" w:bottom="1588" w:left="1701" w:header="851" w:footer="992" w:gutter="0"/>
          <w:pgBorders>
            <w:top w:val="none" w:sz="0" w:space="0"/>
            <w:left w:val="none" w:sz="0" w:space="0"/>
            <w:bottom w:val="none" w:sz="0" w:space="0"/>
            <w:right w:val="none" w:sz="0" w:space="0"/>
          </w:pgBorders>
          <w:cols w:space="720" w:num="1"/>
          <w:docGrid w:linePitch="312" w:charSpace="0"/>
        </w:sectPr>
      </w:pPr>
    </w:p>
    <w:p>
      <w:pPr>
        <w:pStyle w:val="4"/>
        <w:pageBreakBefore w:val="0"/>
        <w:numPr>
          <w:ilvl w:val="0"/>
          <w:numId w:val="0"/>
        </w:numPr>
        <w:kinsoku/>
        <w:wordWrap/>
        <w:overflowPunct/>
        <w:topLinePunct w:val="0"/>
        <w:autoSpaceDE/>
        <w:autoSpaceDN/>
        <w:bidi w:val="0"/>
        <w:adjustRightInd/>
        <w:spacing w:before="0" w:beforeLines="0" w:after="0" w:afterLines="0" w:line="360" w:lineRule="exact"/>
        <w:rPr>
          <w:rFonts w:hint="eastAsia" w:ascii="宋体" w:hAnsi="宋体" w:eastAsia="宋体" w:cs="宋体"/>
          <w:b/>
          <w:bCs/>
          <w:color w:val="000000"/>
          <w:kern w:val="44"/>
          <w:sz w:val="24"/>
          <w:szCs w:val="24"/>
          <w:highlight w:val="none"/>
          <w:lang w:val="en-US" w:eastAsia="zh-CN"/>
        </w:rPr>
      </w:pPr>
      <w:r>
        <w:rPr>
          <w:rFonts w:hint="eastAsia" w:ascii="宋体" w:hAnsi="宋体" w:cs="宋体"/>
          <w:b/>
          <w:bCs/>
          <w:color w:val="000000"/>
          <w:kern w:val="44"/>
          <w:sz w:val="24"/>
          <w:szCs w:val="24"/>
          <w:highlight w:val="none"/>
          <w:lang w:val="en-US" w:eastAsia="zh-CN"/>
        </w:rPr>
        <w:t>5</w:t>
      </w:r>
      <w:r>
        <w:rPr>
          <w:rFonts w:hint="eastAsia" w:ascii="宋体" w:hAnsi="宋体" w:eastAsia="宋体" w:cs="宋体"/>
          <w:b/>
          <w:bCs/>
          <w:color w:val="000000"/>
          <w:kern w:val="44"/>
          <w:sz w:val="24"/>
          <w:szCs w:val="24"/>
          <w:highlight w:val="none"/>
          <w:lang w:val="en-US" w:eastAsia="zh-CN"/>
        </w:rPr>
        <w:t>.评标办法（综合评分法）</w:t>
      </w:r>
    </w:p>
    <w:p>
      <w:pPr>
        <w:snapToGrid w:val="0"/>
        <w:jc w:val="center"/>
        <w:rPr>
          <w:rFonts w:ascii="宋体" w:hAnsi="宋体" w:cs="宋体"/>
          <w:b/>
          <w:color w:val="000000"/>
          <w:szCs w:val="21"/>
          <w:highlight w:val="none"/>
        </w:rPr>
        <w:sectPr>
          <w:pgSz w:w="11906" w:h="16838"/>
          <w:pgMar w:top="1418" w:right="1701" w:bottom="1588" w:left="1701" w:header="851" w:footer="992" w:gutter="0"/>
          <w:pgBorders>
            <w:top w:val="none" w:sz="0" w:space="0"/>
            <w:left w:val="none" w:sz="0" w:space="0"/>
            <w:bottom w:val="none" w:sz="0" w:space="0"/>
            <w:right w:val="none" w:sz="0" w:space="0"/>
          </w:pgBorders>
          <w:cols w:space="720" w:num="1"/>
          <w:docGrid w:linePitch="312" w:charSpace="0"/>
        </w:sectPr>
      </w:pPr>
    </w:p>
    <w:p>
      <w:pPr>
        <w:pStyle w:val="3"/>
        <w:keepNext w:val="0"/>
        <w:keepLines w:val="0"/>
        <w:spacing w:before="0" w:after="0" w:line="240" w:lineRule="auto"/>
        <w:jc w:val="left"/>
        <w:rPr>
          <w:rFonts w:ascii="黑体" w:hAnsi="黑体" w:eastAsia="黑体"/>
          <w:bCs w:val="0"/>
          <w:sz w:val="24"/>
          <w:szCs w:val="24"/>
          <w:highlight w:val="none"/>
        </w:rPr>
      </w:pPr>
      <w:bookmarkStart w:id="18" w:name="_Toc14768"/>
      <w:bookmarkStart w:id="19" w:name="_Toc138920839"/>
      <w:bookmarkStart w:id="20" w:name="_Toc505091277"/>
      <w:bookmarkStart w:id="21" w:name="_Toc520285006"/>
      <w:bookmarkStart w:id="22" w:name="_Toc448495594"/>
      <w:r>
        <w:rPr>
          <w:rFonts w:hint="eastAsia" w:ascii="黑体" w:hAnsi="黑体" w:eastAsia="黑体" w:cs="黑体"/>
          <w:bCs w:val="0"/>
          <w:sz w:val="24"/>
          <w:szCs w:val="24"/>
          <w:highlight w:val="none"/>
        </w:rPr>
        <w:t>评标办法前附表</w:t>
      </w:r>
      <w:bookmarkEnd w:id="18"/>
      <w:bookmarkEnd w:id="19"/>
      <w:bookmarkEnd w:id="20"/>
      <w:bookmarkEnd w:id="21"/>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65"/>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2464" w:type="dxa"/>
            <w:gridSpan w:val="2"/>
            <w:tcBorders>
              <w:top w:val="single" w:color="auto" w:sz="12" w:space="0"/>
              <w:left w:val="single" w:color="auto" w:sz="12" w:space="0"/>
            </w:tcBorders>
            <w:vAlign w:val="center"/>
          </w:tcPr>
          <w:p>
            <w:pPr>
              <w:jc w:val="center"/>
              <w:rPr>
                <w:highlight w:val="none"/>
              </w:rPr>
            </w:pPr>
            <w:r>
              <w:rPr>
                <w:rFonts w:hint="eastAsia"/>
                <w:highlight w:val="none"/>
              </w:rPr>
              <w:t>条款号</w:t>
            </w:r>
          </w:p>
        </w:tc>
        <w:tc>
          <w:tcPr>
            <w:tcW w:w="7073" w:type="dxa"/>
            <w:tcBorders>
              <w:top w:val="single" w:color="auto" w:sz="12" w:space="0"/>
              <w:right w:val="single" w:color="auto" w:sz="12" w:space="0"/>
            </w:tcBorders>
            <w:vAlign w:val="center"/>
          </w:tcPr>
          <w:p>
            <w:pPr>
              <w:jc w:val="center"/>
              <w:rPr>
                <w:highlight w:val="none"/>
              </w:rPr>
            </w:pPr>
            <w:r>
              <w:rPr>
                <w:rFonts w:hint="eastAsia"/>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pPr>
              <w:autoSpaceDE w:val="0"/>
              <w:autoSpaceDN w:val="0"/>
              <w:adjustRightInd w:val="0"/>
              <w:spacing w:line="360" w:lineRule="auto"/>
              <w:jc w:val="center"/>
              <w:rPr>
                <w:highlight w:val="none"/>
                <w:lang w:val="zh-CN"/>
              </w:rPr>
            </w:pPr>
            <w:r>
              <w:rPr>
                <w:highlight w:val="none"/>
                <w:lang w:val="zh-CN"/>
              </w:rPr>
              <w:t>1</w:t>
            </w:r>
          </w:p>
        </w:tc>
        <w:tc>
          <w:tcPr>
            <w:tcW w:w="1565" w:type="dxa"/>
            <w:vAlign w:val="center"/>
          </w:tcPr>
          <w:p>
            <w:pPr>
              <w:autoSpaceDE w:val="0"/>
              <w:autoSpaceDN w:val="0"/>
              <w:adjustRightInd w:val="0"/>
              <w:spacing w:line="360" w:lineRule="auto"/>
              <w:jc w:val="center"/>
              <w:rPr>
                <w:highlight w:val="none"/>
                <w:lang w:val="zh-CN"/>
              </w:rPr>
            </w:pPr>
            <w:r>
              <w:rPr>
                <w:rFonts w:hint="eastAsia" w:cs="宋体"/>
                <w:highlight w:val="none"/>
                <w:lang w:val="zh-CN"/>
              </w:rPr>
              <w:t>评标办法</w:t>
            </w:r>
          </w:p>
        </w:tc>
        <w:tc>
          <w:tcPr>
            <w:tcW w:w="7073" w:type="dxa"/>
            <w:tcBorders>
              <w:right w:val="single" w:color="auto" w:sz="12" w:space="0"/>
            </w:tcBorders>
            <w:vAlign w:val="center"/>
          </w:tcPr>
          <w:p>
            <w:pPr>
              <w:keepLines/>
              <w:adjustRightInd w:val="0"/>
              <w:snapToGrid w:val="0"/>
              <w:spacing w:line="276" w:lineRule="auto"/>
              <w:ind w:left="210" w:leftChars="100"/>
              <w:jc w:val="left"/>
              <w:rPr>
                <w:rFonts w:ascii="宋体" w:hAnsi="宋体"/>
                <w:szCs w:val="21"/>
                <w:highlight w:val="none"/>
              </w:rPr>
            </w:pPr>
            <w:r>
              <w:rPr>
                <w:rFonts w:hint="eastAsia" w:ascii="宋体" w:hAnsi="宋体"/>
                <w:szCs w:val="21"/>
                <w:highlight w:val="none"/>
              </w:rPr>
              <w:t>综合评分相等时，评标委员会依次按照以下优先顺序</w:t>
            </w:r>
            <w:r>
              <w:rPr>
                <w:rFonts w:ascii="宋体" w:hAnsi="宋体"/>
                <w:szCs w:val="21"/>
                <w:highlight w:val="none"/>
              </w:rPr>
              <w:t>推荐中标候选人</w:t>
            </w:r>
            <w:r>
              <w:rPr>
                <w:rFonts w:hint="eastAsia" w:ascii="宋体" w:hAnsi="宋体"/>
                <w:szCs w:val="21"/>
                <w:highlight w:val="none"/>
              </w:rPr>
              <w:t>：</w:t>
            </w:r>
          </w:p>
          <w:p>
            <w:pPr>
              <w:keepLines/>
              <w:adjustRightInd w:val="0"/>
              <w:snapToGrid w:val="0"/>
              <w:spacing w:line="276" w:lineRule="auto"/>
              <w:ind w:left="210" w:leftChars="100"/>
              <w:jc w:val="left"/>
              <w:rPr>
                <w:rFonts w:ascii="宋体" w:hAnsi="宋体"/>
                <w:szCs w:val="21"/>
                <w:highlight w:val="none"/>
              </w:rPr>
            </w:pPr>
            <w:r>
              <w:rPr>
                <w:rFonts w:hint="eastAsia" w:ascii="宋体" w:hAnsi="宋体"/>
                <w:szCs w:val="21"/>
                <w:highlight w:val="none"/>
              </w:rPr>
              <w:t>（1）评</w:t>
            </w:r>
            <w:r>
              <w:rPr>
                <w:rFonts w:ascii="宋体" w:hAnsi="宋体"/>
                <w:szCs w:val="21"/>
                <w:highlight w:val="none"/>
              </w:rPr>
              <w:t>标价</w:t>
            </w:r>
            <w:r>
              <w:rPr>
                <w:rFonts w:hint="eastAsia" w:ascii="宋体" w:hAnsi="宋体"/>
                <w:szCs w:val="21"/>
                <w:highlight w:val="none"/>
              </w:rPr>
              <w:t>低</w:t>
            </w:r>
            <w:r>
              <w:rPr>
                <w:rFonts w:ascii="宋体" w:hAnsi="宋体"/>
                <w:szCs w:val="21"/>
                <w:highlight w:val="none"/>
              </w:rPr>
              <w:t>的</w:t>
            </w:r>
            <w:r>
              <w:rPr>
                <w:rFonts w:hint="eastAsia" w:ascii="宋体" w:hAnsi="宋体"/>
                <w:szCs w:val="21"/>
                <w:highlight w:val="none"/>
              </w:rPr>
              <w:t>投标人</w:t>
            </w:r>
            <w:r>
              <w:rPr>
                <w:rFonts w:ascii="宋体" w:hAnsi="宋体"/>
                <w:szCs w:val="21"/>
                <w:highlight w:val="none"/>
              </w:rPr>
              <w:t>优先；</w:t>
            </w:r>
          </w:p>
          <w:p>
            <w:pPr>
              <w:keepLines/>
              <w:adjustRightInd w:val="0"/>
              <w:snapToGrid w:val="0"/>
              <w:spacing w:line="276" w:lineRule="auto"/>
              <w:ind w:left="210" w:leftChars="1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val="en-US" w:eastAsia="zh-CN"/>
              </w:rPr>
              <w:t>履约</w:t>
            </w:r>
            <w:r>
              <w:rPr>
                <w:rFonts w:hint="eastAsia" w:ascii="宋体" w:hAnsi="宋体"/>
                <w:szCs w:val="21"/>
                <w:highlight w:val="none"/>
              </w:rPr>
              <w:t>信誉得分较高的投标人优先；</w:t>
            </w:r>
          </w:p>
          <w:p>
            <w:pPr>
              <w:keepLines/>
              <w:adjustRightInd w:val="0"/>
              <w:snapToGrid w:val="0"/>
              <w:spacing w:line="276" w:lineRule="auto"/>
              <w:ind w:left="210" w:leftChars="100"/>
              <w:jc w:val="left"/>
              <w:rPr>
                <w:rFonts w:ascii="宋体" w:hAnsi="宋体"/>
                <w:szCs w:val="21"/>
                <w:highlight w:val="none"/>
              </w:rPr>
            </w:pPr>
            <w:r>
              <w:rPr>
                <w:rFonts w:hint="eastAsia" w:ascii="宋体" w:hAnsi="宋体"/>
                <w:szCs w:val="21"/>
                <w:highlight w:val="none"/>
              </w:rPr>
              <w:t>（3）商务和技术得分较高的投标人优先。</w:t>
            </w:r>
          </w:p>
          <w:p>
            <w:pPr>
              <w:adjustRightInd w:val="0"/>
              <w:snapToGrid w:val="0"/>
              <w:spacing w:line="276" w:lineRule="auto"/>
              <w:ind w:firstLine="422" w:firstLineChars="201"/>
              <w:rPr>
                <w:rFonts w:hint="default" w:ascii="宋体" w:hAnsi="宋体" w:eastAsia="宋体"/>
                <w:highlight w:val="none"/>
                <w:lang w:val="en-US" w:eastAsia="zh-CN"/>
              </w:rPr>
            </w:pPr>
            <w:r>
              <w:rPr>
                <w:rFonts w:hint="eastAsia" w:ascii="宋体" w:hAnsi="宋体"/>
                <w:szCs w:val="21"/>
                <w:highlight w:val="none"/>
              </w:rPr>
              <w:t>若以上均相等，则由评标委员会表决确定其排序先后。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4" w:hRule="atLeast"/>
          <w:jc w:val="center"/>
        </w:trPr>
        <w:tc>
          <w:tcPr>
            <w:tcW w:w="899" w:type="dxa"/>
            <w:vMerge w:val="restart"/>
            <w:tcBorders>
              <w:left w:val="single" w:color="auto" w:sz="12" w:space="0"/>
            </w:tcBorders>
            <w:vAlign w:val="center"/>
          </w:tcPr>
          <w:p>
            <w:pPr>
              <w:autoSpaceDE w:val="0"/>
              <w:autoSpaceDN w:val="0"/>
              <w:adjustRightInd w:val="0"/>
              <w:spacing w:line="360" w:lineRule="auto"/>
              <w:jc w:val="center"/>
              <w:rPr>
                <w:highlight w:val="none"/>
                <w:lang w:val="zh-CN"/>
              </w:rPr>
            </w:pPr>
            <w:r>
              <w:rPr>
                <w:highlight w:val="none"/>
                <w:lang w:val="zh-CN"/>
              </w:rPr>
              <w:t>2.1.1</w:t>
            </w:r>
          </w:p>
          <w:p>
            <w:pPr>
              <w:autoSpaceDE w:val="0"/>
              <w:autoSpaceDN w:val="0"/>
              <w:adjustRightInd w:val="0"/>
              <w:spacing w:line="360" w:lineRule="auto"/>
              <w:jc w:val="center"/>
              <w:rPr>
                <w:highlight w:val="none"/>
                <w:lang w:val="zh-CN"/>
              </w:rPr>
            </w:pPr>
            <w:r>
              <w:rPr>
                <w:rFonts w:hint="eastAsia"/>
                <w:highlight w:val="none"/>
                <w:lang w:val="zh-CN"/>
              </w:rPr>
              <w:t>2.1.3</w:t>
            </w:r>
          </w:p>
        </w:tc>
        <w:tc>
          <w:tcPr>
            <w:tcW w:w="1565" w:type="dxa"/>
            <w:vAlign w:val="center"/>
          </w:tcPr>
          <w:p>
            <w:pPr>
              <w:autoSpaceDE w:val="0"/>
              <w:autoSpaceDN w:val="0"/>
              <w:adjustRightInd w:val="0"/>
              <w:spacing w:line="360" w:lineRule="auto"/>
              <w:jc w:val="center"/>
              <w:rPr>
                <w:rFonts w:ascii="黑体" w:eastAsia="黑体" w:cs="宋体"/>
                <w:b/>
                <w:highlight w:val="none"/>
                <w:lang w:val="zh-CN"/>
              </w:rPr>
            </w:pPr>
            <w:r>
              <w:rPr>
                <w:rFonts w:hint="eastAsia" w:ascii="黑体" w:eastAsia="黑体" w:cs="宋体"/>
                <w:b/>
                <w:highlight w:val="none"/>
                <w:lang w:val="zh-CN"/>
              </w:rPr>
              <w:t>第一信封</w:t>
            </w:r>
          </w:p>
          <w:p>
            <w:pPr>
              <w:autoSpaceDE w:val="0"/>
              <w:autoSpaceDN w:val="0"/>
              <w:adjustRightInd w:val="0"/>
              <w:spacing w:line="360" w:lineRule="auto"/>
              <w:jc w:val="center"/>
              <w:rPr>
                <w:highlight w:val="none"/>
                <w:lang w:val="zh-CN"/>
              </w:rPr>
            </w:pPr>
            <w:r>
              <w:rPr>
                <w:rFonts w:hint="eastAsia" w:cs="宋体"/>
                <w:highlight w:val="none"/>
                <w:lang w:val="zh-CN"/>
              </w:rPr>
              <w:t>形式评审与响应性评审标准</w:t>
            </w:r>
          </w:p>
        </w:tc>
        <w:tc>
          <w:tcPr>
            <w:tcW w:w="7073" w:type="dxa"/>
            <w:tcBorders>
              <w:right w:val="single" w:color="auto" w:sz="12" w:space="0"/>
            </w:tcBorders>
            <w:vAlign w:val="center"/>
          </w:tcPr>
          <w:p>
            <w:pPr>
              <w:adjustRightInd w:val="0"/>
              <w:snapToGrid w:val="0"/>
              <w:spacing w:line="276" w:lineRule="auto"/>
              <w:rPr>
                <w:rFonts w:eastAsia="黑体"/>
                <w:b/>
                <w:color w:val="000000"/>
                <w:highlight w:val="none"/>
              </w:rPr>
            </w:pPr>
            <w:r>
              <w:rPr>
                <w:rFonts w:eastAsia="黑体"/>
                <w:b/>
                <w:color w:val="000000"/>
                <w:highlight w:val="none"/>
              </w:rPr>
              <w:t>第一个信封（商务及技术文件）评审标准</w:t>
            </w:r>
            <w:r>
              <w:rPr>
                <w:rFonts w:hint="eastAsia" w:eastAsia="黑体"/>
                <w:b/>
                <w:color w:val="000000"/>
                <w:highlight w:val="none"/>
              </w:rPr>
              <w:t>：</w:t>
            </w:r>
          </w:p>
          <w:p>
            <w:pPr>
              <w:pStyle w:val="18"/>
              <w:shd w:val="clear" w:color="auto" w:fill="auto"/>
              <w:tabs>
                <w:tab w:val="left" w:pos="1055"/>
              </w:tabs>
              <w:spacing w:before="0" w:after="0" w:line="276" w:lineRule="auto"/>
              <w:ind w:firstLine="420" w:firstLineChars="200"/>
              <w:jc w:val="left"/>
              <w:rPr>
                <w:rFonts w:ascii="宋体" w:hAnsi="宋体" w:eastAsia="宋体" w:cs="PMingLiU"/>
                <w:sz w:val="21"/>
                <w:szCs w:val="21"/>
                <w:highlight w:val="none"/>
              </w:rPr>
            </w:pPr>
            <w:r>
              <w:rPr>
                <w:rStyle w:val="19"/>
                <w:rFonts w:hint="eastAsia" w:ascii="宋体" w:hAnsi="宋体" w:eastAsia="宋体"/>
                <w:sz w:val="21"/>
                <w:szCs w:val="21"/>
                <w:highlight w:val="none"/>
              </w:rPr>
              <w:t>（1）</w:t>
            </w:r>
            <w:r>
              <w:rPr>
                <w:rStyle w:val="19"/>
                <w:rFonts w:ascii="宋体" w:hAnsi="宋体" w:eastAsia="宋体"/>
                <w:sz w:val="21"/>
                <w:szCs w:val="21"/>
                <w:highlight w:val="none"/>
              </w:rPr>
              <w:t>投标文件按照招标文件规定的格式、内容填写，字迹清晰可辨：</w:t>
            </w:r>
          </w:p>
          <w:p>
            <w:pPr>
              <w:pStyle w:val="18"/>
              <w:shd w:val="clear" w:color="auto" w:fill="auto"/>
              <w:tabs>
                <w:tab w:val="left" w:pos="1053"/>
              </w:tabs>
              <w:spacing w:before="0" w:after="0" w:line="276" w:lineRule="auto"/>
              <w:ind w:firstLine="420" w:firstLineChars="200"/>
              <w:jc w:val="left"/>
              <w:rPr>
                <w:rStyle w:val="19"/>
                <w:rFonts w:ascii="宋体" w:hAnsi="宋体" w:eastAsia="宋体"/>
                <w:sz w:val="21"/>
                <w:szCs w:val="21"/>
                <w:highlight w:val="none"/>
              </w:rPr>
            </w:pPr>
            <w:r>
              <w:rPr>
                <w:rStyle w:val="19"/>
                <w:rFonts w:hint="eastAsia" w:ascii="宋体" w:hAnsi="宋体" w:eastAsia="宋体"/>
                <w:sz w:val="21"/>
                <w:szCs w:val="21"/>
                <w:highlight w:val="none"/>
              </w:rPr>
              <w:t>a、</w:t>
            </w:r>
            <w:r>
              <w:rPr>
                <w:rStyle w:val="19"/>
                <w:rFonts w:ascii="宋体" w:hAnsi="宋体" w:eastAsia="宋体"/>
                <w:sz w:val="21"/>
                <w:szCs w:val="21"/>
                <w:highlight w:val="none"/>
              </w:rPr>
              <w:t>投标函按招标文件规定填报了项目名称、标段号、补遗书编号（如有)、工期、工程质量要求及安全目标；</w:t>
            </w:r>
          </w:p>
          <w:p>
            <w:pPr>
              <w:pStyle w:val="18"/>
              <w:shd w:val="clear" w:color="auto" w:fill="auto"/>
              <w:tabs>
                <w:tab w:val="left" w:pos="1053"/>
              </w:tabs>
              <w:spacing w:before="0" w:after="0" w:line="276" w:lineRule="auto"/>
              <w:ind w:firstLine="420" w:firstLineChars="200"/>
              <w:jc w:val="left"/>
              <w:rPr>
                <w:rStyle w:val="19"/>
                <w:rFonts w:ascii="宋体" w:hAnsi="宋体" w:eastAsia="宋体"/>
                <w:sz w:val="21"/>
                <w:szCs w:val="21"/>
                <w:highlight w:val="none"/>
              </w:rPr>
            </w:pPr>
            <w:r>
              <w:rPr>
                <w:rStyle w:val="19"/>
                <w:rFonts w:hint="eastAsia" w:ascii="宋体" w:hAnsi="宋体" w:eastAsia="宋体"/>
                <w:sz w:val="21"/>
                <w:szCs w:val="21"/>
                <w:highlight w:val="none"/>
              </w:rPr>
              <w:t>b、</w:t>
            </w:r>
            <w:r>
              <w:rPr>
                <w:rStyle w:val="19"/>
                <w:rFonts w:ascii="宋体" w:hAnsi="宋体" w:eastAsia="宋体"/>
                <w:sz w:val="21"/>
                <w:szCs w:val="21"/>
                <w:highlight w:val="none"/>
              </w:rPr>
              <w:t>投标函附录的所有数据均符合招标文件规定；</w:t>
            </w:r>
          </w:p>
          <w:p>
            <w:pPr>
              <w:pStyle w:val="18"/>
              <w:shd w:val="clear" w:color="auto" w:fill="auto"/>
              <w:tabs>
                <w:tab w:val="left" w:pos="1053"/>
              </w:tabs>
              <w:spacing w:before="0" w:after="0" w:line="276" w:lineRule="auto"/>
              <w:ind w:firstLine="420" w:firstLineChars="200"/>
              <w:jc w:val="left"/>
              <w:rPr>
                <w:rFonts w:ascii="宋体" w:hAnsi="宋体" w:eastAsia="宋体" w:cs="PMingLiU"/>
                <w:color w:val="000000"/>
                <w:sz w:val="21"/>
                <w:szCs w:val="21"/>
                <w:highlight w:val="none"/>
                <w:shd w:val="clear" w:color="auto" w:fill="FFFFFF"/>
                <w:lang w:val="zh-CN" w:bidi="zh-CN"/>
              </w:rPr>
            </w:pPr>
            <w:r>
              <w:rPr>
                <w:rStyle w:val="19"/>
                <w:rFonts w:hint="eastAsia" w:ascii="宋体" w:hAnsi="宋体" w:eastAsia="宋体"/>
                <w:sz w:val="21"/>
                <w:szCs w:val="21"/>
                <w:highlight w:val="none"/>
              </w:rPr>
              <w:t>c、</w:t>
            </w:r>
            <w:r>
              <w:rPr>
                <w:rStyle w:val="19"/>
                <w:rFonts w:ascii="宋体" w:hAnsi="宋体" w:eastAsia="宋体"/>
                <w:sz w:val="21"/>
                <w:szCs w:val="21"/>
                <w:highlight w:val="none"/>
              </w:rPr>
              <w:t>投标文件组成齐全完整，内容均按规定填写。</w:t>
            </w:r>
          </w:p>
          <w:p>
            <w:pPr>
              <w:pStyle w:val="18"/>
              <w:shd w:val="clear" w:color="auto" w:fill="auto"/>
              <w:tabs>
                <w:tab w:val="left" w:pos="1055"/>
              </w:tabs>
              <w:spacing w:before="0" w:after="0" w:line="276" w:lineRule="auto"/>
              <w:ind w:firstLine="420" w:firstLineChars="200"/>
              <w:jc w:val="left"/>
              <w:rPr>
                <w:rFonts w:ascii="宋体" w:hAnsi="宋体" w:eastAsia="宋体" w:cs="PMingLiU"/>
                <w:sz w:val="21"/>
                <w:szCs w:val="21"/>
                <w:highlight w:val="none"/>
              </w:rPr>
            </w:pPr>
            <w:r>
              <w:rPr>
                <w:rStyle w:val="19"/>
                <w:rFonts w:hint="eastAsia" w:ascii="宋体" w:hAnsi="宋体" w:eastAsia="宋体"/>
                <w:sz w:val="21"/>
                <w:szCs w:val="21"/>
                <w:highlight w:val="none"/>
              </w:rPr>
              <w:t>（2）</w:t>
            </w:r>
            <w:r>
              <w:rPr>
                <w:rStyle w:val="19"/>
                <w:rFonts w:ascii="宋体" w:hAnsi="宋体" w:eastAsia="宋体"/>
                <w:sz w:val="21"/>
                <w:szCs w:val="21"/>
                <w:highlight w:val="none"/>
              </w:rPr>
              <w:t>投标文件上法定代表人或其委托代理人的签字、投标人的单位章盖章齐全，符合招标文件规定。</w:t>
            </w:r>
          </w:p>
          <w:p>
            <w:pPr>
              <w:pStyle w:val="18"/>
              <w:shd w:val="clear" w:color="auto" w:fill="auto"/>
              <w:tabs>
                <w:tab w:val="left" w:pos="1053"/>
              </w:tabs>
              <w:spacing w:before="0" w:after="0" w:line="276" w:lineRule="auto"/>
              <w:ind w:firstLine="420" w:firstLineChars="200"/>
              <w:jc w:val="left"/>
              <w:rPr>
                <w:rFonts w:ascii="宋体" w:hAnsi="宋体" w:eastAsia="宋体" w:cs="PMingLiU"/>
                <w:sz w:val="21"/>
                <w:szCs w:val="21"/>
                <w:highlight w:val="none"/>
              </w:rPr>
            </w:pPr>
            <w:r>
              <w:rPr>
                <w:rStyle w:val="19"/>
                <w:rFonts w:hint="eastAsia" w:ascii="宋体" w:hAnsi="宋体" w:eastAsia="宋体"/>
                <w:sz w:val="21"/>
                <w:szCs w:val="21"/>
                <w:highlight w:val="none"/>
              </w:rPr>
              <w:t>（3）</w:t>
            </w:r>
            <w:r>
              <w:rPr>
                <w:rStyle w:val="19"/>
                <w:rFonts w:ascii="宋体" w:hAnsi="宋体" w:eastAsia="宋体"/>
                <w:sz w:val="21"/>
                <w:szCs w:val="21"/>
                <w:highlight w:val="none"/>
              </w:rPr>
              <w:t>投标人按照招标文件的规定提供了投标保证金：</w:t>
            </w:r>
          </w:p>
          <w:p>
            <w:pPr>
              <w:pStyle w:val="18"/>
              <w:shd w:val="clear" w:color="auto" w:fill="auto"/>
              <w:tabs>
                <w:tab w:val="left" w:pos="1053"/>
              </w:tabs>
              <w:spacing w:before="0" w:after="0" w:line="276" w:lineRule="auto"/>
              <w:ind w:firstLine="420" w:firstLineChars="200"/>
              <w:jc w:val="left"/>
              <w:rPr>
                <w:rStyle w:val="19"/>
                <w:rFonts w:ascii="宋体" w:hAnsi="宋体" w:eastAsia="宋体"/>
                <w:sz w:val="21"/>
                <w:szCs w:val="21"/>
                <w:highlight w:val="none"/>
              </w:rPr>
            </w:pPr>
            <w:r>
              <w:rPr>
                <w:rStyle w:val="19"/>
                <w:rFonts w:hint="eastAsia" w:ascii="宋体" w:hAnsi="宋体" w:eastAsia="宋体"/>
                <w:sz w:val="21"/>
                <w:szCs w:val="21"/>
                <w:highlight w:val="none"/>
              </w:rPr>
              <w:t>a、</w:t>
            </w:r>
            <w:r>
              <w:rPr>
                <w:rStyle w:val="19"/>
                <w:rFonts w:ascii="宋体" w:hAnsi="宋体" w:eastAsia="宋体"/>
                <w:sz w:val="21"/>
                <w:szCs w:val="21"/>
                <w:highlight w:val="none"/>
              </w:rPr>
              <w:t>投标保证金金额符合招标文件规定的金额，且投标保证金有效期不少于投标有效期；</w:t>
            </w:r>
          </w:p>
          <w:p>
            <w:pPr>
              <w:pStyle w:val="18"/>
              <w:shd w:val="clear" w:color="auto" w:fill="auto"/>
              <w:tabs>
                <w:tab w:val="left" w:pos="1053"/>
              </w:tabs>
              <w:spacing w:before="0" w:after="0" w:line="276" w:lineRule="auto"/>
              <w:ind w:firstLine="420" w:firstLineChars="200"/>
              <w:jc w:val="left"/>
              <w:rPr>
                <w:rStyle w:val="19"/>
                <w:rFonts w:ascii="宋体" w:hAnsi="宋体" w:eastAsia="宋体"/>
                <w:sz w:val="21"/>
                <w:szCs w:val="21"/>
                <w:highlight w:val="none"/>
              </w:rPr>
            </w:pPr>
            <w:r>
              <w:rPr>
                <w:rStyle w:val="19"/>
                <w:rFonts w:hint="eastAsia" w:ascii="宋体" w:hAnsi="宋体" w:eastAsia="宋体"/>
                <w:sz w:val="21"/>
                <w:szCs w:val="21"/>
                <w:highlight w:val="none"/>
              </w:rPr>
              <w:t>b、</w:t>
            </w:r>
            <w:r>
              <w:rPr>
                <w:rStyle w:val="19"/>
                <w:rFonts w:ascii="宋体" w:hAnsi="宋体" w:eastAsia="宋体"/>
                <w:sz w:val="21"/>
                <w:szCs w:val="21"/>
                <w:highlight w:val="none"/>
              </w:rPr>
              <w:t>若投标保证金采用现金或支票形式提交，投标人应在递交投标文件截止时间之前，将投标保证金由投标人的基本账户转入招标人指定账户；</w:t>
            </w:r>
          </w:p>
          <w:p>
            <w:pPr>
              <w:spacing w:line="276" w:lineRule="auto"/>
              <w:ind w:firstLine="420" w:firstLineChars="200"/>
              <w:rPr>
                <w:rFonts w:ascii="宋体" w:hAnsi="宋体"/>
                <w:highlight w:val="none"/>
              </w:rPr>
            </w:pPr>
            <w:r>
              <w:rPr>
                <w:rStyle w:val="19"/>
                <w:rFonts w:hint="eastAsia" w:ascii="宋体" w:hAnsi="宋体" w:eastAsia="宋体"/>
                <w:sz w:val="21"/>
                <w:szCs w:val="21"/>
                <w:highlight w:val="none"/>
              </w:rPr>
              <w:t>c、</w:t>
            </w:r>
            <w:r>
              <w:rPr>
                <w:rStyle w:val="19"/>
                <w:rFonts w:ascii="宋体" w:hAnsi="宋体" w:eastAsia="宋体"/>
                <w:sz w:val="21"/>
                <w:szCs w:val="21"/>
                <w:highlight w:val="none"/>
              </w:rPr>
              <w:t>若投标保证金采用保函</w:t>
            </w:r>
            <w:r>
              <w:rPr>
                <w:rStyle w:val="19"/>
                <w:rFonts w:hint="eastAsia" w:ascii="宋体" w:hAnsi="宋体"/>
                <w:sz w:val="21"/>
                <w:szCs w:val="21"/>
                <w:highlight w:val="none"/>
                <w:lang w:val="en-US"/>
              </w:rPr>
              <w:t>或保单</w:t>
            </w:r>
            <w:r>
              <w:rPr>
                <w:rStyle w:val="19"/>
                <w:rFonts w:ascii="宋体" w:hAnsi="宋体" w:eastAsia="宋体"/>
                <w:sz w:val="21"/>
                <w:szCs w:val="21"/>
                <w:highlight w:val="none"/>
              </w:rPr>
              <w:t>形式提交，</w:t>
            </w:r>
            <w:r>
              <w:rPr>
                <w:rStyle w:val="19"/>
                <w:rFonts w:hint="eastAsia" w:ascii="宋体" w:hAnsi="宋体"/>
                <w:sz w:val="21"/>
                <w:szCs w:val="21"/>
                <w:highlight w:val="none"/>
                <w:lang w:val="en-US"/>
              </w:rPr>
              <w:t>符合</w:t>
            </w:r>
            <w:r>
              <w:rPr>
                <w:rStyle w:val="19"/>
                <w:rFonts w:ascii="宋体" w:hAnsi="宋体" w:eastAsia="宋体"/>
                <w:sz w:val="21"/>
                <w:szCs w:val="21"/>
                <w:highlight w:val="none"/>
              </w:rPr>
              <w:t>招标文件要求。</w:t>
            </w:r>
          </w:p>
          <w:p>
            <w:pPr>
              <w:spacing w:line="276" w:lineRule="auto"/>
              <w:ind w:firstLine="420" w:firstLineChars="200"/>
              <w:rPr>
                <w:rFonts w:ascii="宋体" w:hAnsi="宋体"/>
                <w:highlight w:val="none"/>
              </w:rPr>
            </w:pPr>
            <w:r>
              <w:rPr>
                <w:rFonts w:hint="eastAsia"/>
                <w:highlight w:val="none"/>
              </w:rPr>
              <w:t>（</w:t>
            </w:r>
            <w:r>
              <w:rPr>
                <w:rFonts w:hint="eastAsia" w:ascii="宋体" w:hAnsi="宋体"/>
                <w:highlight w:val="none"/>
              </w:rPr>
              <w:t>4）</w:t>
            </w:r>
            <w:r>
              <w:rPr>
                <w:rFonts w:ascii="宋体" w:hAnsi="宋体"/>
                <w:highlight w:val="none"/>
              </w:rPr>
              <w:t>投标人法定代表人授权委托代理人签署投标文件的，需提交授权委托书，授权委托书</w:t>
            </w:r>
            <w:r>
              <w:rPr>
                <w:rFonts w:hint="eastAsia" w:ascii="宋体" w:hAnsi="宋体"/>
                <w:highlight w:val="none"/>
                <w:lang w:val="en-US" w:eastAsia="zh-CN"/>
              </w:rPr>
              <w:t>符合招标文件规定。</w:t>
            </w:r>
          </w:p>
          <w:p>
            <w:pPr>
              <w:spacing w:line="276" w:lineRule="auto"/>
              <w:ind w:firstLine="420" w:firstLineChars="200"/>
              <w:rPr>
                <w:rFonts w:ascii="宋体" w:hAnsi="宋体"/>
                <w:highlight w:val="none"/>
              </w:rPr>
            </w:pPr>
            <w:r>
              <w:rPr>
                <w:rFonts w:hint="eastAsia" w:ascii="宋体" w:hAnsi="宋体"/>
                <w:highlight w:val="none"/>
              </w:rPr>
              <w:t>（5）</w:t>
            </w:r>
            <w:r>
              <w:rPr>
                <w:rFonts w:ascii="宋体" w:hAnsi="宋体"/>
                <w:highlight w:val="none"/>
              </w:rPr>
              <w:t>投标人法定代表人亲自签署投标文件的，提供了法定代表人身份证明，法定代表人身份证明</w:t>
            </w:r>
            <w:r>
              <w:rPr>
                <w:rFonts w:hint="eastAsia" w:ascii="宋体" w:hAnsi="宋体"/>
                <w:highlight w:val="none"/>
                <w:lang w:val="en-US" w:eastAsia="zh-CN"/>
              </w:rPr>
              <w:t>符合招标文件规定</w:t>
            </w:r>
            <w:r>
              <w:rPr>
                <w:rFonts w:ascii="宋体" w:hAnsi="宋体"/>
                <w:highlight w:val="none"/>
              </w:rPr>
              <w:t>。</w:t>
            </w:r>
          </w:p>
          <w:p>
            <w:pPr>
              <w:spacing w:line="276" w:lineRule="auto"/>
              <w:ind w:firstLine="420" w:firstLineChars="200"/>
              <w:rPr>
                <w:rFonts w:ascii="宋体" w:hAnsi="宋体"/>
                <w:highlight w:val="none"/>
              </w:rPr>
            </w:pPr>
            <w:r>
              <w:rPr>
                <w:rFonts w:hint="eastAsia" w:ascii="宋体" w:hAnsi="宋体"/>
                <w:highlight w:val="none"/>
              </w:rPr>
              <w:t>（6）投标人未以联合体形式投标</w:t>
            </w:r>
            <w:r>
              <w:rPr>
                <w:rFonts w:ascii="宋体" w:hAnsi="宋体"/>
                <w:highlight w:val="none"/>
              </w:rPr>
              <w:t>。</w:t>
            </w:r>
          </w:p>
          <w:p>
            <w:pPr>
              <w:spacing w:line="276" w:lineRule="auto"/>
              <w:ind w:firstLine="420" w:firstLineChars="200"/>
              <w:rPr>
                <w:rFonts w:ascii="宋体" w:hAnsi="宋体"/>
                <w:highlight w:val="none"/>
              </w:rPr>
            </w:pPr>
            <w:r>
              <w:rPr>
                <w:rFonts w:hint="eastAsia"/>
                <w:highlight w:val="none"/>
              </w:rPr>
              <w:t>（7）</w:t>
            </w:r>
            <w:r>
              <w:rPr>
                <w:highlight w:val="none"/>
              </w:rPr>
              <w:t>投</w:t>
            </w:r>
            <w:r>
              <w:rPr>
                <w:rFonts w:ascii="宋体" w:hAnsi="宋体"/>
                <w:highlight w:val="none"/>
              </w:rPr>
              <w:t>标人</w:t>
            </w:r>
            <w:r>
              <w:rPr>
                <w:rFonts w:hint="eastAsia" w:ascii="宋体" w:hAnsi="宋体"/>
                <w:highlight w:val="none"/>
                <w:lang w:val="en-US" w:eastAsia="zh-CN"/>
              </w:rPr>
              <w:t>未提出</w:t>
            </w:r>
            <w:r>
              <w:rPr>
                <w:rFonts w:ascii="宋体" w:hAnsi="宋体"/>
                <w:highlight w:val="none"/>
              </w:rPr>
              <w:t>分包计划</w:t>
            </w:r>
            <w:r>
              <w:rPr>
                <w:rFonts w:hint="eastAsia" w:ascii="宋体" w:hAnsi="宋体"/>
                <w:highlight w:val="none"/>
              </w:rPr>
              <w:t>。</w:t>
            </w:r>
          </w:p>
          <w:p>
            <w:pPr>
              <w:spacing w:line="276" w:lineRule="auto"/>
              <w:ind w:firstLine="420" w:firstLineChars="200"/>
              <w:rPr>
                <w:rFonts w:ascii="宋体" w:hAnsi="宋体"/>
                <w:highlight w:val="none"/>
              </w:rPr>
            </w:pPr>
            <w:r>
              <w:rPr>
                <w:rFonts w:hint="eastAsia" w:ascii="宋体" w:hAnsi="宋体"/>
                <w:highlight w:val="none"/>
              </w:rPr>
              <w:t>（8）</w:t>
            </w:r>
            <w:r>
              <w:rPr>
                <w:rFonts w:ascii="宋体" w:hAnsi="宋体"/>
                <w:highlight w:val="none"/>
              </w:rPr>
              <w:t>同一投标人未提交两个以上不同的投标文件。</w:t>
            </w:r>
          </w:p>
          <w:p>
            <w:pPr>
              <w:spacing w:line="276" w:lineRule="auto"/>
              <w:ind w:firstLine="420" w:firstLineChars="200"/>
              <w:rPr>
                <w:rFonts w:ascii="宋体" w:hAnsi="宋体"/>
                <w:highlight w:val="none"/>
              </w:rPr>
            </w:pPr>
            <w:r>
              <w:rPr>
                <w:rFonts w:hint="eastAsia" w:ascii="宋体" w:hAnsi="宋体"/>
                <w:highlight w:val="none"/>
              </w:rPr>
              <w:t>（9）</w:t>
            </w:r>
            <w:r>
              <w:rPr>
                <w:rFonts w:ascii="宋体" w:hAnsi="宋体"/>
                <w:highlight w:val="none"/>
              </w:rPr>
              <w:t>投标文件中未出现有关投标报价的内容。</w:t>
            </w:r>
          </w:p>
          <w:p>
            <w:pPr>
              <w:spacing w:line="276" w:lineRule="auto"/>
              <w:ind w:firstLine="420" w:firstLineChars="200"/>
              <w:rPr>
                <w:rFonts w:ascii="宋体" w:hAnsi="宋体"/>
                <w:highlight w:val="none"/>
              </w:rPr>
            </w:pPr>
            <w:r>
              <w:rPr>
                <w:rFonts w:hint="eastAsia" w:ascii="宋体" w:hAnsi="宋体"/>
                <w:highlight w:val="none"/>
              </w:rPr>
              <w:t>（10）</w:t>
            </w:r>
            <w:r>
              <w:rPr>
                <w:rFonts w:ascii="宋体" w:hAnsi="宋体"/>
                <w:highlight w:val="none"/>
              </w:rPr>
              <w:t>投标文件载明的招标项目完成期限未超过招标文件规定的时限。</w:t>
            </w:r>
          </w:p>
          <w:p>
            <w:pPr>
              <w:spacing w:line="276" w:lineRule="auto"/>
              <w:ind w:firstLine="420" w:firstLineChars="200"/>
              <w:rPr>
                <w:rFonts w:ascii="宋体" w:hAnsi="宋体"/>
                <w:highlight w:val="none"/>
              </w:rPr>
            </w:pPr>
            <w:r>
              <w:rPr>
                <w:rFonts w:hint="eastAsia" w:ascii="宋体" w:hAnsi="宋体"/>
                <w:highlight w:val="none"/>
              </w:rPr>
              <w:t>（11）</w:t>
            </w:r>
            <w:r>
              <w:rPr>
                <w:rFonts w:ascii="宋体" w:hAnsi="宋体"/>
                <w:highlight w:val="none"/>
              </w:rPr>
              <w:t>投标文件对招标文件的实质性要求和条件作出响应。</w:t>
            </w:r>
          </w:p>
          <w:p>
            <w:pPr>
              <w:spacing w:line="276" w:lineRule="auto"/>
              <w:ind w:firstLine="420" w:firstLineChars="200"/>
              <w:rPr>
                <w:rFonts w:ascii="宋体" w:hAnsi="宋体"/>
                <w:highlight w:val="none"/>
              </w:rPr>
            </w:pPr>
            <w:r>
              <w:rPr>
                <w:rFonts w:hint="eastAsia" w:ascii="宋体" w:hAnsi="宋体"/>
                <w:highlight w:val="none"/>
              </w:rPr>
              <w:t>（12）</w:t>
            </w:r>
            <w:r>
              <w:rPr>
                <w:rFonts w:ascii="宋体" w:hAnsi="宋体"/>
                <w:highlight w:val="none"/>
              </w:rPr>
              <w:t>权利义务符合招标文件规定：</w:t>
            </w:r>
          </w:p>
          <w:p>
            <w:pPr>
              <w:spacing w:line="276" w:lineRule="auto"/>
              <w:ind w:firstLine="420" w:firstLineChars="200"/>
              <w:rPr>
                <w:rFonts w:ascii="宋体" w:hAnsi="宋体"/>
                <w:highlight w:val="none"/>
              </w:rPr>
            </w:pPr>
            <w:r>
              <w:rPr>
                <w:rFonts w:hint="eastAsia" w:ascii="宋体" w:hAnsi="宋体"/>
                <w:highlight w:val="none"/>
              </w:rPr>
              <w:t>a.</w:t>
            </w:r>
            <w:r>
              <w:rPr>
                <w:rFonts w:ascii="宋体" w:hAnsi="宋体"/>
                <w:highlight w:val="none"/>
              </w:rPr>
              <w:t>投标人应接受招标文件规定的风险划分原则，未提出新的风险划分办法；</w:t>
            </w:r>
          </w:p>
          <w:p>
            <w:pPr>
              <w:spacing w:line="276" w:lineRule="auto"/>
              <w:ind w:firstLine="420" w:firstLineChars="200"/>
              <w:rPr>
                <w:rFonts w:ascii="宋体" w:hAnsi="宋体"/>
                <w:highlight w:val="none"/>
              </w:rPr>
            </w:pPr>
            <w:r>
              <w:rPr>
                <w:rFonts w:hint="eastAsia" w:ascii="宋体" w:hAnsi="宋体"/>
                <w:highlight w:val="none"/>
              </w:rPr>
              <w:t>b.</w:t>
            </w:r>
            <w:r>
              <w:rPr>
                <w:rFonts w:ascii="宋体" w:hAnsi="宋体"/>
                <w:highlight w:val="none"/>
              </w:rPr>
              <w:t>投标人未增加发包人的责任范围，或减少投标人义务；</w:t>
            </w:r>
          </w:p>
          <w:p>
            <w:pPr>
              <w:spacing w:line="276" w:lineRule="auto"/>
              <w:ind w:firstLine="420" w:firstLineChars="200"/>
              <w:rPr>
                <w:rFonts w:ascii="宋体" w:hAnsi="宋体"/>
                <w:highlight w:val="none"/>
              </w:rPr>
            </w:pPr>
            <w:r>
              <w:rPr>
                <w:rFonts w:hint="eastAsia" w:ascii="宋体" w:hAnsi="宋体"/>
                <w:highlight w:val="none"/>
              </w:rPr>
              <w:t>c.</w:t>
            </w:r>
            <w:r>
              <w:rPr>
                <w:rFonts w:ascii="宋体" w:hAnsi="宋体"/>
                <w:highlight w:val="none"/>
              </w:rPr>
              <w:t>投标人未提出不同的工程验收、计量、支付办法；</w:t>
            </w:r>
          </w:p>
          <w:p>
            <w:pPr>
              <w:spacing w:line="276" w:lineRule="auto"/>
              <w:ind w:firstLine="420" w:firstLineChars="200"/>
              <w:rPr>
                <w:rFonts w:ascii="宋体" w:hAnsi="宋体"/>
                <w:highlight w:val="none"/>
              </w:rPr>
            </w:pPr>
            <w:r>
              <w:rPr>
                <w:rFonts w:hint="eastAsia" w:ascii="宋体" w:hAnsi="宋体"/>
                <w:highlight w:val="none"/>
              </w:rPr>
              <w:t>d.</w:t>
            </w:r>
            <w:r>
              <w:rPr>
                <w:rFonts w:ascii="宋体" w:hAnsi="宋体"/>
                <w:highlight w:val="none"/>
              </w:rPr>
              <w:t>投标人对合同纠纷、事故处理办法未提出异议；</w:t>
            </w:r>
          </w:p>
          <w:p>
            <w:pPr>
              <w:spacing w:line="276" w:lineRule="auto"/>
              <w:ind w:firstLine="420" w:firstLineChars="200"/>
              <w:rPr>
                <w:rFonts w:ascii="宋体" w:hAnsi="宋体"/>
                <w:highlight w:val="none"/>
              </w:rPr>
            </w:pPr>
            <w:r>
              <w:rPr>
                <w:rFonts w:hint="eastAsia" w:ascii="宋体" w:hAnsi="宋体"/>
                <w:highlight w:val="none"/>
              </w:rPr>
              <w:t>e.</w:t>
            </w:r>
            <w:r>
              <w:rPr>
                <w:rFonts w:ascii="宋体" w:hAnsi="宋体"/>
                <w:highlight w:val="none"/>
              </w:rPr>
              <w:t>投标人在投标活动中无欺诈行为；</w:t>
            </w:r>
          </w:p>
          <w:p>
            <w:pPr>
              <w:autoSpaceDE w:val="0"/>
              <w:autoSpaceDN w:val="0"/>
              <w:adjustRightInd w:val="0"/>
              <w:spacing w:line="276" w:lineRule="auto"/>
              <w:ind w:firstLine="420" w:firstLineChars="200"/>
              <w:jc w:val="left"/>
              <w:rPr>
                <w:rFonts w:ascii="宋体" w:hAnsi="宋体"/>
                <w:highlight w:val="none"/>
              </w:rPr>
            </w:pPr>
            <w:r>
              <w:rPr>
                <w:rFonts w:hint="eastAsia" w:ascii="宋体" w:hAnsi="宋体"/>
                <w:highlight w:val="none"/>
              </w:rPr>
              <w:t>f.</w:t>
            </w:r>
            <w:r>
              <w:rPr>
                <w:rFonts w:ascii="宋体" w:hAnsi="宋体"/>
                <w:highlight w:val="none"/>
              </w:rPr>
              <w:t>投标人未对合同条款有重要保留。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pPr>
              <w:autoSpaceDE w:val="0"/>
              <w:autoSpaceDN w:val="0"/>
              <w:adjustRightInd w:val="0"/>
              <w:spacing w:line="360" w:lineRule="auto"/>
              <w:jc w:val="center"/>
              <w:rPr>
                <w:highlight w:val="none"/>
                <w:lang w:val="zh-CN"/>
              </w:rPr>
            </w:pPr>
          </w:p>
        </w:tc>
        <w:tc>
          <w:tcPr>
            <w:tcW w:w="1565" w:type="dxa"/>
            <w:vAlign w:val="center"/>
          </w:tcPr>
          <w:p>
            <w:pPr>
              <w:autoSpaceDE w:val="0"/>
              <w:autoSpaceDN w:val="0"/>
              <w:adjustRightInd w:val="0"/>
              <w:spacing w:line="360" w:lineRule="auto"/>
              <w:jc w:val="center"/>
              <w:rPr>
                <w:b/>
                <w:bCs/>
                <w:color w:val="000000"/>
                <w:highlight w:val="none"/>
                <w:lang w:val="zh-CN"/>
              </w:rPr>
            </w:pPr>
            <w:r>
              <w:rPr>
                <w:rFonts w:eastAsia="黑体"/>
                <w:b/>
                <w:color w:val="000000"/>
                <w:highlight w:val="none"/>
              </w:rPr>
              <w:t>第二个信封</w:t>
            </w:r>
          </w:p>
          <w:p>
            <w:pPr>
              <w:autoSpaceDE w:val="0"/>
              <w:autoSpaceDN w:val="0"/>
              <w:adjustRightInd w:val="0"/>
              <w:spacing w:line="360" w:lineRule="auto"/>
              <w:jc w:val="center"/>
              <w:rPr>
                <w:rFonts w:cs="宋体"/>
                <w:highlight w:val="none"/>
                <w:lang w:val="zh-CN"/>
              </w:rPr>
            </w:pPr>
            <w:r>
              <w:rPr>
                <w:bCs/>
                <w:color w:val="000000"/>
                <w:highlight w:val="none"/>
                <w:lang w:val="zh-CN"/>
              </w:rPr>
              <w:t>形式评审与响应性评审标准</w:t>
            </w:r>
          </w:p>
        </w:tc>
        <w:tc>
          <w:tcPr>
            <w:tcW w:w="7073" w:type="dxa"/>
            <w:tcBorders>
              <w:right w:val="single" w:color="auto" w:sz="12" w:space="0"/>
            </w:tcBorders>
            <w:vAlign w:val="center"/>
          </w:tcPr>
          <w:p>
            <w:pPr>
              <w:tabs>
                <w:tab w:val="left" w:pos="0"/>
              </w:tabs>
              <w:adjustRightInd w:val="0"/>
              <w:snapToGrid w:val="0"/>
              <w:spacing w:before="24" w:beforeLines="10" w:after="24" w:afterLines="10" w:line="276" w:lineRule="auto"/>
              <w:ind w:left="-73" w:leftChars="-35"/>
              <w:rPr>
                <w:rFonts w:ascii="黑体" w:hAnsi="黑体" w:eastAsia="黑体"/>
                <w:b/>
                <w:highlight w:val="none"/>
              </w:rPr>
            </w:pPr>
            <w:r>
              <w:rPr>
                <w:rFonts w:hint="eastAsia" w:ascii="黑体" w:hAnsi="黑体" w:eastAsia="黑体"/>
                <w:b/>
                <w:highlight w:val="none"/>
              </w:rPr>
              <w:t>第二个信封（报价文件）评审标准：</w:t>
            </w:r>
          </w:p>
          <w:p>
            <w:pPr>
              <w:spacing w:line="276"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投标文件按照招标文件规定的格式、内容填写，字迹清晰可</w:t>
            </w:r>
            <w:r>
              <w:rPr>
                <w:rFonts w:hint="eastAsia" w:ascii="宋体" w:hAnsi="宋体"/>
                <w:highlight w:val="none"/>
              </w:rPr>
              <w:t>辨：</w:t>
            </w:r>
          </w:p>
          <w:p>
            <w:pPr>
              <w:spacing w:line="276" w:lineRule="auto"/>
              <w:ind w:firstLine="420" w:firstLineChars="200"/>
              <w:rPr>
                <w:rFonts w:ascii="宋体" w:hAnsi="宋体"/>
                <w:highlight w:val="none"/>
              </w:rPr>
            </w:pPr>
            <w:r>
              <w:rPr>
                <w:rFonts w:hint="eastAsia" w:ascii="宋体" w:hAnsi="宋体"/>
                <w:highlight w:val="none"/>
              </w:rPr>
              <w:t>a.</w:t>
            </w:r>
            <w:r>
              <w:rPr>
                <w:rFonts w:ascii="宋体" w:hAnsi="宋体"/>
                <w:highlight w:val="none"/>
              </w:rPr>
              <w:t>投标函按招标文件规定填报了项目名称、标段号、补遗书编号</w:t>
            </w:r>
            <w:r>
              <w:rPr>
                <w:rFonts w:hint="eastAsia" w:ascii="宋体" w:hAnsi="宋体"/>
                <w:highlight w:val="none"/>
              </w:rPr>
              <w:t>(</w:t>
            </w:r>
            <w:r>
              <w:rPr>
                <w:rFonts w:ascii="宋体" w:hAnsi="宋体"/>
                <w:highlight w:val="none"/>
              </w:rPr>
              <w:t>如有</w:t>
            </w:r>
            <w:r>
              <w:rPr>
                <w:rFonts w:hint="eastAsia" w:ascii="宋体" w:hAnsi="宋体"/>
                <w:highlight w:val="none"/>
              </w:rPr>
              <w:t>)</w:t>
            </w:r>
            <w:r>
              <w:rPr>
                <w:rFonts w:ascii="宋体" w:hAnsi="宋体"/>
                <w:highlight w:val="none"/>
              </w:rPr>
              <w:t>、投标价（包括大写金额和小写金额)；</w:t>
            </w:r>
          </w:p>
          <w:p>
            <w:pPr>
              <w:spacing w:line="276" w:lineRule="auto"/>
              <w:ind w:firstLine="420" w:firstLineChars="200"/>
              <w:rPr>
                <w:rFonts w:ascii="宋体" w:hAnsi="宋体"/>
                <w:highlight w:val="none"/>
              </w:rPr>
            </w:pPr>
            <w:r>
              <w:rPr>
                <w:rFonts w:hint="eastAsia" w:ascii="宋体" w:hAnsi="宋体"/>
                <w:highlight w:val="none"/>
              </w:rPr>
              <w:t>b.</w:t>
            </w:r>
            <w:r>
              <w:rPr>
                <w:rFonts w:ascii="宋体" w:hAnsi="宋体"/>
                <w:highlight w:val="none"/>
              </w:rPr>
              <w:t>已标价工程量清单说明文字与招标文件规定一致，未进行实质性修改和删减；</w:t>
            </w:r>
          </w:p>
          <w:p>
            <w:pPr>
              <w:spacing w:line="276" w:lineRule="auto"/>
              <w:ind w:firstLine="420" w:firstLineChars="200"/>
              <w:rPr>
                <w:rFonts w:ascii="宋体" w:hAnsi="宋体"/>
                <w:highlight w:val="none"/>
              </w:rPr>
            </w:pPr>
            <w:r>
              <w:rPr>
                <w:rFonts w:hint="eastAsia" w:ascii="宋体" w:hAnsi="宋体"/>
                <w:highlight w:val="none"/>
              </w:rPr>
              <w:t>c.投标文件组成齐全完整，内容均按规定填写。</w:t>
            </w:r>
          </w:p>
          <w:p>
            <w:pPr>
              <w:spacing w:line="276" w:lineRule="auto"/>
              <w:ind w:firstLine="420" w:firstLineChars="200"/>
              <w:rPr>
                <w:rFonts w:ascii="宋体" w:hAnsi="宋体"/>
                <w:highlight w:val="none"/>
              </w:rPr>
            </w:pPr>
            <w:r>
              <w:rPr>
                <w:rFonts w:hint="eastAsia" w:ascii="宋体" w:hAnsi="宋体"/>
                <w:highlight w:val="none"/>
              </w:rPr>
              <w:t>（2）</w:t>
            </w:r>
            <w:r>
              <w:rPr>
                <w:rFonts w:ascii="宋体" w:hAnsi="宋体"/>
                <w:highlight w:val="none"/>
              </w:rPr>
              <w:t>投标文件上法定代表人或其委托代理人的签字、投标人的单位章盖章齐全，符合招标文件规定。</w:t>
            </w:r>
          </w:p>
          <w:p>
            <w:pPr>
              <w:spacing w:line="276" w:lineRule="auto"/>
              <w:ind w:firstLine="420" w:firstLineChars="200"/>
              <w:rPr>
                <w:rFonts w:ascii="宋体" w:hAnsi="宋体"/>
                <w:highlight w:val="none"/>
              </w:rPr>
            </w:pPr>
            <w:r>
              <w:rPr>
                <w:rFonts w:hint="eastAsia" w:ascii="宋体" w:hAnsi="宋体"/>
                <w:highlight w:val="none"/>
              </w:rPr>
              <w:t>（3）</w:t>
            </w:r>
            <w:r>
              <w:rPr>
                <w:rFonts w:ascii="宋体" w:hAnsi="宋体"/>
                <w:highlight w:val="none"/>
              </w:rPr>
              <w:t>投标报价未超过招标文件设定的最高投标限价。</w:t>
            </w:r>
          </w:p>
          <w:p>
            <w:pPr>
              <w:spacing w:line="276" w:lineRule="auto"/>
              <w:ind w:firstLine="420" w:firstLineChars="200"/>
              <w:rPr>
                <w:rFonts w:ascii="宋体" w:hAnsi="宋体"/>
                <w:highlight w:val="none"/>
              </w:rPr>
            </w:pPr>
            <w:r>
              <w:rPr>
                <w:rFonts w:hint="eastAsia" w:ascii="宋体" w:hAnsi="宋体"/>
                <w:highlight w:val="none"/>
              </w:rPr>
              <w:t>（4）</w:t>
            </w:r>
            <w:r>
              <w:rPr>
                <w:rFonts w:ascii="宋体" w:hAnsi="宋体"/>
                <w:highlight w:val="none"/>
              </w:rPr>
              <w:t>投标报价中报价的大写金额能够确定具体数值。</w:t>
            </w:r>
          </w:p>
          <w:p>
            <w:pPr>
              <w:spacing w:line="276" w:lineRule="auto"/>
              <w:ind w:firstLine="420" w:firstLineChars="200"/>
              <w:rPr>
                <w:rFonts w:ascii="宋体" w:hAnsi="宋体"/>
                <w:highlight w:val="none"/>
              </w:rPr>
            </w:pPr>
            <w:r>
              <w:rPr>
                <w:rFonts w:hint="eastAsia" w:ascii="宋体" w:hAnsi="宋体"/>
                <w:highlight w:val="none"/>
              </w:rPr>
              <w:t>（5）</w:t>
            </w:r>
            <w:r>
              <w:rPr>
                <w:rFonts w:ascii="宋体" w:hAnsi="宋体"/>
                <w:highlight w:val="none"/>
              </w:rPr>
              <w:t>同一投标人未提交两个以上不同的投标报价。</w:t>
            </w:r>
          </w:p>
          <w:p>
            <w:pPr>
              <w:spacing w:line="276" w:lineRule="auto"/>
              <w:ind w:firstLine="420" w:firstLineChars="200"/>
              <w:rPr>
                <w:rFonts w:ascii="宋体" w:hAnsi="宋体"/>
                <w:highlight w:val="none"/>
              </w:rPr>
            </w:pPr>
            <w:r>
              <w:rPr>
                <w:rFonts w:hint="eastAsia" w:ascii="宋体" w:hAnsi="宋体"/>
                <w:highlight w:val="none"/>
              </w:rPr>
              <w:t>（6）</w:t>
            </w:r>
            <w:r>
              <w:rPr>
                <w:rFonts w:ascii="宋体" w:hAnsi="宋体"/>
                <w:highlight w:val="none"/>
              </w:rPr>
              <w:t>投标人</w:t>
            </w:r>
            <w:r>
              <w:rPr>
                <w:rFonts w:hint="eastAsia" w:ascii="宋体" w:hAnsi="宋体"/>
                <w:highlight w:val="none"/>
              </w:rPr>
              <w:t>未</w:t>
            </w:r>
            <w:r>
              <w:rPr>
                <w:rFonts w:ascii="宋体" w:hAnsi="宋体"/>
                <w:highlight w:val="none"/>
              </w:rPr>
              <w:t>提交调价函。</w:t>
            </w:r>
          </w:p>
          <w:p>
            <w:pPr>
              <w:spacing w:line="276" w:lineRule="auto"/>
              <w:ind w:firstLine="420" w:firstLineChars="200"/>
              <w:rPr>
                <w:rFonts w:ascii="宋体" w:hAnsi="宋体"/>
                <w:highlight w:val="none"/>
              </w:rPr>
            </w:pPr>
            <w:r>
              <w:rPr>
                <w:rFonts w:hint="eastAsia" w:ascii="宋体" w:hAnsi="宋体"/>
                <w:highlight w:val="none"/>
              </w:rPr>
              <w:t>（7）</w:t>
            </w:r>
            <w:r>
              <w:rPr>
                <w:rFonts w:ascii="宋体" w:hAnsi="宋体"/>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pPr>
              <w:autoSpaceDE w:val="0"/>
              <w:autoSpaceDN w:val="0"/>
              <w:adjustRightInd w:val="0"/>
              <w:spacing w:line="360" w:lineRule="auto"/>
              <w:jc w:val="center"/>
              <w:rPr>
                <w:highlight w:val="none"/>
                <w:lang w:val="zh-CN"/>
              </w:rPr>
            </w:pPr>
            <w:r>
              <w:rPr>
                <w:highlight w:val="none"/>
                <w:lang w:val="zh-CN"/>
              </w:rPr>
              <w:t>2.1.2</w:t>
            </w:r>
          </w:p>
        </w:tc>
        <w:tc>
          <w:tcPr>
            <w:tcW w:w="1565" w:type="dxa"/>
            <w:vAlign w:val="center"/>
          </w:tcPr>
          <w:p>
            <w:pPr>
              <w:autoSpaceDE w:val="0"/>
              <w:autoSpaceDN w:val="0"/>
              <w:adjustRightInd w:val="0"/>
              <w:spacing w:line="360" w:lineRule="auto"/>
              <w:jc w:val="center"/>
              <w:rPr>
                <w:highlight w:val="none"/>
                <w:lang w:val="zh-CN"/>
              </w:rPr>
            </w:pPr>
            <w:r>
              <w:rPr>
                <w:rFonts w:hint="eastAsia" w:cs="宋体"/>
                <w:highlight w:val="none"/>
                <w:lang w:val="zh-CN"/>
              </w:rPr>
              <w:t>资格评审标准</w:t>
            </w:r>
          </w:p>
        </w:tc>
        <w:tc>
          <w:tcPr>
            <w:tcW w:w="7073" w:type="dxa"/>
            <w:tcBorders>
              <w:right w:val="single" w:color="auto" w:sz="12" w:space="0"/>
            </w:tcBorders>
            <w:vAlign w:val="center"/>
          </w:tcPr>
          <w:p>
            <w:pPr>
              <w:pStyle w:val="20"/>
              <w:shd w:val="clear" w:color="auto" w:fill="auto"/>
              <w:spacing w:before="0" w:line="276" w:lineRule="auto"/>
              <w:ind w:firstLine="420" w:firstLineChars="200"/>
              <w:rPr>
                <w:rFonts w:ascii="宋体" w:hAnsi="宋体" w:eastAsia="宋体" w:cs="PMingLiU"/>
                <w:sz w:val="21"/>
                <w:szCs w:val="21"/>
                <w:highlight w:val="none"/>
              </w:rPr>
            </w:pPr>
            <w:r>
              <w:rPr>
                <w:rFonts w:ascii="宋体" w:hAnsi="宋体" w:eastAsia="宋体" w:cs="PMingLiU"/>
                <w:sz w:val="21"/>
                <w:szCs w:val="21"/>
                <w:highlight w:val="none"/>
                <w:lang w:bidi="en-US"/>
              </w:rPr>
              <w:t>（</w:t>
            </w:r>
            <w:r>
              <w:rPr>
                <w:rFonts w:hint="eastAsia" w:ascii="宋体" w:hAnsi="宋体" w:eastAsia="宋体" w:cs="PMingLiU"/>
                <w:sz w:val="21"/>
                <w:szCs w:val="21"/>
                <w:highlight w:val="none"/>
                <w:lang w:bidi="en-US"/>
              </w:rPr>
              <w:t>1）</w:t>
            </w:r>
            <w:r>
              <w:rPr>
                <w:rFonts w:ascii="宋体" w:hAnsi="宋体" w:eastAsia="宋体" w:cs="PMingLiU"/>
                <w:sz w:val="21"/>
                <w:szCs w:val="21"/>
                <w:highlight w:val="none"/>
              </w:rPr>
              <w:t>投标人具备有效的营业执照、组织机构代码证、资质证书、安全生产许可证和基本账户开户</w:t>
            </w:r>
            <w:r>
              <w:rPr>
                <w:rFonts w:hint="eastAsia" w:ascii="宋体" w:hAnsi="宋体" w:eastAsia="宋体" w:cs="PMingLiU"/>
                <w:sz w:val="21"/>
                <w:szCs w:val="21"/>
                <w:highlight w:val="none"/>
              </w:rPr>
              <w:t>证明材料</w:t>
            </w:r>
            <w:r>
              <w:rPr>
                <w:rFonts w:ascii="宋体" w:hAnsi="宋体" w:eastAsia="宋体" w:cs="PMingLiU"/>
                <w:sz w:val="21"/>
                <w:szCs w:val="21"/>
                <w:highlight w:val="none"/>
              </w:rPr>
              <w:t>；</w:t>
            </w:r>
          </w:p>
          <w:p>
            <w:pPr>
              <w:pStyle w:val="20"/>
              <w:shd w:val="clear" w:color="auto" w:fill="auto"/>
              <w:tabs>
                <w:tab w:val="left" w:pos="2517"/>
              </w:tabs>
              <w:spacing w:before="0" w:line="276" w:lineRule="auto"/>
              <w:ind w:firstLine="420" w:firstLineChars="200"/>
              <w:jc w:val="both"/>
              <w:rPr>
                <w:rFonts w:ascii="宋体" w:hAnsi="宋体" w:eastAsia="宋体" w:cs="PMingLiU"/>
                <w:sz w:val="21"/>
                <w:szCs w:val="21"/>
                <w:highlight w:val="none"/>
              </w:rPr>
            </w:pPr>
            <w:r>
              <w:rPr>
                <w:rFonts w:ascii="宋体" w:hAnsi="宋体" w:eastAsia="宋体" w:cs="PMingLiU"/>
                <w:sz w:val="21"/>
                <w:szCs w:val="21"/>
                <w:highlight w:val="none"/>
                <w:lang w:bidi="en-US"/>
              </w:rPr>
              <w:t>（2</w:t>
            </w:r>
            <w:r>
              <w:rPr>
                <w:rFonts w:hint="eastAsia" w:ascii="宋体" w:hAnsi="宋体" w:eastAsia="宋体" w:cs="PMingLiU"/>
                <w:sz w:val="21"/>
                <w:szCs w:val="21"/>
                <w:highlight w:val="none"/>
                <w:lang w:bidi="en-US"/>
              </w:rPr>
              <w:t>）</w:t>
            </w:r>
            <w:r>
              <w:rPr>
                <w:rFonts w:ascii="宋体" w:hAnsi="宋体" w:eastAsia="宋体" w:cs="PMingLiU"/>
                <w:sz w:val="21"/>
                <w:szCs w:val="21"/>
                <w:highlight w:val="none"/>
              </w:rPr>
              <w:t>投标人的资质等级符合招标文件规定；</w:t>
            </w:r>
          </w:p>
          <w:p>
            <w:pPr>
              <w:pStyle w:val="20"/>
              <w:shd w:val="clear" w:color="auto" w:fill="auto"/>
              <w:tabs>
                <w:tab w:val="left" w:pos="2517"/>
              </w:tabs>
              <w:spacing w:before="0" w:line="276" w:lineRule="auto"/>
              <w:ind w:firstLine="420" w:firstLineChars="200"/>
              <w:jc w:val="both"/>
              <w:rPr>
                <w:rFonts w:ascii="宋体" w:hAnsi="宋体" w:eastAsia="宋体" w:cs="PMingLiU"/>
                <w:sz w:val="21"/>
                <w:szCs w:val="21"/>
                <w:highlight w:val="none"/>
              </w:rPr>
            </w:pPr>
            <w:r>
              <w:rPr>
                <w:rFonts w:hint="eastAsia" w:ascii="宋体" w:hAnsi="宋体" w:eastAsia="宋体" w:cs="PMingLiU"/>
                <w:sz w:val="21"/>
                <w:szCs w:val="21"/>
                <w:highlight w:val="none"/>
                <w:lang w:bidi="en-US"/>
              </w:rPr>
              <w:t>（3）</w:t>
            </w:r>
            <w:r>
              <w:rPr>
                <w:rFonts w:ascii="宋体" w:hAnsi="宋体" w:eastAsia="宋体" w:cs="PMingLiU"/>
                <w:sz w:val="21"/>
                <w:szCs w:val="21"/>
                <w:highlight w:val="none"/>
              </w:rPr>
              <w:t>投标人的财务状况符合招标文件规定；</w:t>
            </w:r>
          </w:p>
          <w:p>
            <w:pPr>
              <w:pStyle w:val="20"/>
              <w:shd w:val="clear" w:color="auto" w:fill="auto"/>
              <w:tabs>
                <w:tab w:val="left" w:pos="3008"/>
              </w:tabs>
              <w:spacing w:before="0" w:line="276" w:lineRule="auto"/>
              <w:ind w:firstLine="420" w:firstLineChars="200"/>
              <w:rPr>
                <w:rFonts w:ascii="宋体" w:hAnsi="宋体" w:eastAsia="宋体" w:cs="PMingLiU"/>
                <w:sz w:val="21"/>
                <w:szCs w:val="21"/>
                <w:highlight w:val="none"/>
              </w:rPr>
            </w:pPr>
            <w:r>
              <w:rPr>
                <w:rFonts w:hint="eastAsia" w:ascii="宋体" w:hAnsi="宋体" w:eastAsia="宋体" w:cs="PMingLiU"/>
                <w:sz w:val="21"/>
                <w:szCs w:val="21"/>
                <w:highlight w:val="none"/>
              </w:rPr>
              <w:t>（4）</w:t>
            </w:r>
            <w:r>
              <w:rPr>
                <w:rFonts w:ascii="宋体" w:hAnsi="宋体" w:eastAsia="宋体" w:cs="PMingLiU"/>
                <w:sz w:val="21"/>
                <w:szCs w:val="21"/>
                <w:highlight w:val="none"/>
              </w:rPr>
              <w:t>投标人的类似项目业绩符合招标文件规定；</w:t>
            </w:r>
          </w:p>
          <w:p>
            <w:pPr>
              <w:autoSpaceDE w:val="0"/>
              <w:autoSpaceDN w:val="0"/>
              <w:adjustRightInd w:val="0"/>
              <w:spacing w:line="276" w:lineRule="auto"/>
              <w:ind w:firstLine="420" w:firstLineChars="200"/>
              <w:jc w:val="left"/>
              <w:rPr>
                <w:rFonts w:ascii="宋体" w:hAnsi="宋体"/>
                <w:highlight w:val="none"/>
              </w:rPr>
            </w:pPr>
            <w:r>
              <w:rPr>
                <w:rFonts w:hint="eastAsia" w:ascii="宋体" w:hAnsi="宋体"/>
                <w:highlight w:val="none"/>
              </w:rPr>
              <w:t>（5）</w:t>
            </w:r>
            <w:r>
              <w:rPr>
                <w:rFonts w:ascii="宋体" w:hAnsi="宋体"/>
                <w:highlight w:val="none"/>
              </w:rPr>
              <w:t>投标人的信誉符合招标文件规定；</w:t>
            </w:r>
          </w:p>
          <w:p>
            <w:pPr>
              <w:pStyle w:val="18"/>
              <w:shd w:val="clear" w:color="auto" w:fill="auto"/>
              <w:tabs>
                <w:tab w:val="left" w:pos="1068"/>
              </w:tabs>
              <w:spacing w:before="0" w:after="0" w:line="276" w:lineRule="auto"/>
              <w:ind w:firstLine="420" w:firstLineChars="200"/>
              <w:jc w:val="left"/>
              <w:rPr>
                <w:rFonts w:ascii="宋体" w:hAnsi="宋体" w:eastAsia="宋体" w:cs="PMingLiU"/>
                <w:sz w:val="21"/>
                <w:szCs w:val="21"/>
                <w:highlight w:val="none"/>
              </w:rPr>
            </w:pPr>
            <w:r>
              <w:rPr>
                <w:rStyle w:val="19"/>
                <w:rFonts w:hint="eastAsia" w:ascii="宋体" w:hAnsi="宋体" w:eastAsia="宋体"/>
                <w:sz w:val="21"/>
                <w:szCs w:val="21"/>
                <w:highlight w:val="none"/>
              </w:rPr>
              <w:t>（6）</w:t>
            </w:r>
            <w:r>
              <w:rPr>
                <w:rStyle w:val="19"/>
                <w:rFonts w:ascii="宋体" w:hAnsi="宋体" w:eastAsia="宋体"/>
                <w:sz w:val="21"/>
                <w:szCs w:val="21"/>
                <w:highlight w:val="none"/>
              </w:rPr>
              <w:t>投标人的项目经理和项目总工资格、在岗情况符合招标文件规定；</w:t>
            </w:r>
          </w:p>
          <w:p>
            <w:pPr>
              <w:pStyle w:val="18"/>
              <w:shd w:val="clear" w:color="auto" w:fill="auto"/>
              <w:tabs>
                <w:tab w:val="left" w:pos="1073"/>
              </w:tabs>
              <w:spacing w:before="0" w:after="0" w:line="276" w:lineRule="auto"/>
              <w:ind w:firstLine="420" w:firstLineChars="200"/>
              <w:jc w:val="left"/>
              <w:rPr>
                <w:rStyle w:val="19"/>
                <w:rFonts w:ascii="宋体" w:hAnsi="宋体" w:eastAsia="宋体"/>
                <w:sz w:val="21"/>
                <w:szCs w:val="21"/>
                <w:highlight w:val="none"/>
              </w:rPr>
            </w:pPr>
            <w:r>
              <w:rPr>
                <w:rStyle w:val="19"/>
                <w:rFonts w:hint="eastAsia" w:ascii="宋体" w:hAnsi="宋体" w:eastAsia="宋体"/>
                <w:sz w:val="21"/>
                <w:szCs w:val="21"/>
                <w:highlight w:val="none"/>
              </w:rPr>
              <w:t>（7）</w:t>
            </w:r>
            <w:r>
              <w:rPr>
                <w:rStyle w:val="19"/>
                <w:rFonts w:ascii="宋体" w:hAnsi="宋体" w:eastAsia="宋体"/>
                <w:sz w:val="21"/>
                <w:szCs w:val="21"/>
                <w:highlight w:val="none"/>
              </w:rPr>
              <w:t>投标人不存在第二章“投标人须知”第1.4.3项或第1.4.4项规定的任何一种情形；</w:t>
            </w:r>
          </w:p>
          <w:p>
            <w:pPr>
              <w:pStyle w:val="18"/>
              <w:shd w:val="clear" w:color="auto" w:fill="auto"/>
              <w:tabs>
                <w:tab w:val="left" w:pos="1073"/>
              </w:tabs>
              <w:spacing w:before="0" w:after="0" w:line="276" w:lineRule="auto"/>
              <w:ind w:firstLine="420" w:firstLineChars="200"/>
              <w:jc w:val="left"/>
              <w:rPr>
                <w:rFonts w:ascii="宋体" w:hAnsi="宋体" w:eastAsia="宋体" w:cs="PMingLiU"/>
                <w:color w:val="000000"/>
                <w:sz w:val="21"/>
                <w:szCs w:val="21"/>
                <w:highlight w:val="none"/>
                <w:shd w:val="clear" w:color="auto" w:fill="FFFFFF"/>
                <w:lang w:val="zh-CN" w:bidi="zh-CN"/>
              </w:rPr>
            </w:pPr>
            <w:r>
              <w:rPr>
                <w:rStyle w:val="19"/>
                <w:rFonts w:hint="eastAsia" w:ascii="宋体" w:hAnsi="宋体" w:eastAsia="宋体"/>
                <w:sz w:val="21"/>
                <w:szCs w:val="21"/>
                <w:highlight w:val="none"/>
              </w:rPr>
              <w:t>（8）</w:t>
            </w:r>
            <w:r>
              <w:rPr>
                <w:rStyle w:val="19"/>
                <w:rFonts w:ascii="宋体" w:hAnsi="宋体" w:eastAsia="宋体"/>
                <w:sz w:val="21"/>
                <w:szCs w:val="21"/>
                <w:highlight w:val="none"/>
              </w:rPr>
              <w:t>投标人符合第二章“投标人须知”第1.4.5项规定</w:t>
            </w:r>
            <w:r>
              <w:rPr>
                <w:rStyle w:val="13"/>
                <w:rFonts w:ascii="宋体" w:hAnsi="宋体" w:eastAsia="宋体" w:cs="PMingLiU"/>
                <w:color w:val="000000"/>
                <w:sz w:val="21"/>
                <w:szCs w:val="21"/>
                <w:highlight w:val="none"/>
                <w:shd w:val="clear" w:color="auto" w:fill="FFFFFF"/>
                <w:lang w:val="zh-CN" w:bidi="zh-CN"/>
              </w:rPr>
              <w:footnoteReference w:id="3"/>
            </w:r>
            <w:r>
              <w:rPr>
                <w:rStyle w:val="19"/>
                <w:rFonts w:hint="eastAsia" w:ascii="宋体" w:hAnsi="宋体" w:eastAsia="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pPr>
              <w:autoSpaceDE w:val="0"/>
              <w:autoSpaceDN w:val="0"/>
              <w:adjustRightInd w:val="0"/>
              <w:spacing w:line="276" w:lineRule="auto"/>
              <w:jc w:val="center"/>
              <w:rPr>
                <w:highlight w:val="none"/>
                <w:lang w:val="zh-CN"/>
              </w:rPr>
            </w:pPr>
            <w:r>
              <w:rPr>
                <w:rFonts w:hint="eastAsia" w:ascii="宋体" w:hAnsi="宋体"/>
                <w:szCs w:val="21"/>
                <w:highlight w:val="none"/>
              </w:rPr>
              <w:t>2.2.1</w:t>
            </w:r>
          </w:p>
        </w:tc>
        <w:tc>
          <w:tcPr>
            <w:tcW w:w="1565"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分值构成</w:t>
            </w:r>
          </w:p>
          <w:p>
            <w:pPr>
              <w:autoSpaceDE w:val="0"/>
              <w:autoSpaceDN w:val="0"/>
              <w:adjustRightInd w:val="0"/>
              <w:spacing w:line="276" w:lineRule="auto"/>
              <w:jc w:val="center"/>
              <w:rPr>
                <w:highlight w:val="none"/>
                <w:lang w:val="zh-CN"/>
              </w:rPr>
            </w:pPr>
            <w:r>
              <w:rPr>
                <w:rFonts w:hint="eastAsia" w:ascii="宋体" w:hAnsi="宋体"/>
                <w:szCs w:val="21"/>
                <w:highlight w:val="none"/>
              </w:rPr>
              <w:t>（总分100分）</w:t>
            </w:r>
          </w:p>
        </w:tc>
        <w:tc>
          <w:tcPr>
            <w:tcW w:w="7073" w:type="dxa"/>
            <w:tcBorders>
              <w:right w:val="single" w:color="auto" w:sz="12" w:space="0"/>
            </w:tcBorders>
            <w:vAlign w:val="center"/>
          </w:tcPr>
          <w:p>
            <w:pPr>
              <w:keepLines/>
              <w:adjustRightInd w:val="0"/>
              <w:snapToGrid w:val="0"/>
              <w:spacing w:line="276" w:lineRule="auto"/>
              <w:rPr>
                <w:rFonts w:ascii="宋体" w:hAnsi="宋体"/>
                <w:szCs w:val="21"/>
                <w:highlight w:val="none"/>
              </w:rPr>
            </w:pPr>
            <w:r>
              <w:rPr>
                <w:rFonts w:hint="eastAsia" w:ascii="宋体" w:hAnsi="宋体"/>
                <w:szCs w:val="21"/>
                <w:highlight w:val="none"/>
              </w:rPr>
              <w:t>第一个信封（商务及技术文件）评分分值构成：</w:t>
            </w:r>
          </w:p>
          <w:p>
            <w:pPr>
              <w:pStyle w:val="21"/>
              <w:keepLines/>
              <w:shd w:val="clear" w:color="auto" w:fill="auto"/>
              <w:tabs>
                <w:tab w:val="right" w:pos="2226"/>
              </w:tabs>
              <w:snapToGrid w:val="0"/>
              <w:spacing w:before="0" w:line="276" w:lineRule="auto"/>
              <w:ind w:firstLine="210" w:firstLineChars="100"/>
              <w:jc w:val="both"/>
              <w:rPr>
                <w:sz w:val="21"/>
                <w:szCs w:val="21"/>
                <w:highlight w:val="none"/>
              </w:rPr>
            </w:pPr>
            <w:r>
              <w:rPr>
                <w:rFonts w:hint="eastAsia"/>
                <w:kern w:val="2"/>
                <w:sz w:val="21"/>
                <w:szCs w:val="21"/>
                <w:highlight w:val="none"/>
              </w:rPr>
              <w:t>施工组织设计</w:t>
            </w:r>
            <w:r>
              <w:rPr>
                <w:rFonts w:hint="eastAsia"/>
                <w:sz w:val="21"/>
                <w:szCs w:val="21"/>
                <w:highlight w:val="none"/>
              </w:rPr>
              <w:t>：</w:t>
            </w:r>
            <w:r>
              <w:rPr>
                <w:sz w:val="21"/>
                <w:szCs w:val="21"/>
                <w:highlight w:val="none"/>
              </w:rPr>
              <w:t>20</w:t>
            </w:r>
            <w:r>
              <w:rPr>
                <w:rFonts w:hint="eastAsia"/>
                <w:sz w:val="21"/>
                <w:szCs w:val="21"/>
                <w:highlight w:val="none"/>
              </w:rPr>
              <w:t>分</w:t>
            </w:r>
          </w:p>
          <w:p>
            <w:pPr>
              <w:pStyle w:val="21"/>
              <w:keepLines/>
              <w:shd w:val="clear" w:color="auto" w:fill="auto"/>
              <w:tabs>
                <w:tab w:val="right" w:pos="2226"/>
              </w:tabs>
              <w:snapToGrid w:val="0"/>
              <w:spacing w:before="0" w:line="276" w:lineRule="auto"/>
              <w:ind w:firstLine="210" w:firstLineChars="100"/>
              <w:jc w:val="both"/>
              <w:rPr>
                <w:sz w:val="21"/>
                <w:szCs w:val="21"/>
                <w:highlight w:val="none"/>
              </w:rPr>
            </w:pPr>
            <w:r>
              <w:rPr>
                <w:rFonts w:hint="eastAsia"/>
                <w:kern w:val="2"/>
                <w:sz w:val="21"/>
                <w:szCs w:val="21"/>
                <w:highlight w:val="none"/>
              </w:rPr>
              <w:t>主要人员</w:t>
            </w:r>
            <w:r>
              <w:rPr>
                <w:rFonts w:hint="eastAsia"/>
                <w:sz w:val="21"/>
                <w:szCs w:val="21"/>
                <w:highlight w:val="none"/>
              </w:rPr>
              <w:t>：1</w:t>
            </w:r>
            <w:r>
              <w:rPr>
                <w:sz w:val="21"/>
                <w:szCs w:val="21"/>
                <w:highlight w:val="none"/>
              </w:rPr>
              <w:t>0</w:t>
            </w:r>
            <w:r>
              <w:rPr>
                <w:rFonts w:hint="eastAsia"/>
                <w:sz w:val="21"/>
                <w:szCs w:val="21"/>
                <w:highlight w:val="none"/>
              </w:rPr>
              <w:t>分</w:t>
            </w:r>
          </w:p>
          <w:p>
            <w:pPr>
              <w:pStyle w:val="21"/>
              <w:keepLines/>
              <w:shd w:val="clear" w:color="auto" w:fill="auto"/>
              <w:tabs>
                <w:tab w:val="right" w:pos="2226"/>
              </w:tabs>
              <w:snapToGrid w:val="0"/>
              <w:spacing w:before="0" w:line="276" w:lineRule="auto"/>
              <w:ind w:firstLine="210" w:firstLineChars="100"/>
              <w:jc w:val="both"/>
              <w:rPr>
                <w:sz w:val="21"/>
                <w:szCs w:val="21"/>
                <w:highlight w:val="none"/>
              </w:rPr>
            </w:pPr>
            <w:r>
              <w:rPr>
                <w:rFonts w:hint="eastAsia"/>
                <w:kern w:val="2"/>
                <w:sz w:val="21"/>
                <w:szCs w:val="21"/>
                <w:highlight w:val="none"/>
              </w:rPr>
              <w:t>业绩</w:t>
            </w:r>
            <w:r>
              <w:rPr>
                <w:rFonts w:hint="eastAsia"/>
                <w:sz w:val="21"/>
                <w:szCs w:val="21"/>
                <w:highlight w:val="none"/>
              </w:rPr>
              <w:t>：9分</w:t>
            </w:r>
          </w:p>
          <w:p>
            <w:pPr>
              <w:pStyle w:val="21"/>
              <w:keepLines/>
              <w:shd w:val="clear" w:color="auto" w:fill="auto"/>
              <w:tabs>
                <w:tab w:val="right" w:pos="2226"/>
              </w:tabs>
              <w:snapToGrid w:val="0"/>
              <w:spacing w:before="0" w:line="276" w:lineRule="auto"/>
              <w:ind w:firstLine="210" w:firstLineChars="100"/>
              <w:jc w:val="both"/>
              <w:rPr>
                <w:sz w:val="21"/>
                <w:szCs w:val="21"/>
                <w:highlight w:val="none"/>
              </w:rPr>
            </w:pPr>
            <w:r>
              <w:rPr>
                <w:rFonts w:hint="eastAsia"/>
                <w:kern w:val="2"/>
                <w:sz w:val="21"/>
                <w:szCs w:val="21"/>
                <w:highlight w:val="none"/>
              </w:rPr>
              <w:t>履约信誉</w:t>
            </w:r>
            <w:r>
              <w:rPr>
                <w:rFonts w:hint="eastAsia"/>
                <w:sz w:val="21"/>
                <w:szCs w:val="21"/>
                <w:highlight w:val="none"/>
              </w:rPr>
              <w:t>：</w:t>
            </w:r>
            <w:r>
              <w:rPr>
                <w:sz w:val="21"/>
                <w:szCs w:val="21"/>
                <w:highlight w:val="none"/>
              </w:rPr>
              <w:t>3</w:t>
            </w:r>
            <w:r>
              <w:rPr>
                <w:rFonts w:hint="eastAsia"/>
                <w:sz w:val="21"/>
                <w:szCs w:val="21"/>
                <w:highlight w:val="none"/>
              </w:rPr>
              <w:t>分</w:t>
            </w:r>
          </w:p>
          <w:p>
            <w:pPr>
              <w:pStyle w:val="21"/>
              <w:keepLines/>
              <w:shd w:val="clear" w:color="auto" w:fill="auto"/>
              <w:tabs>
                <w:tab w:val="right" w:pos="2226"/>
              </w:tabs>
              <w:snapToGrid w:val="0"/>
              <w:spacing w:before="0" w:line="276" w:lineRule="auto"/>
              <w:ind w:firstLine="210" w:firstLineChars="100"/>
              <w:jc w:val="both"/>
              <w:rPr>
                <w:sz w:val="21"/>
                <w:szCs w:val="21"/>
                <w:highlight w:val="none"/>
              </w:rPr>
            </w:pPr>
            <w:r>
              <w:rPr>
                <w:rFonts w:hint="eastAsia"/>
                <w:sz w:val="21"/>
                <w:szCs w:val="21"/>
                <w:highlight w:val="none"/>
              </w:rPr>
              <w:t>缺陷责任期（免费保修与运维期）：3分</w:t>
            </w:r>
          </w:p>
          <w:p>
            <w:pPr>
              <w:pStyle w:val="21"/>
              <w:keepLines/>
              <w:shd w:val="clear" w:color="auto" w:fill="auto"/>
              <w:tabs>
                <w:tab w:val="right" w:pos="2226"/>
              </w:tabs>
              <w:snapToGrid w:val="0"/>
              <w:spacing w:before="0" w:line="276" w:lineRule="auto"/>
              <w:ind w:firstLine="210" w:firstLineChars="100"/>
              <w:jc w:val="both"/>
              <w:rPr>
                <w:sz w:val="21"/>
                <w:szCs w:val="21"/>
                <w:highlight w:val="none"/>
              </w:rPr>
            </w:pPr>
            <w:r>
              <w:rPr>
                <w:rFonts w:hint="eastAsia"/>
                <w:sz w:val="21"/>
                <w:szCs w:val="21"/>
                <w:highlight w:val="none"/>
              </w:rPr>
              <w:t>主要设备：5分</w:t>
            </w:r>
          </w:p>
          <w:p>
            <w:pPr>
              <w:keepLines/>
              <w:adjustRightInd w:val="0"/>
              <w:snapToGrid w:val="0"/>
              <w:spacing w:line="276" w:lineRule="auto"/>
              <w:rPr>
                <w:rFonts w:ascii="宋体" w:hAnsi="宋体"/>
                <w:szCs w:val="21"/>
                <w:highlight w:val="none"/>
              </w:rPr>
            </w:pPr>
            <w:r>
              <w:rPr>
                <w:rFonts w:hint="eastAsia" w:ascii="宋体" w:hAnsi="宋体"/>
                <w:szCs w:val="21"/>
                <w:highlight w:val="none"/>
              </w:rPr>
              <w:t>第二个信封（报价文件）评分分值构成：</w:t>
            </w:r>
          </w:p>
          <w:p>
            <w:pPr>
              <w:spacing w:line="276" w:lineRule="auto"/>
              <w:ind w:firstLine="210" w:firstLineChars="100"/>
              <w:rPr>
                <w:highlight w:val="none"/>
              </w:rPr>
            </w:pPr>
            <w:r>
              <w:rPr>
                <w:rFonts w:hint="eastAsia" w:ascii="宋体" w:hAnsi="宋体"/>
                <w:szCs w:val="21"/>
                <w:highlight w:val="none"/>
              </w:rPr>
              <w:t>评标价：50分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pPr>
              <w:autoSpaceDE w:val="0"/>
              <w:autoSpaceDN w:val="0"/>
              <w:adjustRightInd w:val="0"/>
              <w:spacing w:line="360" w:lineRule="auto"/>
              <w:jc w:val="center"/>
              <w:rPr>
                <w:highlight w:val="none"/>
                <w:lang w:val="zh-CN"/>
              </w:rPr>
            </w:pPr>
            <w:r>
              <w:rPr>
                <w:rFonts w:hint="eastAsia" w:ascii="宋体" w:hAnsi="宋体"/>
                <w:szCs w:val="21"/>
                <w:highlight w:val="none"/>
              </w:rPr>
              <w:t>2.2.2</w:t>
            </w:r>
          </w:p>
        </w:tc>
        <w:tc>
          <w:tcPr>
            <w:tcW w:w="1565" w:type="dxa"/>
            <w:vAlign w:val="center"/>
          </w:tcPr>
          <w:p>
            <w:pPr>
              <w:autoSpaceDE w:val="0"/>
              <w:autoSpaceDN w:val="0"/>
              <w:adjustRightInd w:val="0"/>
              <w:spacing w:line="360" w:lineRule="exact"/>
              <w:ind w:firstLine="105" w:firstLineChars="50"/>
              <w:jc w:val="center"/>
              <w:rPr>
                <w:bCs/>
                <w:highlight w:val="none"/>
                <w:lang w:val="zh-CN"/>
              </w:rPr>
            </w:pPr>
            <w:r>
              <w:rPr>
                <w:rFonts w:hint="eastAsia" w:ascii="宋体" w:hAnsi="宋体"/>
                <w:szCs w:val="21"/>
                <w:highlight w:val="none"/>
              </w:rPr>
              <w:t>评标基准价计算方法</w:t>
            </w:r>
          </w:p>
        </w:tc>
        <w:tc>
          <w:tcPr>
            <w:tcW w:w="7073" w:type="dxa"/>
            <w:tcBorders>
              <w:right w:val="single" w:color="auto" w:sz="12" w:space="0"/>
            </w:tcBorders>
            <w:vAlign w:val="center"/>
          </w:tcPr>
          <w:p>
            <w:pPr>
              <w:pStyle w:val="10"/>
              <w:keepLines/>
              <w:widowControl w:val="0"/>
              <w:shd w:val="clear" w:color="auto" w:fill="FFFFFF"/>
              <w:tabs>
                <w:tab w:val="left" w:pos="914"/>
              </w:tabs>
              <w:snapToGrid w:val="0"/>
              <w:spacing w:before="0" w:beforeAutospacing="0" w:after="0" w:afterAutospacing="0" w:line="276" w:lineRule="auto"/>
              <w:ind w:firstLine="210" w:firstLineChars="100"/>
              <w:jc w:val="both"/>
              <w:rPr>
                <w:kern w:val="2"/>
                <w:sz w:val="21"/>
                <w:szCs w:val="21"/>
                <w:highlight w:val="none"/>
              </w:rPr>
            </w:pPr>
            <w:r>
              <w:rPr>
                <w:rFonts w:hint="eastAsia" w:cs="宋体"/>
                <w:kern w:val="2"/>
                <w:sz w:val="21"/>
                <w:szCs w:val="21"/>
                <w:highlight w:val="none"/>
              </w:rPr>
              <w:t>评标基准价的计算：</w:t>
            </w:r>
          </w:p>
          <w:p>
            <w:pPr>
              <w:pStyle w:val="10"/>
              <w:keepLines/>
              <w:widowControl w:val="0"/>
              <w:shd w:val="clear" w:color="auto" w:fill="FFFFFF"/>
              <w:tabs>
                <w:tab w:val="left" w:pos="914"/>
              </w:tabs>
              <w:snapToGrid w:val="0"/>
              <w:spacing w:before="0" w:beforeAutospacing="0" w:after="0" w:afterAutospacing="0" w:line="276" w:lineRule="auto"/>
              <w:ind w:firstLine="210" w:firstLineChars="100"/>
              <w:jc w:val="both"/>
              <w:rPr>
                <w:kern w:val="2"/>
                <w:sz w:val="21"/>
                <w:szCs w:val="21"/>
                <w:highlight w:val="none"/>
              </w:rPr>
            </w:pPr>
            <w:r>
              <w:rPr>
                <w:rFonts w:hint="eastAsia" w:cs="宋体"/>
                <w:kern w:val="2"/>
                <w:sz w:val="21"/>
                <w:szCs w:val="21"/>
                <w:highlight w:val="none"/>
              </w:rPr>
              <w:t>在开标现场，招标人将当场计算并宣布评标基准价。</w:t>
            </w:r>
          </w:p>
          <w:p>
            <w:pPr>
              <w:pStyle w:val="10"/>
              <w:keepLines/>
              <w:widowControl w:val="0"/>
              <w:shd w:val="clear" w:color="auto" w:fill="FFFFFF"/>
              <w:tabs>
                <w:tab w:val="left" w:pos="914"/>
              </w:tabs>
              <w:snapToGrid w:val="0"/>
              <w:spacing w:before="0" w:beforeAutospacing="0" w:after="0" w:afterAutospacing="0" w:line="276" w:lineRule="auto"/>
              <w:ind w:firstLine="210" w:firstLineChars="100"/>
              <w:jc w:val="both"/>
              <w:rPr>
                <w:kern w:val="2"/>
                <w:sz w:val="21"/>
                <w:szCs w:val="21"/>
                <w:highlight w:val="none"/>
              </w:rPr>
            </w:pPr>
            <w:r>
              <w:rPr>
                <w:rFonts w:hint="eastAsia" w:cs="宋体"/>
                <w:kern w:val="2"/>
                <w:sz w:val="21"/>
                <w:szCs w:val="21"/>
                <w:highlight w:val="none"/>
              </w:rPr>
              <w:t>（1）评标价的确定：评标价＝投标函文字报价</w:t>
            </w:r>
          </w:p>
          <w:p>
            <w:pPr>
              <w:keepLines/>
              <w:tabs>
                <w:tab w:val="left" w:pos="914"/>
              </w:tabs>
              <w:snapToGrid w:val="0"/>
              <w:spacing w:line="276" w:lineRule="auto"/>
              <w:ind w:firstLine="210" w:firstLineChars="100"/>
              <w:rPr>
                <w:rFonts w:ascii="宋体" w:hAnsi="宋体" w:cs="宋体"/>
                <w:szCs w:val="21"/>
                <w:highlight w:val="none"/>
              </w:rPr>
            </w:pPr>
            <w:r>
              <w:rPr>
                <w:rFonts w:hint="eastAsia" w:ascii="宋体" w:hAnsi="宋体" w:cs="宋体"/>
                <w:szCs w:val="21"/>
                <w:highlight w:val="none"/>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评标价平均值四舍五入精确至个位。</w:t>
            </w:r>
          </w:p>
          <w:p>
            <w:pPr>
              <w:widowControl/>
              <w:snapToGrid w:val="0"/>
              <w:spacing w:line="276" w:lineRule="auto"/>
              <w:ind w:firstLine="210" w:firstLineChars="100"/>
              <w:jc w:val="left"/>
              <w:rPr>
                <w:szCs w:val="21"/>
                <w:highlight w:val="none"/>
              </w:rPr>
            </w:pPr>
            <w:r>
              <w:rPr>
                <w:rFonts w:hint="eastAsia"/>
                <w:szCs w:val="21"/>
                <w:highlight w:val="none"/>
              </w:rPr>
              <w:t>（3）评标基准价的确定：将评标价平均值直接作为评标基准价</w:t>
            </w:r>
          </w:p>
          <w:p>
            <w:pPr>
              <w:autoSpaceDE w:val="0"/>
              <w:autoSpaceDN w:val="0"/>
              <w:adjustRightInd w:val="0"/>
              <w:spacing w:line="276" w:lineRule="auto"/>
              <w:ind w:firstLine="420" w:firstLineChars="200"/>
              <w:rPr>
                <w:bCs/>
                <w:highlight w:val="none"/>
                <w:lang w:val="zh-CN"/>
              </w:rPr>
            </w:pPr>
            <w:r>
              <w:rPr>
                <w:rFonts w:hint="eastAsia"/>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pPr>
              <w:autoSpaceDE w:val="0"/>
              <w:autoSpaceDN w:val="0"/>
              <w:adjustRightInd w:val="0"/>
              <w:spacing w:line="276" w:lineRule="auto"/>
              <w:jc w:val="center"/>
              <w:rPr>
                <w:bCs/>
                <w:highlight w:val="none"/>
                <w:lang w:val="zh-CN"/>
              </w:rPr>
            </w:pPr>
            <w:r>
              <w:rPr>
                <w:rFonts w:hint="eastAsia" w:ascii="宋体" w:hAnsi="宋体"/>
                <w:szCs w:val="21"/>
                <w:highlight w:val="none"/>
              </w:rPr>
              <w:t>2.2.3</w:t>
            </w:r>
          </w:p>
        </w:tc>
        <w:tc>
          <w:tcPr>
            <w:tcW w:w="1565" w:type="dxa"/>
            <w:tcBorders>
              <w:bottom w:val="single" w:color="auto" w:sz="12" w:space="0"/>
            </w:tcBorders>
            <w:vAlign w:val="center"/>
          </w:tcPr>
          <w:p>
            <w:pPr>
              <w:autoSpaceDE w:val="0"/>
              <w:autoSpaceDN w:val="0"/>
              <w:adjustRightInd w:val="0"/>
              <w:spacing w:line="276" w:lineRule="auto"/>
              <w:ind w:firstLine="105" w:firstLineChars="50"/>
              <w:jc w:val="center"/>
              <w:rPr>
                <w:bCs/>
                <w:highlight w:val="none"/>
                <w:lang w:val="zh-CN"/>
              </w:rPr>
            </w:pPr>
            <w:r>
              <w:rPr>
                <w:rFonts w:hint="eastAsia" w:ascii="宋体" w:hAnsi="宋体"/>
                <w:szCs w:val="21"/>
                <w:highlight w:val="none"/>
              </w:rPr>
              <w:t>评标价的偏差率计算公式</w:t>
            </w:r>
          </w:p>
        </w:tc>
        <w:tc>
          <w:tcPr>
            <w:tcW w:w="7073" w:type="dxa"/>
            <w:tcBorders>
              <w:bottom w:val="single" w:color="auto" w:sz="12" w:space="0"/>
              <w:right w:val="single" w:color="auto" w:sz="12" w:space="0"/>
            </w:tcBorders>
            <w:vAlign w:val="center"/>
          </w:tcPr>
          <w:p>
            <w:pPr>
              <w:pStyle w:val="21"/>
              <w:keepLines/>
              <w:shd w:val="clear" w:color="auto" w:fill="auto"/>
              <w:tabs>
                <w:tab w:val="left" w:pos="914"/>
              </w:tabs>
              <w:snapToGrid w:val="0"/>
              <w:spacing w:before="0" w:line="276" w:lineRule="auto"/>
              <w:ind w:firstLine="420" w:firstLineChars="200"/>
              <w:jc w:val="both"/>
              <w:rPr>
                <w:kern w:val="2"/>
                <w:sz w:val="21"/>
                <w:szCs w:val="21"/>
                <w:highlight w:val="none"/>
              </w:rPr>
            </w:pPr>
            <w:r>
              <w:rPr>
                <w:rFonts w:hint="eastAsia"/>
                <w:kern w:val="2"/>
                <w:sz w:val="21"/>
                <w:szCs w:val="21"/>
                <w:highlight w:val="none"/>
              </w:rPr>
              <w:t>偏差率=100%×（投标人评标价－评标基准价）/评标基准价</w:t>
            </w:r>
          </w:p>
          <w:p>
            <w:pPr>
              <w:autoSpaceDE w:val="0"/>
              <w:autoSpaceDN w:val="0"/>
              <w:adjustRightInd w:val="0"/>
              <w:spacing w:line="276" w:lineRule="auto"/>
              <w:ind w:firstLine="420" w:firstLineChars="200"/>
              <w:rPr>
                <w:highlight w:val="none"/>
              </w:rPr>
            </w:pPr>
            <w:r>
              <w:rPr>
                <w:rFonts w:hint="eastAsia"/>
                <w:szCs w:val="21"/>
                <w:highlight w:val="none"/>
              </w:rPr>
              <w:t>偏差率（以百分数形式表示）保留两位小数，如**.**</w:t>
            </w:r>
            <w:r>
              <w:rPr>
                <w:szCs w:val="21"/>
                <w:highlight w:val="none"/>
              </w:rPr>
              <w:t>%</w:t>
            </w:r>
          </w:p>
        </w:tc>
      </w:tr>
    </w:tbl>
    <w:p>
      <w:pPr>
        <w:rPr>
          <w:highlight w:val="none"/>
        </w:rPr>
      </w:pPr>
      <w:r>
        <w:rPr>
          <w:highlight w:val="none"/>
        </w:rPr>
        <w:br w:type="page"/>
      </w:r>
    </w:p>
    <w:tbl>
      <w:tblPr>
        <w:tblStyle w:val="11"/>
        <w:tblW w:w="94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79"/>
        <w:gridCol w:w="462"/>
        <w:gridCol w:w="484"/>
        <w:gridCol w:w="755"/>
        <w:gridCol w:w="1738"/>
        <w:gridCol w:w="850"/>
        <w:gridCol w:w="43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168" w:type="dxa"/>
            <w:gridSpan w:val="6"/>
            <w:vAlign w:val="center"/>
          </w:tcPr>
          <w:p>
            <w:pPr>
              <w:adjustRightInd w:val="0"/>
              <w:snapToGrid w:val="0"/>
              <w:jc w:val="center"/>
              <w:rPr>
                <w:rFonts w:ascii="宋体" w:hAnsi="宋体"/>
                <w:b/>
                <w:szCs w:val="21"/>
                <w:highlight w:val="none"/>
              </w:rPr>
            </w:pPr>
            <w:r>
              <w:rPr>
                <w:rFonts w:hint="eastAsia" w:ascii="宋体" w:hAnsi="宋体"/>
                <w:b/>
                <w:szCs w:val="21"/>
                <w:highlight w:val="none"/>
              </w:rPr>
              <w:t>评分因素与权重分值</w:t>
            </w:r>
            <w:r>
              <w:rPr>
                <w:rStyle w:val="13"/>
                <w:rFonts w:ascii="宋体" w:hAnsi="宋体"/>
                <w:b/>
                <w:szCs w:val="21"/>
                <w:highlight w:val="none"/>
              </w:rPr>
              <w:footnoteReference w:id="4"/>
            </w:r>
          </w:p>
        </w:tc>
        <w:tc>
          <w:tcPr>
            <w:tcW w:w="4312" w:type="dxa"/>
            <w:vMerge w:val="restart"/>
            <w:vAlign w:val="center"/>
          </w:tcPr>
          <w:p>
            <w:pPr>
              <w:adjustRightInd w:val="0"/>
              <w:snapToGrid w:val="0"/>
              <w:jc w:val="center"/>
              <w:rPr>
                <w:rFonts w:ascii="宋体" w:hAnsi="宋体"/>
                <w:b/>
                <w:szCs w:val="21"/>
                <w:highlight w:val="none"/>
              </w:rPr>
            </w:pPr>
            <w:r>
              <w:rPr>
                <w:rFonts w:hint="eastAsia" w:ascii="宋体" w:hAnsi="宋体"/>
                <w:b/>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879" w:type="dxa"/>
            <w:vAlign w:val="center"/>
          </w:tcPr>
          <w:p>
            <w:pPr>
              <w:adjustRightInd w:val="0"/>
              <w:snapToGrid w:val="0"/>
              <w:jc w:val="center"/>
              <w:rPr>
                <w:rFonts w:ascii="宋体" w:hAnsi="宋体"/>
                <w:b/>
                <w:szCs w:val="21"/>
                <w:highlight w:val="none"/>
              </w:rPr>
            </w:pPr>
            <w:r>
              <w:rPr>
                <w:rFonts w:hint="eastAsia" w:ascii="宋体" w:hAnsi="宋体"/>
                <w:b/>
                <w:szCs w:val="21"/>
                <w:highlight w:val="none"/>
              </w:rPr>
              <w:t>条款号</w:t>
            </w:r>
          </w:p>
        </w:tc>
        <w:tc>
          <w:tcPr>
            <w:tcW w:w="946" w:type="dxa"/>
            <w:gridSpan w:val="2"/>
            <w:vAlign w:val="center"/>
          </w:tcPr>
          <w:p>
            <w:pPr>
              <w:adjustRightInd w:val="0"/>
              <w:snapToGrid w:val="0"/>
              <w:jc w:val="center"/>
              <w:rPr>
                <w:rFonts w:ascii="宋体" w:hAnsi="宋体"/>
                <w:b/>
                <w:szCs w:val="21"/>
                <w:highlight w:val="none"/>
              </w:rPr>
            </w:pPr>
            <w:r>
              <w:rPr>
                <w:rFonts w:hint="eastAsia" w:ascii="宋体" w:hAnsi="宋体"/>
                <w:b/>
                <w:szCs w:val="21"/>
                <w:highlight w:val="none"/>
              </w:rPr>
              <w:t>评分</w:t>
            </w:r>
            <w:r>
              <w:rPr>
                <w:rFonts w:hint="eastAsia" w:ascii="宋体" w:hAnsi="宋体"/>
                <w:b/>
                <w:szCs w:val="21"/>
                <w:highlight w:val="none"/>
              </w:rPr>
              <w:br w:type="textWrapping"/>
            </w:r>
            <w:r>
              <w:rPr>
                <w:rFonts w:hint="eastAsia" w:ascii="宋体" w:hAnsi="宋体"/>
                <w:b/>
                <w:szCs w:val="21"/>
                <w:highlight w:val="none"/>
              </w:rPr>
              <w:t>因素</w:t>
            </w:r>
          </w:p>
        </w:tc>
        <w:tc>
          <w:tcPr>
            <w:tcW w:w="755" w:type="dxa"/>
            <w:vAlign w:val="center"/>
          </w:tcPr>
          <w:p>
            <w:pPr>
              <w:adjustRightInd w:val="0"/>
              <w:snapToGrid w:val="0"/>
              <w:jc w:val="center"/>
              <w:rPr>
                <w:rFonts w:ascii="宋体" w:hAnsi="宋体"/>
                <w:b/>
                <w:szCs w:val="21"/>
                <w:highlight w:val="none"/>
              </w:rPr>
            </w:pPr>
            <w:r>
              <w:rPr>
                <w:rFonts w:hint="eastAsia" w:ascii="宋体" w:hAnsi="宋体"/>
                <w:b/>
                <w:szCs w:val="21"/>
                <w:highlight w:val="none"/>
              </w:rPr>
              <w:t>权重</w:t>
            </w:r>
          </w:p>
          <w:p>
            <w:pPr>
              <w:adjustRightInd w:val="0"/>
              <w:snapToGrid w:val="0"/>
              <w:jc w:val="center"/>
              <w:rPr>
                <w:rFonts w:ascii="宋体" w:hAnsi="宋体"/>
                <w:b/>
                <w:szCs w:val="21"/>
                <w:highlight w:val="none"/>
              </w:rPr>
            </w:pPr>
            <w:r>
              <w:rPr>
                <w:rFonts w:hint="eastAsia" w:ascii="宋体" w:hAnsi="宋体"/>
                <w:b/>
                <w:szCs w:val="21"/>
                <w:highlight w:val="none"/>
              </w:rPr>
              <w:t>分值</w:t>
            </w:r>
          </w:p>
        </w:tc>
        <w:tc>
          <w:tcPr>
            <w:tcW w:w="1738" w:type="dxa"/>
            <w:vAlign w:val="center"/>
          </w:tcPr>
          <w:p>
            <w:pPr>
              <w:adjustRightInd w:val="0"/>
              <w:snapToGrid w:val="0"/>
              <w:jc w:val="center"/>
              <w:rPr>
                <w:rFonts w:ascii="宋体" w:hAnsi="宋体"/>
                <w:b/>
                <w:szCs w:val="21"/>
                <w:highlight w:val="none"/>
              </w:rPr>
            </w:pPr>
            <w:r>
              <w:rPr>
                <w:rFonts w:hint="eastAsia" w:ascii="宋体" w:hAnsi="宋体"/>
                <w:b/>
                <w:szCs w:val="21"/>
                <w:highlight w:val="none"/>
              </w:rPr>
              <w:t>各评分因</w:t>
            </w:r>
          </w:p>
          <w:p>
            <w:pPr>
              <w:adjustRightInd w:val="0"/>
              <w:snapToGrid w:val="0"/>
              <w:jc w:val="center"/>
              <w:rPr>
                <w:rFonts w:ascii="宋体" w:hAnsi="宋体"/>
                <w:b/>
                <w:szCs w:val="21"/>
                <w:highlight w:val="none"/>
              </w:rPr>
            </w:pPr>
            <w:r>
              <w:rPr>
                <w:rFonts w:hint="eastAsia" w:ascii="宋体" w:hAnsi="宋体"/>
                <w:b/>
                <w:szCs w:val="21"/>
                <w:highlight w:val="none"/>
              </w:rPr>
              <w:t>素细分项</w:t>
            </w:r>
          </w:p>
        </w:tc>
        <w:tc>
          <w:tcPr>
            <w:tcW w:w="850" w:type="dxa"/>
            <w:vAlign w:val="center"/>
          </w:tcPr>
          <w:p>
            <w:pPr>
              <w:adjustRightInd w:val="0"/>
              <w:snapToGrid w:val="0"/>
              <w:jc w:val="center"/>
              <w:rPr>
                <w:rFonts w:ascii="宋体" w:hAnsi="宋体"/>
                <w:b/>
                <w:szCs w:val="21"/>
                <w:highlight w:val="none"/>
              </w:rPr>
            </w:pPr>
            <w:r>
              <w:rPr>
                <w:rFonts w:hint="eastAsia" w:ascii="宋体" w:hAnsi="宋体"/>
                <w:b/>
                <w:szCs w:val="21"/>
                <w:highlight w:val="none"/>
              </w:rPr>
              <w:t>分值</w:t>
            </w:r>
          </w:p>
        </w:tc>
        <w:tc>
          <w:tcPr>
            <w:tcW w:w="4312" w:type="dxa"/>
            <w:vMerge w:val="continue"/>
            <w:vAlign w:val="center"/>
          </w:tcPr>
          <w:p>
            <w:pPr>
              <w:widowControl/>
              <w:snapToGrid w:val="0"/>
              <w:jc w:val="center"/>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879" w:type="dxa"/>
            <w:vMerge w:val="restart"/>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2.2.4</w:t>
            </w:r>
          </w:p>
          <w:p>
            <w:pPr>
              <w:adjustRightInd w:val="0"/>
              <w:snapToGrid w:val="0"/>
              <w:spacing w:line="276" w:lineRule="auto"/>
              <w:jc w:val="center"/>
              <w:rPr>
                <w:rFonts w:ascii="宋体" w:hAnsi="宋体"/>
                <w:b/>
                <w:szCs w:val="21"/>
                <w:highlight w:val="none"/>
              </w:rPr>
            </w:pPr>
            <w:r>
              <w:rPr>
                <w:rFonts w:hint="eastAsia" w:ascii="宋体" w:hAnsi="宋体"/>
                <w:szCs w:val="21"/>
                <w:highlight w:val="none"/>
              </w:rPr>
              <w:t>（1）</w:t>
            </w:r>
          </w:p>
        </w:tc>
        <w:tc>
          <w:tcPr>
            <w:tcW w:w="946" w:type="dxa"/>
            <w:gridSpan w:val="2"/>
            <w:vMerge w:val="restart"/>
            <w:vAlign w:val="center"/>
          </w:tcPr>
          <w:p>
            <w:pPr>
              <w:adjustRightInd w:val="0"/>
              <w:snapToGrid w:val="0"/>
              <w:spacing w:line="276" w:lineRule="auto"/>
              <w:jc w:val="center"/>
              <w:rPr>
                <w:rFonts w:ascii="宋体" w:hAnsi="宋体"/>
                <w:b/>
                <w:szCs w:val="21"/>
                <w:highlight w:val="none"/>
              </w:rPr>
            </w:pPr>
            <w:r>
              <w:rPr>
                <w:rFonts w:hint="eastAsia" w:ascii="宋体" w:hAnsi="宋体"/>
                <w:szCs w:val="21"/>
                <w:highlight w:val="none"/>
              </w:rPr>
              <w:t>施工组织设计</w:t>
            </w:r>
          </w:p>
        </w:tc>
        <w:tc>
          <w:tcPr>
            <w:tcW w:w="755" w:type="dxa"/>
            <w:vMerge w:val="restart"/>
            <w:vAlign w:val="center"/>
          </w:tcPr>
          <w:p>
            <w:pPr>
              <w:adjustRightInd w:val="0"/>
              <w:snapToGrid w:val="0"/>
              <w:spacing w:line="276" w:lineRule="auto"/>
              <w:jc w:val="center"/>
              <w:rPr>
                <w:rFonts w:ascii="宋体" w:hAnsi="宋体"/>
                <w:b/>
                <w:szCs w:val="21"/>
                <w:highlight w:val="none"/>
              </w:rPr>
            </w:pPr>
            <w:r>
              <w:rPr>
                <w:rFonts w:ascii="宋体" w:hAnsi="宋体"/>
                <w:szCs w:val="21"/>
                <w:highlight w:val="none"/>
              </w:rPr>
              <w:t>20</w:t>
            </w:r>
            <w:r>
              <w:rPr>
                <w:rFonts w:hint="eastAsia" w:ascii="宋体" w:hAnsi="宋体"/>
                <w:szCs w:val="21"/>
                <w:highlight w:val="none"/>
              </w:rPr>
              <w:t>分</w:t>
            </w:r>
          </w:p>
        </w:tc>
        <w:tc>
          <w:tcPr>
            <w:tcW w:w="1738" w:type="dxa"/>
            <w:vAlign w:val="center"/>
          </w:tcPr>
          <w:p>
            <w:pPr>
              <w:adjustRightInd w:val="0"/>
              <w:snapToGrid w:val="0"/>
              <w:spacing w:line="276" w:lineRule="auto"/>
              <w:jc w:val="center"/>
              <w:rPr>
                <w:rFonts w:ascii="宋体" w:hAnsi="宋体"/>
                <w:b/>
                <w:szCs w:val="21"/>
                <w:highlight w:val="none"/>
              </w:rPr>
            </w:pPr>
            <w:r>
              <w:rPr>
                <w:rFonts w:hint="eastAsia" w:ascii="宋体" w:hAnsi="宋体" w:cs="宋体"/>
                <w:bCs/>
                <w:szCs w:val="21"/>
                <w:highlight w:val="none"/>
                <w:lang w:val="zh-CN"/>
              </w:rPr>
              <w:t>项目总体布置及规划</w:t>
            </w:r>
          </w:p>
        </w:tc>
        <w:tc>
          <w:tcPr>
            <w:tcW w:w="850" w:type="dxa"/>
            <w:vAlign w:val="center"/>
          </w:tcPr>
          <w:p>
            <w:pPr>
              <w:adjustRightInd w:val="0"/>
              <w:snapToGrid w:val="0"/>
              <w:spacing w:line="276" w:lineRule="auto"/>
              <w:jc w:val="center"/>
              <w:rPr>
                <w:rFonts w:ascii="宋体" w:hAnsi="宋体"/>
                <w:bCs/>
                <w:szCs w:val="21"/>
                <w:highlight w:val="none"/>
              </w:rPr>
            </w:pPr>
            <w:r>
              <w:rPr>
                <w:rFonts w:hint="eastAsia" w:ascii="宋体" w:hAnsi="宋体"/>
                <w:bCs/>
                <w:szCs w:val="21"/>
                <w:highlight w:val="none"/>
              </w:rPr>
              <w:t>2</w:t>
            </w:r>
          </w:p>
        </w:tc>
        <w:tc>
          <w:tcPr>
            <w:tcW w:w="4312" w:type="dxa"/>
            <w:vAlign w:val="center"/>
          </w:tcPr>
          <w:p>
            <w:pPr>
              <w:widowControl/>
              <w:tabs>
                <w:tab w:val="right" w:pos="2100"/>
              </w:tabs>
              <w:snapToGrid w:val="0"/>
              <w:spacing w:line="276" w:lineRule="auto"/>
              <w:ind w:firstLine="210"/>
              <w:rPr>
                <w:rFonts w:ascii="宋体" w:hAnsi="宋体"/>
                <w:kern w:val="0"/>
                <w:szCs w:val="21"/>
                <w:highlight w:val="none"/>
              </w:rPr>
            </w:pPr>
            <w:r>
              <w:rPr>
                <w:rFonts w:hint="eastAsia" w:ascii="宋体" w:hAnsi="宋体"/>
                <w:kern w:val="0"/>
                <w:szCs w:val="21"/>
                <w:highlight w:val="none"/>
              </w:rPr>
              <w:t>一般，得</w:t>
            </w:r>
            <w:r>
              <w:rPr>
                <w:rFonts w:ascii="宋体" w:hAnsi="宋体"/>
                <w:kern w:val="0"/>
                <w:szCs w:val="21"/>
                <w:highlight w:val="none"/>
              </w:rPr>
              <w:t>1.2</w:t>
            </w:r>
            <w:r>
              <w:rPr>
                <w:rFonts w:hint="eastAsia" w:ascii="宋体" w:hAnsi="宋体"/>
                <w:kern w:val="0"/>
                <w:szCs w:val="21"/>
                <w:highlight w:val="none"/>
              </w:rPr>
              <w:t>～</w:t>
            </w:r>
            <w:r>
              <w:rPr>
                <w:rFonts w:ascii="宋体" w:hAnsi="宋体"/>
                <w:kern w:val="0"/>
                <w:szCs w:val="21"/>
                <w:highlight w:val="none"/>
              </w:rPr>
              <w:t>1.6</w:t>
            </w:r>
            <w:r>
              <w:rPr>
                <w:rFonts w:hint="eastAsia" w:ascii="宋体" w:hAnsi="宋体"/>
                <w:kern w:val="0"/>
                <w:szCs w:val="21"/>
                <w:highlight w:val="none"/>
              </w:rPr>
              <w:t>分；</w:t>
            </w:r>
          </w:p>
          <w:p>
            <w:pPr>
              <w:widowControl/>
              <w:snapToGrid w:val="0"/>
              <w:spacing w:line="276" w:lineRule="auto"/>
              <w:ind w:firstLine="210" w:firstLineChars="100"/>
              <w:rPr>
                <w:rFonts w:ascii="宋体" w:hAnsi="宋体"/>
                <w:b/>
                <w:szCs w:val="21"/>
                <w:highlight w:val="none"/>
              </w:rPr>
            </w:pPr>
            <w:r>
              <w:rPr>
                <w:rFonts w:hint="eastAsia" w:ascii="宋体" w:hAnsi="宋体"/>
                <w:kern w:val="0"/>
                <w:szCs w:val="21"/>
                <w:highlight w:val="none"/>
              </w:rPr>
              <w:t>较好，得</w:t>
            </w:r>
            <w:r>
              <w:rPr>
                <w:rFonts w:ascii="宋体" w:hAnsi="宋体"/>
                <w:kern w:val="0"/>
                <w:szCs w:val="21"/>
                <w:highlight w:val="none"/>
              </w:rPr>
              <w:t>1.6</w:t>
            </w:r>
            <w:r>
              <w:rPr>
                <w:rFonts w:hint="eastAsia" w:ascii="宋体" w:hAnsi="宋体"/>
                <w:kern w:val="0"/>
                <w:szCs w:val="21"/>
                <w:highlight w:val="none"/>
              </w:rPr>
              <w:t>～</w:t>
            </w:r>
            <w:r>
              <w:rPr>
                <w:rFonts w:ascii="宋体" w:hAnsi="宋体"/>
                <w:kern w:val="0"/>
                <w:szCs w:val="21"/>
                <w:highlight w:val="none"/>
              </w:rPr>
              <w:t>2.0</w:t>
            </w:r>
            <w:r>
              <w:rPr>
                <w:rFonts w:hint="eastAsia" w:ascii="宋体" w:hAnsi="宋体"/>
                <w:kern w:val="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879" w:type="dxa"/>
            <w:vMerge w:val="continue"/>
            <w:vAlign w:val="center"/>
          </w:tcPr>
          <w:p>
            <w:pPr>
              <w:adjustRightInd w:val="0"/>
              <w:snapToGrid w:val="0"/>
              <w:spacing w:line="276" w:lineRule="auto"/>
              <w:jc w:val="center"/>
              <w:rPr>
                <w:rFonts w:ascii="宋体" w:hAnsi="宋体"/>
                <w:b/>
                <w:szCs w:val="21"/>
                <w:highlight w:val="none"/>
              </w:rPr>
            </w:pPr>
          </w:p>
        </w:tc>
        <w:tc>
          <w:tcPr>
            <w:tcW w:w="946" w:type="dxa"/>
            <w:gridSpan w:val="2"/>
            <w:vMerge w:val="continue"/>
            <w:vAlign w:val="center"/>
          </w:tcPr>
          <w:p>
            <w:pPr>
              <w:adjustRightInd w:val="0"/>
              <w:snapToGrid w:val="0"/>
              <w:spacing w:line="276" w:lineRule="auto"/>
              <w:jc w:val="center"/>
              <w:rPr>
                <w:rFonts w:ascii="宋体" w:hAnsi="宋体"/>
                <w:b/>
                <w:szCs w:val="21"/>
                <w:highlight w:val="none"/>
              </w:rPr>
            </w:pPr>
          </w:p>
        </w:tc>
        <w:tc>
          <w:tcPr>
            <w:tcW w:w="755" w:type="dxa"/>
            <w:vMerge w:val="continue"/>
            <w:vAlign w:val="center"/>
          </w:tcPr>
          <w:p>
            <w:pPr>
              <w:adjustRightInd w:val="0"/>
              <w:snapToGrid w:val="0"/>
              <w:spacing w:line="276" w:lineRule="auto"/>
              <w:jc w:val="center"/>
              <w:rPr>
                <w:rFonts w:ascii="宋体" w:hAnsi="宋体"/>
                <w:b/>
                <w:szCs w:val="21"/>
                <w:highlight w:val="none"/>
              </w:rPr>
            </w:pPr>
          </w:p>
        </w:tc>
        <w:tc>
          <w:tcPr>
            <w:tcW w:w="1738" w:type="dxa"/>
            <w:vAlign w:val="center"/>
          </w:tcPr>
          <w:p>
            <w:pPr>
              <w:adjustRightInd w:val="0"/>
              <w:snapToGrid w:val="0"/>
              <w:spacing w:line="276" w:lineRule="auto"/>
              <w:jc w:val="center"/>
              <w:rPr>
                <w:rFonts w:ascii="宋体" w:hAnsi="宋体"/>
                <w:b/>
                <w:szCs w:val="21"/>
                <w:highlight w:val="none"/>
              </w:rPr>
            </w:pPr>
            <w:r>
              <w:rPr>
                <w:rFonts w:hint="eastAsia" w:ascii="宋体" w:hAnsi="宋体" w:cs="宋体"/>
                <w:bCs/>
                <w:szCs w:val="21"/>
                <w:highlight w:val="none"/>
                <w:lang w:val="zh-CN"/>
              </w:rPr>
              <w:t>主要工程项目的建设方案</w:t>
            </w:r>
          </w:p>
        </w:tc>
        <w:tc>
          <w:tcPr>
            <w:tcW w:w="850" w:type="dxa"/>
            <w:vAlign w:val="center"/>
          </w:tcPr>
          <w:p>
            <w:pPr>
              <w:adjustRightInd w:val="0"/>
              <w:snapToGrid w:val="0"/>
              <w:spacing w:line="276" w:lineRule="auto"/>
              <w:jc w:val="center"/>
              <w:rPr>
                <w:rFonts w:ascii="宋体" w:hAnsi="宋体"/>
                <w:bCs/>
                <w:szCs w:val="21"/>
                <w:highlight w:val="none"/>
              </w:rPr>
            </w:pPr>
            <w:r>
              <w:rPr>
                <w:rFonts w:hint="eastAsia" w:ascii="宋体" w:hAnsi="宋体"/>
                <w:bCs/>
                <w:szCs w:val="21"/>
                <w:highlight w:val="none"/>
              </w:rPr>
              <w:t>10</w:t>
            </w:r>
          </w:p>
        </w:tc>
        <w:tc>
          <w:tcPr>
            <w:tcW w:w="4312" w:type="dxa"/>
            <w:vAlign w:val="center"/>
          </w:tcPr>
          <w:p>
            <w:pPr>
              <w:widowControl/>
              <w:tabs>
                <w:tab w:val="right" w:pos="2100"/>
              </w:tabs>
              <w:snapToGrid w:val="0"/>
              <w:spacing w:line="276" w:lineRule="auto"/>
              <w:ind w:firstLine="210"/>
              <w:rPr>
                <w:rFonts w:ascii="宋体" w:hAnsi="宋体"/>
                <w:kern w:val="0"/>
                <w:szCs w:val="21"/>
                <w:highlight w:val="none"/>
              </w:rPr>
            </w:pPr>
            <w:r>
              <w:rPr>
                <w:rFonts w:hint="eastAsia" w:ascii="宋体" w:hAnsi="宋体"/>
                <w:kern w:val="0"/>
                <w:szCs w:val="21"/>
                <w:highlight w:val="none"/>
              </w:rPr>
              <w:t>一般，得</w:t>
            </w:r>
            <w:r>
              <w:rPr>
                <w:rFonts w:ascii="宋体" w:hAnsi="宋体"/>
                <w:kern w:val="0"/>
                <w:szCs w:val="21"/>
                <w:highlight w:val="none"/>
              </w:rPr>
              <w:t>6.0</w:t>
            </w:r>
            <w:r>
              <w:rPr>
                <w:rFonts w:hint="eastAsia" w:ascii="宋体" w:hAnsi="宋体"/>
                <w:kern w:val="0"/>
                <w:szCs w:val="21"/>
                <w:highlight w:val="none"/>
              </w:rPr>
              <w:t>～</w:t>
            </w:r>
            <w:r>
              <w:rPr>
                <w:rFonts w:ascii="宋体" w:hAnsi="宋体"/>
                <w:kern w:val="0"/>
                <w:szCs w:val="21"/>
                <w:highlight w:val="none"/>
              </w:rPr>
              <w:t>8.0</w:t>
            </w:r>
            <w:r>
              <w:rPr>
                <w:rFonts w:hint="eastAsia" w:ascii="宋体" w:hAnsi="宋体"/>
                <w:kern w:val="0"/>
                <w:szCs w:val="21"/>
                <w:highlight w:val="none"/>
              </w:rPr>
              <w:t>分；</w:t>
            </w:r>
          </w:p>
          <w:p>
            <w:pPr>
              <w:widowControl/>
              <w:snapToGrid w:val="0"/>
              <w:spacing w:line="276" w:lineRule="auto"/>
              <w:ind w:firstLine="210" w:firstLineChars="100"/>
              <w:rPr>
                <w:rFonts w:ascii="宋体" w:hAnsi="宋体"/>
                <w:b/>
                <w:szCs w:val="21"/>
                <w:highlight w:val="none"/>
              </w:rPr>
            </w:pPr>
            <w:r>
              <w:rPr>
                <w:rFonts w:hint="eastAsia" w:ascii="宋体" w:hAnsi="宋体"/>
                <w:kern w:val="0"/>
                <w:szCs w:val="21"/>
                <w:highlight w:val="none"/>
              </w:rPr>
              <w:t>较好，得</w:t>
            </w:r>
            <w:r>
              <w:rPr>
                <w:rFonts w:ascii="宋体" w:hAnsi="宋体"/>
                <w:kern w:val="0"/>
                <w:szCs w:val="21"/>
                <w:highlight w:val="none"/>
              </w:rPr>
              <w:t>8.0</w:t>
            </w:r>
            <w:r>
              <w:rPr>
                <w:rFonts w:hint="eastAsia" w:ascii="宋体" w:hAnsi="宋体"/>
                <w:kern w:val="0"/>
                <w:szCs w:val="21"/>
                <w:highlight w:val="none"/>
              </w:rPr>
              <w:t>～</w:t>
            </w:r>
            <w:r>
              <w:rPr>
                <w:rFonts w:ascii="宋体" w:hAnsi="宋体"/>
                <w:kern w:val="0"/>
                <w:szCs w:val="21"/>
                <w:highlight w:val="none"/>
              </w:rPr>
              <w:t>10.0</w:t>
            </w:r>
            <w:r>
              <w:rPr>
                <w:rFonts w:hint="eastAsia" w:ascii="宋体" w:hAnsi="宋体"/>
                <w:kern w:val="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879" w:type="dxa"/>
            <w:vMerge w:val="continue"/>
            <w:vAlign w:val="center"/>
          </w:tcPr>
          <w:p>
            <w:pPr>
              <w:adjustRightInd w:val="0"/>
              <w:snapToGrid w:val="0"/>
              <w:spacing w:line="276" w:lineRule="auto"/>
              <w:jc w:val="center"/>
              <w:rPr>
                <w:rFonts w:ascii="宋体" w:hAnsi="宋体"/>
                <w:b/>
                <w:szCs w:val="21"/>
                <w:highlight w:val="none"/>
              </w:rPr>
            </w:pPr>
          </w:p>
        </w:tc>
        <w:tc>
          <w:tcPr>
            <w:tcW w:w="946" w:type="dxa"/>
            <w:gridSpan w:val="2"/>
            <w:vMerge w:val="continue"/>
            <w:vAlign w:val="center"/>
          </w:tcPr>
          <w:p>
            <w:pPr>
              <w:adjustRightInd w:val="0"/>
              <w:snapToGrid w:val="0"/>
              <w:spacing w:line="276" w:lineRule="auto"/>
              <w:jc w:val="center"/>
              <w:rPr>
                <w:rFonts w:ascii="宋体" w:hAnsi="宋体"/>
                <w:b/>
                <w:szCs w:val="21"/>
                <w:highlight w:val="none"/>
              </w:rPr>
            </w:pPr>
          </w:p>
        </w:tc>
        <w:tc>
          <w:tcPr>
            <w:tcW w:w="755" w:type="dxa"/>
            <w:vMerge w:val="continue"/>
            <w:vAlign w:val="center"/>
          </w:tcPr>
          <w:p>
            <w:pPr>
              <w:adjustRightInd w:val="0"/>
              <w:snapToGrid w:val="0"/>
              <w:spacing w:line="276" w:lineRule="auto"/>
              <w:jc w:val="center"/>
              <w:rPr>
                <w:rFonts w:ascii="宋体" w:hAnsi="宋体"/>
                <w:b/>
                <w:szCs w:val="21"/>
                <w:highlight w:val="none"/>
              </w:rPr>
            </w:pPr>
          </w:p>
        </w:tc>
        <w:tc>
          <w:tcPr>
            <w:tcW w:w="1738" w:type="dxa"/>
            <w:vAlign w:val="center"/>
          </w:tcPr>
          <w:p>
            <w:pPr>
              <w:adjustRightInd w:val="0"/>
              <w:snapToGrid w:val="0"/>
              <w:spacing w:line="276" w:lineRule="auto"/>
              <w:jc w:val="center"/>
              <w:rPr>
                <w:rFonts w:ascii="宋体" w:hAnsi="宋体" w:cs="宋体"/>
                <w:bCs/>
                <w:szCs w:val="21"/>
                <w:highlight w:val="none"/>
                <w:lang w:val="zh-CN"/>
              </w:rPr>
            </w:pPr>
            <w:r>
              <w:rPr>
                <w:rFonts w:hint="eastAsia" w:ascii="宋体" w:hAnsi="宋体" w:cs="宋体"/>
                <w:bCs/>
                <w:szCs w:val="21"/>
                <w:highlight w:val="none"/>
                <w:lang w:val="zh-CN"/>
              </w:rPr>
              <w:t>人员组织方案</w:t>
            </w:r>
          </w:p>
        </w:tc>
        <w:tc>
          <w:tcPr>
            <w:tcW w:w="850" w:type="dxa"/>
            <w:vAlign w:val="center"/>
          </w:tcPr>
          <w:p>
            <w:pPr>
              <w:adjustRightInd w:val="0"/>
              <w:snapToGrid w:val="0"/>
              <w:spacing w:line="276" w:lineRule="auto"/>
              <w:jc w:val="center"/>
              <w:rPr>
                <w:rFonts w:ascii="宋体" w:hAnsi="宋体"/>
                <w:bCs/>
                <w:szCs w:val="21"/>
                <w:highlight w:val="none"/>
              </w:rPr>
            </w:pPr>
            <w:r>
              <w:rPr>
                <w:rFonts w:hint="eastAsia" w:ascii="宋体" w:hAnsi="宋体"/>
                <w:bCs/>
                <w:szCs w:val="21"/>
                <w:highlight w:val="none"/>
              </w:rPr>
              <w:t>2</w:t>
            </w:r>
          </w:p>
        </w:tc>
        <w:tc>
          <w:tcPr>
            <w:tcW w:w="4312" w:type="dxa"/>
            <w:vAlign w:val="center"/>
          </w:tcPr>
          <w:p>
            <w:pPr>
              <w:widowControl/>
              <w:tabs>
                <w:tab w:val="right" w:pos="2100"/>
              </w:tabs>
              <w:snapToGrid w:val="0"/>
              <w:spacing w:line="276" w:lineRule="auto"/>
              <w:ind w:firstLine="210"/>
              <w:rPr>
                <w:rFonts w:ascii="宋体" w:hAnsi="宋体"/>
                <w:kern w:val="0"/>
                <w:szCs w:val="21"/>
                <w:highlight w:val="none"/>
              </w:rPr>
            </w:pPr>
            <w:r>
              <w:rPr>
                <w:rFonts w:hint="eastAsia" w:ascii="宋体" w:hAnsi="宋体"/>
                <w:kern w:val="0"/>
                <w:szCs w:val="21"/>
                <w:highlight w:val="none"/>
              </w:rPr>
              <w:t>一般，得</w:t>
            </w:r>
            <w:r>
              <w:rPr>
                <w:rFonts w:ascii="宋体" w:hAnsi="宋体"/>
                <w:kern w:val="0"/>
                <w:szCs w:val="21"/>
                <w:highlight w:val="none"/>
              </w:rPr>
              <w:t>1.2</w:t>
            </w:r>
            <w:r>
              <w:rPr>
                <w:rFonts w:hint="eastAsia" w:ascii="宋体" w:hAnsi="宋体"/>
                <w:kern w:val="0"/>
                <w:szCs w:val="21"/>
                <w:highlight w:val="none"/>
              </w:rPr>
              <w:t>～</w:t>
            </w:r>
            <w:r>
              <w:rPr>
                <w:rFonts w:ascii="宋体" w:hAnsi="宋体"/>
                <w:kern w:val="0"/>
                <w:szCs w:val="21"/>
                <w:highlight w:val="none"/>
              </w:rPr>
              <w:t>1.6</w:t>
            </w:r>
            <w:r>
              <w:rPr>
                <w:rFonts w:hint="eastAsia" w:ascii="宋体" w:hAnsi="宋体"/>
                <w:kern w:val="0"/>
                <w:szCs w:val="21"/>
                <w:highlight w:val="none"/>
              </w:rPr>
              <w:t>分；</w:t>
            </w:r>
          </w:p>
          <w:p>
            <w:pPr>
              <w:widowControl/>
              <w:snapToGrid w:val="0"/>
              <w:spacing w:line="276" w:lineRule="auto"/>
              <w:ind w:firstLine="210" w:firstLineChars="100"/>
              <w:rPr>
                <w:rFonts w:ascii="宋体" w:hAnsi="宋体"/>
                <w:b/>
                <w:szCs w:val="21"/>
                <w:highlight w:val="none"/>
              </w:rPr>
            </w:pPr>
            <w:r>
              <w:rPr>
                <w:rFonts w:hint="eastAsia" w:ascii="宋体" w:hAnsi="宋体"/>
                <w:kern w:val="0"/>
                <w:szCs w:val="21"/>
                <w:highlight w:val="none"/>
              </w:rPr>
              <w:t>较好，得</w:t>
            </w:r>
            <w:r>
              <w:rPr>
                <w:rFonts w:ascii="宋体" w:hAnsi="宋体"/>
                <w:kern w:val="0"/>
                <w:szCs w:val="21"/>
                <w:highlight w:val="none"/>
              </w:rPr>
              <w:t>1.6</w:t>
            </w:r>
            <w:r>
              <w:rPr>
                <w:rFonts w:hint="eastAsia" w:ascii="宋体" w:hAnsi="宋体"/>
                <w:kern w:val="0"/>
                <w:szCs w:val="21"/>
                <w:highlight w:val="none"/>
              </w:rPr>
              <w:t>～</w:t>
            </w:r>
            <w:r>
              <w:rPr>
                <w:rFonts w:ascii="宋体" w:hAnsi="宋体"/>
                <w:kern w:val="0"/>
                <w:szCs w:val="21"/>
                <w:highlight w:val="none"/>
              </w:rPr>
              <w:t>2.0</w:t>
            </w:r>
            <w:r>
              <w:rPr>
                <w:rFonts w:hint="eastAsia" w:ascii="宋体" w:hAnsi="宋体"/>
                <w:kern w:val="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879" w:type="dxa"/>
            <w:vMerge w:val="continue"/>
            <w:vAlign w:val="center"/>
          </w:tcPr>
          <w:p>
            <w:pPr>
              <w:adjustRightInd w:val="0"/>
              <w:snapToGrid w:val="0"/>
              <w:spacing w:line="276" w:lineRule="auto"/>
              <w:jc w:val="center"/>
              <w:rPr>
                <w:rFonts w:ascii="宋体" w:hAnsi="宋体"/>
                <w:b/>
                <w:szCs w:val="21"/>
                <w:highlight w:val="none"/>
              </w:rPr>
            </w:pPr>
          </w:p>
        </w:tc>
        <w:tc>
          <w:tcPr>
            <w:tcW w:w="946" w:type="dxa"/>
            <w:gridSpan w:val="2"/>
            <w:vMerge w:val="continue"/>
            <w:vAlign w:val="center"/>
          </w:tcPr>
          <w:p>
            <w:pPr>
              <w:adjustRightInd w:val="0"/>
              <w:snapToGrid w:val="0"/>
              <w:spacing w:line="276" w:lineRule="auto"/>
              <w:jc w:val="center"/>
              <w:rPr>
                <w:rFonts w:ascii="宋体" w:hAnsi="宋体"/>
                <w:b/>
                <w:szCs w:val="21"/>
                <w:highlight w:val="none"/>
              </w:rPr>
            </w:pPr>
          </w:p>
        </w:tc>
        <w:tc>
          <w:tcPr>
            <w:tcW w:w="755" w:type="dxa"/>
            <w:vMerge w:val="continue"/>
            <w:vAlign w:val="center"/>
          </w:tcPr>
          <w:p>
            <w:pPr>
              <w:adjustRightInd w:val="0"/>
              <w:snapToGrid w:val="0"/>
              <w:spacing w:line="276" w:lineRule="auto"/>
              <w:jc w:val="center"/>
              <w:rPr>
                <w:rFonts w:ascii="宋体" w:hAnsi="宋体"/>
                <w:b/>
                <w:szCs w:val="21"/>
                <w:highlight w:val="none"/>
              </w:rPr>
            </w:pPr>
          </w:p>
        </w:tc>
        <w:tc>
          <w:tcPr>
            <w:tcW w:w="1738" w:type="dxa"/>
            <w:vAlign w:val="center"/>
          </w:tcPr>
          <w:p>
            <w:pPr>
              <w:snapToGrid w:val="0"/>
              <w:spacing w:line="276" w:lineRule="auto"/>
              <w:jc w:val="center"/>
              <w:rPr>
                <w:rFonts w:ascii="宋体" w:hAnsi="宋体" w:cs="宋体"/>
                <w:bCs/>
                <w:szCs w:val="21"/>
                <w:highlight w:val="none"/>
                <w:lang w:val="zh-CN"/>
              </w:rPr>
            </w:pPr>
            <w:r>
              <w:rPr>
                <w:rFonts w:hint="eastAsia" w:ascii="宋体" w:hAnsi="宋体" w:cs="宋体"/>
                <w:bCs/>
                <w:szCs w:val="21"/>
                <w:highlight w:val="none"/>
                <w:lang w:val="zh-CN"/>
              </w:rPr>
              <w:t>工期、质量、安全保证措施</w:t>
            </w:r>
          </w:p>
        </w:tc>
        <w:tc>
          <w:tcPr>
            <w:tcW w:w="850" w:type="dxa"/>
            <w:vAlign w:val="center"/>
          </w:tcPr>
          <w:p>
            <w:pPr>
              <w:autoSpaceDE w:val="0"/>
              <w:autoSpaceDN w:val="0"/>
              <w:adjustRightInd w:val="0"/>
              <w:snapToGrid w:val="0"/>
              <w:spacing w:line="276" w:lineRule="auto"/>
              <w:jc w:val="center"/>
              <w:rPr>
                <w:rFonts w:ascii="宋体" w:hAnsi="宋体"/>
                <w:bCs/>
                <w:szCs w:val="21"/>
                <w:highlight w:val="none"/>
              </w:rPr>
            </w:pPr>
            <w:r>
              <w:rPr>
                <w:rFonts w:ascii="宋体" w:hAnsi="宋体" w:cs="宋体"/>
                <w:bCs/>
                <w:szCs w:val="21"/>
                <w:highlight w:val="none"/>
                <w:lang w:val="zh-CN"/>
              </w:rPr>
              <w:t>4</w:t>
            </w:r>
          </w:p>
        </w:tc>
        <w:tc>
          <w:tcPr>
            <w:tcW w:w="4312" w:type="dxa"/>
            <w:vAlign w:val="center"/>
          </w:tcPr>
          <w:p>
            <w:pPr>
              <w:widowControl/>
              <w:tabs>
                <w:tab w:val="right" w:pos="2100"/>
              </w:tabs>
              <w:snapToGrid w:val="0"/>
              <w:spacing w:line="276" w:lineRule="auto"/>
              <w:ind w:firstLine="210"/>
              <w:rPr>
                <w:rFonts w:ascii="宋体" w:hAnsi="宋体"/>
                <w:kern w:val="0"/>
                <w:szCs w:val="21"/>
                <w:highlight w:val="none"/>
              </w:rPr>
            </w:pPr>
            <w:r>
              <w:rPr>
                <w:rFonts w:hint="eastAsia" w:ascii="宋体" w:hAnsi="宋体"/>
                <w:kern w:val="0"/>
                <w:szCs w:val="21"/>
                <w:highlight w:val="none"/>
              </w:rPr>
              <w:t>一般，得</w:t>
            </w:r>
            <w:r>
              <w:rPr>
                <w:rFonts w:ascii="宋体" w:hAnsi="宋体"/>
                <w:kern w:val="0"/>
                <w:szCs w:val="21"/>
                <w:highlight w:val="none"/>
              </w:rPr>
              <w:t>2.4</w:t>
            </w:r>
            <w:r>
              <w:rPr>
                <w:rFonts w:hint="eastAsia" w:ascii="宋体" w:hAnsi="宋体"/>
                <w:kern w:val="0"/>
                <w:szCs w:val="21"/>
                <w:highlight w:val="none"/>
              </w:rPr>
              <w:t>～</w:t>
            </w:r>
            <w:r>
              <w:rPr>
                <w:rFonts w:ascii="宋体" w:hAnsi="宋体"/>
                <w:kern w:val="0"/>
                <w:szCs w:val="21"/>
                <w:highlight w:val="none"/>
              </w:rPr>
              <w:t>3.2</w:t>
            </w:r>
            <w:r>
              <w:rPr>
                <w:rFonts w:hint="eastAsia" w:ascii="宋体" w:hAnsi="宋体"/>
                <w:kern w:val="0"/>
                <w:szCs w:val="21"/>
                <w:highlight w:val="none"/>
              </w:rPr>
              <w:t>分；</w:t>
            </w:r>
          </w:p>
          <w:p>
            <w:pPr>
              <w:widowControl/>
              <w:tabs>
                <w:tab w:val="right" w:pos="2100"/>
              </w:tabs>
              <w:snapToGrid w:val="0"/>
              <w:spacing w:line="276" w:lineRule="auto"/>
              <w:ind w:firstLine="210"/>
              <w:rPr>
                <w:rFonts w:ascii="宋体" w:hAnsi="宋体"/>
                <w:b/>
                <w:szCs w:val="21"/>
                <w:highlight w:val="none"/>
              </w:rPr>
            </w:pPr>
            <w:r>
              <w:rPr>
                <w:rFonts w:hint="eastAsia" w:ascii="宋体" w:hAnsi="宋体"/>
                <w:kern w:val="0"/>
                <w:szCs w:val="21"/>
                <w:highlight w:val="none"/>
              </w:rPr>
              <w:t>较好，得</w:t>
            </w:r>
            <w:r>
              <w:rPr>
                <w:rFonts w:ascii="宋体" w:hAnsi="宋体"/>
                <w:kern w:val="0"/>
                <w:szCs w:val="21"/>
                <w:highlight w:val="none"/>
              </w:rPr>
              <w:t>3.2</w:t>
            </w:r>
            <w:r>
              <w:rPr>
                <w:rFonts w:hint="eastAsia" w:ascii="宋体" w:hAnsi="宋体"/>
                <w:kern w:val="0"/>
                <w:szCs w:val="21"/>
                <w:highlight w:val="none"/>
              </w:rPr>
              <w:t>～</w:t>
            </w:r>
            <w:r>
              <w:rPr>
                <w:rFonts w:ascii="宋体" w:hAnsi="宋体"/>
                <w:kern w:val="0"/>
                <w:szCs w:val="21"/>
                <w:highlight w:val="none"/>
              </w:rPr>
              <w:t>4.0</w:t>
            </w:r>
            <w:r>
              <w:rPr>
                <w:rFonts w:hint="eastAsia" w:ascii="宋体" w:hAnsi="宋体"/>
                <w:kern w:val="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879" w:type="dxa"/>
            <w:vMerge w:val="continue"/>
            <w:vAlign w:val="center"/>
          </w:tcPr>
          <w:p>
            <w:pPr>
              <w:adjustRightInd w:val="0"/>
              <w:snapToGrid w:val="0"/>
              <w:spacing w:line="276" w:lineRule="auto"/>
              <w:jc w:val="center"/>
              <w:rPr>
                <w:rFonts w:ascii="宋体" w:hAnsi="宋体"/>
                <w:b/>
                <w:szCs w:val="21"/>
                <w:highlight w:val="none"/>
              </w:rPr>
            </w:pPr>
          </w:p>
        </w:tc>
        <w:tc>
          <w:tcPr>
            <w:tcW w:w="946" w:type="dxa"/>
            <w:gridSpan w:val="2"/>
            <w:vMerge w:val="continue"/>
            <w:vAlign w:val="center"/>
          </w:tcPr>
          <w:p>
            <w:pPr>
              <w:adjustRightInd w:val="0"/>
              <w:snapToGrid w:val="0"/>
              <w:spacing w:line="276" w:lineRule="auto"/>
              <w:jc w:val="center"/>
              <w:rPr>
                <w:rFonts w:ascii="宋体" w:hAnsi="宋体"/>
                <w:b/>
                <w:szCs w:val="21"/>
                <w:highlight w:val="none"/>
              </w:rPr>
            </w:pPr>
          </w:p>
        </w:tc>
        <w:tc>
          <w:tcPr>
            <w:tcW w:w="755" w:type="dxa"/>
            <w:vMerge w:val="continue"/>
            <w:vAlign w:val="center"/>
          </w:tcPr>
          <w:p>
            <w:pPr>
              <w:adjustRightInd w:val="0"/>
              <w:snapToGrid w:val="0"/>
              <w:spacing w:line="276" w:lineRule="auto"/>
              <w:jc w:val="center"/>
              <w:rPr>
                <w:rFonts w:ascii="宋体" w:hAnsi="宋体"/>
                <w:b/>
                <w:szCs w:val="21"/>
                <w:highlight w:val="none"/>
              </w:rPr>
            </w:pPr>
          </w:p>
        </w:tc>
        <w:tc>
          <w:tcPr>
            <w:tcW w:w="1738" w:type="dxa"/>
            <w:vAlign w:val="center"/>
          </w:tcPr>
          <w:p>
            <w:pPr>
              <w:snapToGrid w:val="0"/>
              <w:spacing w:line="276" w:lineRule="auto"/>
              <w:jc w:val="center"/>
              <w:rPr>
                <w:rFonts w:ascii="宋体" w:hAnsi="宋体"/>
                <w:b/>
                <w:szCs w:val="21"/>
                <w:highlight w:val="none"/>
              </w:rPr>
            </w:pPr>
            <w:r>
              <w:rPr>
                <w:rFonts w:hint="eastAsia" w:ascii="宋体" w:hAnsi="宋体" w:cs="宋体"/>
                <w:bCs/>
                <w:szCs w:val="21"/>
                <w:highlight w:val="none"/>
                <w:lang w:val="zh-CN"/>
              </w:rPr>
              <w:t>培训方案及售后服务方案</w:t>
            </w:r>
          </w:p>
        </w:tc>
        <w:tc>
          <w:tcPr>
            <w:tcW w:w="850" w:type="dxa"/>
            <w:vAlign w:val="center"/>
          </w:tcPr>
          <w:p>
            <w:pPr>
              <w:autoSpaceDE w:val="0"/>
              <w:autoSpaceDN w:val="0"/>
              <w:adjustRightInd w:val="0"/>
              <w:snapToGrid w:val="0"/>
              <w:spacing w:line="276" w:lineRule="auto"/>
              <w:jc w:val="center"/>
              <w:rPr>
                <w:rFonts w:ascii="宋体" w:hAnsi="宋体"/>
                <w:b/>
                <w:szCs w:val="21"/>
                <w:highlight w:val="none"/>
              </w:rPr>
            </w:pPr>
            <w:r>
              <w:rPr>
                <w:rFonts w:hint="eastAsia" w:ascii="宋体" w:hAnsi="宋体" w:cs="宋体"/>
                <w:bCs/>
                <w:szCs w:val="21"/>
                <w:highlight w:val="none"/>
                <w:lang w:val="zh-CN"/>
              </w:rPr>
              <w:t>2</w:t>
            </w:r>
          </w:p>
        </w:tc>
        <w:tc>
          <w:tcPr>
            <w:tcW w:w="4312" w:type="dxa"/>
            <w:vAlign w:val="center"/>
          </w:tcPr>
          <w:p>
            <w:pPr>
              <w:widowControl/>
              <w:tabs>
                <w:tab w:val="right" w:pos="2100"/>
              </w:tabs>
              <w:snapToGrid w:val="0"/>
              <w:spacing w:line="276" w:lineRule="auto"/>
              <w:ind w:firstLine="210"/>
              <w:rPr>
                <w:rFonts w:ascii="宋体" w:hAnsi="宋体"/>
                <w:kern w:val="0"/>
                <w:szCs w:val="21"/>
                <w:highlight w:val="none"/>
              </w:rPr>
            </w:pPr>
            <w:r>
              <w:rPr>
                <w:rFonts w:hint="eastAsia" w:ascii="宋体" w:hAnsi="宋体"/>
                <w:kern w:val="0"/>
                <w:szCs w:val="21"/>
                <w:highlight w:val="none"/>
              </w:rPr>
              <w:t>一般，得</w:t>
            </w:r>
            <w:r>
              <w:rPr>
                <w:rFonts w:ascii="宋体" w:hAnsi="宋体"/>
                <w:kern w:val="0"/>
                <w:szCs w:val="21"/>
                <w:highlight w:val="none"/>
              </w:rPr>
              <w:t>1.2</w:t>
            </w:r>
            <w:r>
              <w:rPr>
                <w:rFonts w:hint="eastAsia" w:ascii="宋体" w:hAnsi="宋体"/>
                <w:kern w:val="0"/>
                <w:szCs w:val="21"/>
                <w:highlight w:val="none"/>
              </w:rPr>
              <w:t>～</w:t>
            </w:r>
            <w:r>
              <w:rPr>
                <w:rFonts w:ascii="宋体" w:hAnsi="宋体"/>
                <w:kern w:val="0"/>
                <w:szCs w:val="21"/>
                <w:highlight w:val="none"/>
              </w:rPr>
              <w:t>1.6</w:t>
            </w:r>
            <w:r>
              <w:rPr>
                <w:rFonts w:hint="eastAsia" w:ascii="宋体" w:hAnsi="宋体"/>
                <w:kern w:val="0"/>
                <w:szCs w:val="21"/>
                <w:highlight w:val="none"/>
              </w:rPr>
              <w:t>分；</w:t>
            </w:r>
          </w:p>
          <w:p>
            <w:pPr>
              <w:widowControl/>
              <w:tabs>
                <w:tab w:val="right" w:pos="2100"/>
              </w:tabs>
              <w:snapToGrid w:val="0"/>
              <w:spacing w:line="276" w:lineRule="auto"/>
              <w:ind w:firstLine="210"/>
              <w:rPr>
                <w:rFonts w:ascii="宋体" w:hAnsi="宋体"/>
                <w:b/>
                <w:szCs w:val="21"/>
                <w:highlight w:val="none"/>
              </w:rPr>
            </w:pPr>
            <w:r>
              <w:rPr>
                <w:rFonts w:hint="eastAsia" w:ascii="宋体" w:hAnsi="宋体"/>
                <w:kern w:val="0"/>
                <w:szCs w:val="21"/>
                <w:highlight w:val="none"/>
              </w:rPr>
              <w:t>较好，得</w:t>
            </w:r>
            <w:r>
              <w:rPr>
                <w:rFonts w:ascii="宋体" w:hAnsi="宋体"/>
                <w:kern w:val="0"/>
                <w:szCs w:val="21"/>
                <w:highlight w:val="none"/>
              </w:rPr>
              <w:t>1.6</w:t>
            </w:r>
            <w:r>
              <w:rPr>
                <w:rFonts w:hint="eastAsia" w:ascii="宋体" w:hAnsi="宋体"/>
                <w:kern w:val="0"/>
                <w:szCs w:val="21"/>
                <w:highlight w:val="none"/>
              </w:rPr>
              <w:t>～</w:t>
            </w:r>
            <w:r>
              <w:rPr>
                <w:rFonts w:ascii="宋体" w:hAnsi="宋体"/>
                <w:kern w:val="0"/>
                <w:szCs w:val="21"/>
                <w:highlight w:val="none"/>
              </w:rPr>
              <w:t>2.0</w:t>
            </w:r>
            <w:r>
              <w:rPr>
                <w:rFonts w:hint="eastAsia" w:ascii="宋体" w:hAnsi="宋体"/>
                <w:kern w:val="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879" w:type="dxa"/>
            <w:vMerge w:val="restart"/>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2.2.4</w:t>
            </w:r>
          </w:p>
          <w:p>
            <w:pPr>
              <w:adjustRightInd w:val="0"/>
              <w:snapToGrid w:val="0"/>
              <w:spacing w:line="276" w:lineRule="auto"/>
              <w:jc w:val="center"/>
              <w:rPr>
                <w:rFonts w:ascii="宋体" w:hAnsi="宋体"/>
                <w:szCs w:val="21"/>
                <w:highlight w:val="none"/>
              </w:rPr>
            </w:pPr>
            <w:r>
              <w:rPr>
                <w:rFonts w:hint="eastAsia" w:ascii="宋体" w:hAnsi="宋体"/>
                <w:szCs w:val="21"/>
                <w:highlight w:val="none"/>
              </w:rPr>
              <w:t>（2）</w:t>
            </w:r>
          </w:p>
        </w:tc>
        <w:tc>
          <w:tcPr>
            <w:tcW w:w="946" w:type="dxa"/>
            <w:gridSpan w:val="2"/>
            <w:vMerge w:val="restart"/>
            <w:vAlign w:val="center"/>
          </w:tcPr>
          <w:p>
            <w:pPr>
              <w:adjustRightInd w:val="0"/>
              <w:snapToGrid w:val="0"/>
              <w:spacing w:line="276" w:lineRule="auto"/>
              <w:jc w:val="center"/>
              <w:rPr>
                <w:rFonts w:ascii="宋体" w:hAnsi="宋体"/>
                <w:snapToGrid w:val="0"/>
                <w:kern w:val="0"/>
                <w:szCs w:val="21"/>
                <w:highlight w:val="none"/>
              </w:rPr>
            </w:pPr>
            <w:r>
              <w:rPr>
                <w:rFonts w:hint="eastAsia" w:ascii="宋体" w:hAnsi="宋体"/>
                <w:snapToGrid w:val="0"/>
                <w:kern w:val="0"/>
                <w:szCs w:val="21"/>
                <w:highlight w:val="none"/>
              </w:rPr>
              <w:t>主要</w:t>
            </w:r>
          </w:p>
          <w:p>
            <w:pPr>
              <w:adjustRightInd w:val="0"/>
              <w:snapToGrid w:val="0"/>
              <w:spacing w:line="276" w:lineRule="auto"/>
              <w:jc w:val="center"/>
              <w:rPr>
                <w:rFonts w:ascii="宋体" w:hAnsi="宋体"/>
                <w:szCs w:val="21"/>
                <w:highlight w:val="none"/>
              </w:rPr>
            </w:pPr>
            <w:r>
              <w:rPr>
                <w:rFonts w:hint="eastAsia" w:ascii="宋体" w:hAnsi="宋体"/>
                <w:snapToGrid w:val="0"/>
                <w:kern w:val="0"/>
                <w:szCs w:val="21"/>
                <w:highlight w:val="none"/>
              </w:rPr>
              <w:t>人员</w:t>
            </w:r>
          </w:p>
        </w:tc>
        <w:tc>
          <w:tcPr>
            <w:tcW w:w="755" w:type="dxa"/>
            <w:vMerge w:val="restart"/>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10分</w:t>
            </w:r>
          </w:p>
        </w:tc>
        <w:tc>
          <w:tcPr>
            <w:tcW w:w="1738" w:type="dxa"/>
            <w:vAlign w:val="center"/>
          </w:tcPr>
          <w:p>
            <w:pPr>
              <w:adjustRightInd w:val="0"/>
              <w:snapToGrid w:val="0"/>
              <w:spacing w:line="276" w:lineRule="auto"/>
              <w:jc w:val="center"/>
              <w:rPr>
                <w:rFonts w:hint="eastAsia" w:ascii="宋体" w:hAnsi="宋体"/>
                <w:szCs w:val="21"/>
                <w:highlight w:val="none"/>
              </w:rPr>
            </w:pPr>
            <w:r>
              <w:rPr>
                <w:rFonts w:hint="eastAsia" w:ascii="宋体" w:hAnsi="宋体"/>
                <w:szCs w:val="21"/>
                <w:highlight w:val="none"/>
              </w:rPr>
              <w:t>项目经理</w:t>
            </w:r>
          </w:p>
          <w:p>
            <w:pPr>
              <w:adjustRightInd w:val="0"/>
              <w:snapToGrid w:val="0"/>
              <w:spacing w:line="276" w:lineRule="auto"/>
              <w:jc w:val="center"/>
              <w:rPr>
                <w:rFonts w:ascii="宋体" w:hAnsi="宋体"/>
                <w:szCs w:val="21"/>
                <w:highlight w:val="none"/>
              </w:rPr>
            </w:pPr>
            <w:r>
              <w:rPr>
                <w:rFonts w:hint="eastAsia" w:ascii="宋体" w:hAnsi="宋体"/>
                <w:szCs w:val="21"/>
                <w:highlight w:val="none"/>
              </w:rPr>
              <w:t>任职业绩</w:t>
            </w:r>
          </w:p>
        </w:tc>
        <w:tc>
          <w:tcPr>
            <w:tcW w:w="850"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6分</w:t>
            </w:r>
          </w:p>
        </w:tc>
        <w:tc>
          <w:tcPr>
            <w:tcW w:w="4312" w:type="dxa"/>
            <w:vAlign w:val="center"/>
          </w:tcPr>
          <w:p>
            <w:pPr>
              <w:adjustRightInd w:val="0"/>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满足资格审查条件最低要求，得</w:t>
            </w:r>
            <w:r>
              <w:rPr>
                <w:rFonts w:ascii="宋体" w:hAnsi="宋体"/>
                <w:color w:val="000000" w:themeColor="text1"/>
                <w:szCs w:val="21"/>
                <w:highlight w:val="none"/>
                <w14:textFill>
                  <w14:solidFill>
                    <w14:schemeClr w14:val="tx1"/>
                  </w14:solidFill>
                </w14:textFill>
              </w:rPr>
              <w:t>3.6</w:t>
            </w:r>
            <w:r>
              <w:rPr>
                <w:rFonts w:hint="eastAsia" w:ascii="宋体" w:hAnsi="宋体"/>
                <w:color w:val="000000" w:themeColor="text1"/>
                <w:szCs w:val="21"/>
                <w:highlight w:val="none"/>
                <w14:textFill>
                  <w14:solidFill>
                    <w14:schemeClr w14:val="tx1"/>
                  </w14:solidFill>
                </w14:textFill>
              </w:rPr>
              <w:t>分；</w:t>
            </w:r>
          </w:p>
          <w:p>
            <w:pPr>
              <w:adjustRightInd w:val="0"/>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在最低要求的基础上，每有1项高速公路机电工程的项目经理或项目副经理任职业绩加2.4分，最多加2.4分</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276" w:lineRule="auto"/>
              <w:rPr>
                <w:rFonts w:ascii="宋体" w:hAnsi="宋体"/>
                <w:color w:val="000000" w:themeColor="text1"/>
                <w:szCs w:val="2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注：任职业绩应是已列入交通运</w:t>
            </w:r>
            <w:bookmarkStart w:id="23" w:name="_GoBack"/>
            <w:bookmarkEnd w:id="23"/>
            <w:r>
              <w:rPr>
                <w:rFonts w:hint="eastAsia" w:ascii="楷体" w:hAnsi="楷体" w:eastAsia="楷体"/>
                <w:color w:val="000000" w:themeColor="text1"/>
                <w:highlight w:val="none"/>
                <w14:textFill>
                  <w14:solidFill>
                    <w14:schemeClr w14:val="tx1"/>
                  </w14:solidFill>
                </w14:textFill>
              </w:rPr>
              <w:t>输主管部门“公路建设市场信用信息管理系统”并公开的任职业绩。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879" w:type="dxa"/>
            <w:vMerge w:val="continue"/>
            <w:vAlign w:val="center"/>
          </w:tcPr>
          <w:p>
            <w:pPr>
              <w:widowControl/>
              <w:snapToGrid w:val="0"/>
              <w:spacing w:line="276" w:lineRule="auto"/>
              <w:jc w:val="left"/>
              <w:rPr>
                <w:rFonts w:ascii="宋体" w:hAnsi="宋体"/>
                <w:szCs w:val="21"/>
                <w:highlight w:val="none"/>
              </w:rPr>
            </w:pPr>
          </w:p>
        </w:tc>
        <w:tc>
          <w:tcPr>
            <w:tcW w:w="946" w:type="dxa"/>
            <w:gridSpan w:val="2"/>
            <w:vMerge w:val="continue"/>
            <w:vAlign w:val="center"/>
          </w:tcPr>
          <w:p>
            <w:pPr>
              <w:widowControl/>
              <w:snapToGrid w:val="0"/>
              <w:spacing w:line="276" w:lineRule="auto"/>
              <w:jc w:val="left"/>
              <w:rPr>
                <w:rFonts w:ascii="宋体" w:hAnsi="宋体"/>
                <w:szCs w:val="21"/>
                <w:highlight w:val="none"/>
              </w:rPr>
            </w:pPr>
          </w:p>
        </w:tc>
        <w:tc>
          <w:tcPr>
            <w:tcW w:w="755" w:type="dxa"/>
            <w:vMerge w:val="continue"/>
            <w:vAlign w:val="center"/>
          </w:tcPr>
          <w:p>
            <w:pPr>
              <w:widowControl/>
              <w:snapToGrid w:val="0"/>
              <w:spacing w:line="276" w:lineRule="auto"/>
              <w:jc w:val="left"/>
              <w:rPr>
                <w:rFonts w:ascii="宋体" w:hAnsi="宋体"/>
                <w:szCs w:val="21"/>
                <w:highlight w:val="none"/>
              </w:rPr>
            </w:pPr>
          </w:p>
        </w:tc>
        <w:tc>
          <w:tcPr>
            <w:tcW w:w="1738"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项目总工</w:t>
            </w:r>
          </w:p>
          <w:p>
            <w:pPr>
              <w:adjustRightInd w:val="0"/>
              <w:snapToGrid w:val="0"/>
              <w:spacing w:line="276" w:lineRule="auto"/>
              <w:jc w:val="center"/>
              <w:rPr>
                <w:rFonts w:ascii="宋体" w:hAnsi="宋体"/>
                <w:szCs w:val="21"/>
                <w:highlight w:val="none"/>
              </w:rPr>
            </w:pPr>
            <w:r>
              <w:rPr>
                <w:rFonts w:hint="eastAsia" w:ascii="宋体" w:hAnsi="宋体"/>
                <w:szCs w:val="21"/>
                <w:highlight w:val="none"/>
              </w:rPr>
              <w:t>任职业绩</w:t>
            </w:r>
          </w:p>
        </w:tc>
        <w:tc>
          <w:tcPr>
            <w:tcW w:w="850"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4分</w:t>
            </w:r>
          </w:p>
        </w:tc>
        <w:tc>
          <w:tcPr>
            <w:tcW w:w="4312" w:type="dxa"/>
            <w:vAlign w:val="center"/>
          </w:tcPr>
          <w:p>
            <w:pPr>
              <w:adjustRightInd w:val="0"/>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满足资格审查条件最低要求，得2.4分；</w:t>
            </w:r>
          </w:p>
          <w:p>
            <w:pPr>
              <w:adjustRightInd w:val="0"/>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在最低要求的基础上，每有1项高速公路机电工程的项目总工或项目副总工任职业绩加1.6分，最多加1.6分。</w:t>
            </w:r>
          </w:p>
          <w:p>
            <w:pPr>
              <w:adjustRightInd w:val="0"/>
              <w:snapToGrid w:val="0"/>
              <w:spacing w:line="276" w:lineRule="auto"/>
              <w:rPr>
                <w:rFonts w:ascii="宋体" w:hAnsi="宋体"/>
                <w:color w:val="000000" w:themeColor="text1"/>
                <w:szCs w:val="2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注：任职业绩应是已列入交通运输主管部门“公路建设市场信用信息管理系统”并公开的任职业绩。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50" w:hRule="atLeast"/>
          <w:jc w:val="center"/>
        </w:trPr>
        <w:tc>
          <w:tcPr>
            <w:tcW w:w="879"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2.2.4</w:t>
            </w:r>
          </w:p>
          <w:p>
            <w:pPr>
              <w:adjustRightInd w:val="0"/>
              <w:snapToGrid w:val="0"/>
              <w:spacing w:line="276" w:lineRule="auto"/>
              <w:jc w:val="center"/>
              <w:rPr>
                <w:rFonts w:ascii="宋体" w:hAnsi="宋体"/>
                <w:szCs w:val="21"/>
                <w:highlight w:val="none"/>
              </w:rPr>
            </w:pPr>
            <w:r>
              <w:rPr>
                <w:rFonts w:hint="eastAsia" w:ascii="宋体" w:hAnsi="宋体"/>
                <w:szCs w:val="21"/>
                <w:highlight w:val="none"/>
              </w:rPr>
              <w:t>（3）</w:t>
            </w:r>
          </w:p>
        </w:tc>
        <w:tc>
          <w:tcPr>
            <w:tcW w:w="946" w:type="dxa"/>
            <w:gridSpan w:val="2"/>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评标价</w:t>
            </w:r>
          </w:p>
        </w:tc>
        <w:tc>
          <w:tcPr>
            <w:tcW w:w="755"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50分</w:t>
            </w:r>
          </w:p>
        </w:tc>
        <w:tc>
          <w:tcPr>
            <w:tcW w:w="6900" w:type="dxa"/>
            <w:gridSpan w:val="3"/>
            <w:vAlign w:val="center"/>
          </w:tcPr>
          <w:p>
            <w:pPr>
              <w:pStyle w:val="21"/>
              <w:tabs>
                <w:tab w:val="left" w:pos="914"/>
              </w:tabs>
              <w:snapToGrid w:val="0"/>
              <w:spacing w:before="0" w:line="276" w:lineRule="auto"/>
              <w:ind w:firstLine="210"/>
              <w:jc w:val="left"/>
              <w:rPr>
                <w:rFonts w:hint="eastAsia" w:ascii="宋体" w:hAnsi="宋体" w:eastAsia="宋体" w:cs="宋体"/>
                <w:kern w:val="2"/>
                <w:sz w:val="21"/>
                <w:szCs w:val="21"/>
                <w:highlight w:val="none"/>
              </w:rPr>
            </w:pPr>
            <w:r>
              <w:rPr>
                <w:rFonts w:hint="eastAsia"/>
                <w:kern w:val="2"/>
                <w:sz w:val="21"/>
                <w:szCs w:val="21"/>
                <w:highlight w:val="none"/>
              </w:rPr>
              <w:t>（1）如</w:t>
            </w:r>
            <w:r>
              <w:rPr>
                <w:rFonts w:hint="eastAsia" w:ascii="宋体" w:hAnsi="宋体" w:eastAsia="宋体" w:cs="宋体"/>
                <w:kern w:val="2"/>
                <w:sz w:val="21"/>
                <w:szCs w:val="21"/>
                <w:highlight w:val="none"/>
              </w:rPr>
              <w:t>果投标人的评标价＞评标基准价，则</w:t>
            </w:r>
          </w:p>
          <w:p>
            <w:pPr>
              <w:pStyle w:val="21"/>
              <w:tabs>
                <w:tab w:val="left" w:pos="914"/>
              </w:tabs>
              <w:snapToGrid w:val="0"/>
              <w:spacing w:before="0" w:line="276" w:lineRule="auto"/>
              <w:ind w:firstLine="840" w:firstLineChars="4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w:t>
            </w:r>
            <w:r>
              <w:rPr>
                <w:rFonts w:hint="eastAsia" w:ascii="宋体" w:hAnsi="宋体" w:eastAsia="宋体" w:cs="宋体"/>
                <w:i w:val="0"/>
                <w:iCs/>
                <w:kern w:val="2"/>
                <w:sz w:val="21"/>
                <w:szCs w:val="21"/>
                <w:highlight w:val="none"/>
              </w:rPr>
              <w:t>50</w:t>
            </w:r>
            <w:r>
              <w:rPr>
                <w:rFonts w:hint="eastAsia" w:ascii="宋体" w:hAnsi="宋体" w:eastAsia="宋体" w:cs="宋体"/>
                <w:kern w:val="2"/>
                <w:sz w:val="21"/>
                <w:szCs w:val="21"/>
                <w:highlight w:val="none"/>
              </w:rPr>
              <w:t>－偏差率×100×0.</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w:t>
            </w:r>
          </w:p>
          <w:p>
            <w:pPr>
              <w:pStyle w:val="21"/>
              <w:tabs>
                <w:tab w:val="left" w:pos="914"/>
              </w:tabs>
              <w:snapToGrid w:val="0"/>
              <w:spacing w:before="0" w:line="276" w:lineRule="auto"/>
              <w:ind w:firstLine="21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w:t>
            </w:r>
          </w:p>
          <w:p>
            <w:pPr>
              <w:pStyle w:val="21"/>
              <w:tabs>
                <w:tab w:val="left" w:pos="914"/>
              </w:tabs>
              <w:snapToGrid w:val="0"/>
              <w:spacing w:before="0" w:line="276" w:lineRule="auto"/>
              <w:ind w:firstLine="840" w:firstLineChars="400"/>
              <w:jc w:val="left"/>
              <w:rPr>
                <w:kern w:val="2"/>
                <w:sz w:val="21"/>
                <w:szCs w:val="21"/>
                <w:highlight w:val="none"/>
              </w:rPr>
            </w:pPr>
            <w:r>
              <w:rPr>
                <w:rFonts w:hint="eastAsia" w:ascii="宋体" w:hAnsi="宋体" w:eastAsia="宋体" w:cs="宋体"/>
                <w:kern w:val="2"/>
                <w:sz w:val="21"/>
                <w:szCs w:val="21"/>
                <w:highlight w:val="none"/>
              </w:rPr>
              <w:t>评标价得分＝</w:t>
            </w:r>
            <w:r>
              <w:rPr>
                <w:rFonts w:hint="eastAsia" w:ascii="宋体" w:hAnsi="宋体" w:eastAsia="宋体" w:cs="宋体"/>
                <w:i w:val="0"/>
                <w:iCs/>
                <w:kern w:val="2"/>
                <w:sz w:val="21"/>
                <w:szCs w:val="21"/>
                <w:highlight w:val="none"/>
              </w:rPr>
              <w:t>50</w:t>
            </w:r>
            <w:r>
              <w:rPr>
                <w:rFonts w:hint="eastAsia" w:ascii="宋体" w:hAnsi="宋体" w:eastAsia="宋体" w:cs="宋体"/>
                <w:kern w:val="2"/>
                <w:sz w:val="21"/>
                <w:szCs w:val="21"/>
                <w:highlight w:val="none"/>
              </w:rPr>
              <w:t>＋偏差率×100×0.</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50" w:hRule="atLeast"/>
          <w:jc w:val="center"/>
        </w:trPr>
        <w:tc>
          <w:tcPr>
            <w:tcW w:w="879" w:type="dxa"/>
            <w:vMerge w:val="restart"/>
            <w:vAlign w:val="center"/>
          </w:tcPr>
          <w:p>
            <w:pPr>
              <w:adjustRightInd w:val="0"/>
              <w:snapToGrid w:val="0"/>
              <w:spacing w:line="276" w:lineRule="auto"/>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w:t>
            </w:r>
            <w:r>
              <w:rPr>
                <w:rFonts w:ascii="宋体" w:hAnsi="宋体"/>
                <w:szCs w:val="21"/>
                <w:highlight w:val="none"/>
              </w:rPr>
              <w:t>4</w:t>
            </w:r>
          </w:p>
          <w:p>
            <w:pPr>
              <w:widowControl/>
              <w:snapToGrid w:val="0"/>
              <w:spacing w:line="276" w:lineRule="auto"/>
              <w:jc w:val="center"/>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w:t>
            </w:r>
          </w:p>
        </w:tc>
        <w:tc>
          <w:tcPr>
            <w:tcW w:w="462" w:type="dxa"/>
            <w:vMerge w:val="restart"/>
            <w:textDirection w:val="tbRlV"/>
            <w:vAlign w:val="center"/>
          </w:tcPr>
          <w:p>
            <w:pPr>
              <w:widowControl/>
              <w:snapToGrid w:val="0"/>
              <w:spacing w:line="276" w:lineRule="auto"/>
              <w:jc w:val="center"/>
              <w:rPr>
                <w:rFonts w:ascii="宋体" w:hAnsi="宋体"/>
                <w:szCs w:val="21"/>
                <w:highlight w:val="none"/>
              </w:rPr>
            </w:pPr>
            <w:r>
              <w:rPr>
                <w:rFonts w:hint="eastAsia" w:ascii="宋体" w:hAnsi="宋体"/>
                <w:szCs w:val="21"/>
                <w:highlight w:val="none"/>
              </w:rPr>
              <w:t>其他因素</w:t>
            </w:r>
          </w:p>
        </w:tc>
        <w:tc>
          <w:tcPr>
            <w:tcW w:w="484" w:type="dxa"/>
            <w:textDirection w:val="tbRlV"/>
            <w:vAlign w:val="center"/>
          </w:tcPr>
          <w:p>
            <w:pPr>
              <w:widowControl/>
              <w:snapToGrid w:val="0"/>
              <w:spacing w:line="276" w:lineRule="auto"/>
              <w:ind w:left="113" w:right="113"/>
              <w:jc w:val="center"/>
              <w:rPr>
                <w:rFonts w:ascii="宋体" w:hAnsi="宋体"/>
                <w:szCs w:val="21"/>
                <w:highlight w:val="none"/>
              </w:rPr>
            </w:pPr>
            <w:r>
              <w:rPr>
                <w:rFonts w:hint="eastAsia" w:ascii="宋体" w:hAnsi="宋体"/>
                <w:szCs w:val="21"/>
                <w:highlight w:val="none"/>
              </w:rPr>
              <w:t>业 绩</w:t>
            </w:r>
          </w:p>
        </w:tc>
        <w:tc>
          <w:tcPr>
            <w:tcW w:w="755" w:type="dxa"/>
            <w:vAlign w:val="center"/>
          </w:tcPr>
          <w:p>
            <w:pPr>
              <w:widowControl/>
              <w:snapToGrid w:val="0"/>
              <w:spacing w:line="276" w:lineRule="auto"/>
              <w:jc w:val="center"/>
              <w:rPr>
                <w:rFonts w:ascii="宋体" w:hAnsi="宋体"/>
                <w:szCs w:val="21"/>
                <w:highlight w:val="none"/>
              </w:rPr>
            </w:pPr>
            <w:r>
              <w:rPr>
                <w:rFonts w:hint="eastAsia" w:ascii="宋体" w:hAnsi="宋体"/>
                <w:szCs w:val="21"/>
                <w:highlight w:val="none"/>
              </w:rPr>
              <w:t>9分</w:t>
            </w:r>
          </w:p>
        </w:tc>
        <w:tc>
          <w:tcPr>
            <w:tcW w:w="1738"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企业业绩</w:t>
            </w:r>
          </w:p>
        </w:tc>
        <w:tc>
          <w:tcPr>
            <w:tcW w:w="850" w:type="dxa"/>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9分</w:t>
            </w:r>
          </w:p>
        </w:tc>
        <w:tc>
          <w:tcPr>
            <w:tcW w:w="4312" w:type="dxa"/>
            <w:vAlign w:val="center"/>
          </w:tcPr>
          <w:p>
            <w:pPr>
              <w:adjustRightInd w:val="0"/>
              <w:snapToGrid w:val="0"/>
              <w:spacing w:line="276" w:lineRule="auto"/>
              <w:rPr>
                <w:rFonts w:ascii="宋体" w:hAnsi="宋体"/>
                <w:szCs w:val="21"/>
                <w:highlight w:val="none"/>
              </w:rPr>
            </w:pPr>
            <w:r>
              <w:rPr>
                <w:rFonts w:hint="eastAsia" w:ascii="宋体" w:hAnsi="宋体" w:eastAsia="宋体" w:cs="宋体"/>
                <w:color w:val="000000" w:themeColor="text1"/>
                <w:highlight w:val="none"/>
                <w14:textFill>
                  <w14:solidFill>
                    <w14:schemeClr w14:val="tx1"/>
                  </w14:solidFill>
                </w14:textFill>
              </w:rPr>
              <w:t>满足最低资格要求得5.4分，业绩中含有通信系统施工内容的加3.6分。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9" w:hRule="atLeast"/>
          <w:jc w:val="center"/>
        </w:trPr>
        <w:tc>
          <w:tcPr>
            <w:tcW w:w="879" w:type="dxa"/>
            <w:vMerge w:val="continue"/>
            <w:vAlign w:val="center"/>
          </w:tcPr>
          <w:p>
            <w:pPr>
              <w:snapToGrid w:val="0"/>
              <w:spacing w:line="276" w:lineRule="auto"/>
              <w:jc w:val="left"/>
              <w:rPr>
                <w:rFonts w:ascii="宋体" w:hAnsi="宋体"/>
                <w:szCs w:val="21"/>
                <w:highlight w:val="none"/>
              </w:rPr>
            </w:pPr>
          </w:p>
        </w:tc>
        <w:tc>
          <w:tcPr>
            <w:tcW w:w="462" w:type="dxa"/>
            <w:vMerge w:val="continue"/>
            <w:vAlign w:val="center"/>
          </w:tcPr>
          <w:p>
            <w:pPr>
              <w:widowControl/>
              <w:snapToGrid w:val="0"/>
              <w:spacing w:line="276" w:lineRule="auto"/>
              <w:ind w:left="113"/>
              <w:jc w:val="left"/>
              <w:rPr>
                <w:rFonts w:ascii="宋体" w:hAnsi="宋体"/>
                <w:szCs w:val="21"/>
                <w:highlight w:val="none"/>
              </w:rPr>
            </w:pPr>
          </w:p>
        </w:tc>
        <w:tc>
          <w:tcPr>
            <w:tcW w:w="484" w:type="dxa"/>
            <w:vMerge w:val="restart"/>
            <w:textDirection w:val="tbRlV"/>
            <w:vAlign w:val="center"/>
          </w:tcPr>
          <w:p>
            <w:pPr>
              <w:jc w:val="center"/>
              <w:rPr>
                <w:highlight w:val="none"/>
              </w:rPr>
            </w:pPr>
            <w:r>
              <w:rPr>
                <w:highlight w:val="none"/>
              </w:rPr>
              <w:t>履约信誉</w:t>
            </w:r>
          </w:p>
        </w:tc>
        <w:tc>
          <w:tcPr>
            <w:tcW w:w="755" w:type="dxa"/>
            <w:vMerge w:val="restart"/>
            <w:vAlign w:val="center"/>
          </w:tcPr>
          <w:p>
            <w:pPr>
              <w:widowControl/>
              <w:snapToGrid w:val="0"/>
              <w:spacing w:line="276" w:lineRule="auto"/>
              <w:jc w:val="center"/>
              <w:rPr>
                <w:rFonts w:ascii="宋体" w:hAnsi="宋体"/>
                <w:szCs w:val="21"/>
                <w:highlight w:val="none"/>
              </w:rPr>
            </w:pPr>
            <w:r>
              <w:rPr>
                <w:rFonts w:hint="eastAsia" w:ascii="宋体" w:hAnsi="宋体"/>
                <w:highlight w:val="none"/>
              </w:rPr>
              <w:t>3分</w:t>
            </w:r>
          </w:p>
        </w:tc>
        <w:tc>
          <w:tcPr>
            <w:tcW w:w="1738" w:type="dxa"/>
            <w:vMerge w:val="restart"/>
            <w:vAlign w:val="center"/>
          </w:tcPr>
          <w:p>
            <w:pPr>
              <w:adjustRightInd w:val="0"/>
              <w:snapToGrid w:val="0"/>
              <w:spacing w:line="276" w:lineRule="auto"/>
              <w:jc w:val="center"/>
              <w:rPr>
                <w:rFonts w:ascii="宋体" w:hAnsi="宋体"/>
                <w:szCs w:val="21"/>
                <w:highlight w:val="none"/>
              </w:rPr>
            </w:pPr>
            <w:r>
              <w:rPr>
                <w:rFonts w:hint="eastAsia" w:ascii="宋体" w:hAnsi="宋体"/>
                <w:szCs w:val="21"/>
                <w:highlight w:val="none"/>
              </w:rPr>
              <w:t>信用评价结果</w:t>
            </w:r>
          </w:p>
        </w:tc>
        <w:tc>
          <w:tcPr>
            <w:tcW w:w="850" w:type="dxa"/>
            <w:vAlign w:val="center"/>
          </w:tcPr>
          <w:p>
            <w:pPr>
              <w:adjustRightInd w:val="0"/>
              <w:snapToGrid w:val="0"/>
              <w:spacing w:line="276" w:lineRule="auto"/>
              <w:jc w:val="center"/>
              <w:rPr>
                <w:rFonts w:ascii="宋体" w:hAnsi="宋体"/>
                <w:szCs w:val="21"/>
                <w:highlight w:val="none"/>
              </w:rPr>
            </w:pPr>
            <w:r>
              <w:rPr>
                <w:rFonts w:hint="eastAsia" w:ascii="宋体" w:hAnsi="宋体"/>
                <w:highlight w:val="none"/>
              </w:rPr>
              <w:t>3分</w:t>
            </w:r>
          </w:p>
        </w:tc>
        <w:tc>
          <w:tcPr>
            <w:tcW w:w="4312" w:type="dxa"/>
            <w:vAlign w:val="center"/>
          </w:tcPr>
          <w:p>
            <w:pPr>
              <w:adjustRightInd w:val="0"/>
              <w:snapToGrid w:val="0"/>
              <w:spacing w:line="276" w:lineRule="auto"/>
              <w:jc w:val="left"/>
              <w:textAlignment w:val="baseline"/>
              <w:rPr>
                <w:rFonts w:ascii="宋体" w:hAnsi="宋体"/>
                <w:szCs w:val="21"/>
                <w:highlight w:val="none"/>
              </w:rPr>
            </w:pPr>
            <w:r>
              <w:rPr>
                <w:rFonts w:hint="eastAsia" w:ascii="宋体" w:hAnsi="宋体"/>
                <w:szCs w:val="21"/>
                <w:highlight w:val="none"/>
              </w:rPr>
              <w:t>信用</w:t>
            </w:r>
            <w:r>
              <w:rPr>
                <w:rFonts w:hint="eastAsia" w:ascii="宋体" w:hAnsi="宋体"/>
                <w:highlight w:val="none"/>
              </w:rPr>
              <w:t>评价A级及以上等级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25" w:hRule="atLeast"/>
          <w:jc w:val="center"/>
        </w:trPr>
        <w:tc>
          <w:tcPr>
            <w:tcW w:w="879" w:type="dxa"/>
            <w:vMerge w:val="continue"/>
            <w:vAlign w:val="center"/>
          </w:tcPr>
          <w:p>
            <w:pPr>
              <w:snapToGrid w:val="0"/>
              <w:spacing w:line="276" w:lineRule="auto"/>
              <w:jc w:val="left"/>
              <w:rPr>
                <w:rFonts w:ascii="宋体" w:hAnsi="宋体"/>
                <w:szCs w:val="21"/>
                <w:highlight w:val="none"/>
              </w:rPr>
            </w:pPr>
          </w:p>
        </w:tc>
        <w:tc>
          <w:tcPr>
            <w:tcW w:w="462" w:type="dxa"/>
            <w:vMerge w:val="continue"/>
            <w:vAlign w:val="center"/>
          </w:tcPr>
          <w:p>
            <w:pPr>
              <w:widowControl/>
              <w:snapToGrid w:val="0"/>
              <w:spacing w:line="276" w:lineRule="auto"/>
              <w:ind w:left="113"/>
              <w:jc w:val="left"/>
              <w:rPr>
                <w:rFonts w:ascii="宋体" w:hAnsi="宋体"/>
                <w:szCs w:val="21"/>
                <w:highlight w:val="none"/>
              </w:rPr>
            </w:pPr>
          </w:p>
        </w:tc>
        <w:tc>
          <w:tcPr>
            <w:tcW w:w="484" w:type="dxa"/>
            <w:vMerge w:val="continue"/>
            <w:textDirection w:val="tbRlV"/>
            <w:vAlign w:val="center"/>
          </w:tcPr>
          <w:p>
            <w:pPr>
              <w:jc w:val="center"/>
              <w:rPr>
                <w:highlight w:val="none"/>
              </w:rPr>
            </w:pPr>
          </w:p>
        </w:tc>
        <w:tc>
          <w:tcPr>
            <w:tcW w:w="755" w:type="dxa"/>
            <w:vMerge w:val="continue"/>
            <w:vAlign w:val="center"/>
          </w:tcPr>
          <w:p>
            <w:pPr>
              <w:widowControl/>
              <w:snapToGrid w:val="0"/>
              <w:spacing w:line="276" w:lineRule="auto"/>
              <w:jc w:val="center"/>
              <w:rPr>
                <w:rFonts w:ascii="宋体" w:hAnsi="宋体"/>
                <w:highlight w:val="none"/>
              </w:rPr>
            </w:pPr>
          </w:p>
        </w:tc>
        <w:tc>
          <w:tcPr>
            <w:tcW w:w="1738" w:type="dxa"/>
            <w:vMerge w:val="continue"/>
            <w:vAlign w:val="center"/>
          </w:tcPr>
          <w:p>
            <w:pPr>
              <w:adjustRightInd w:val="0"/>
              <w:snapToGrid w:val="0"/>
              <w:spacing w:line="276" w:lineRule="auto"/>
              <w:jc w:val="center"/>
              <w:rPr>
                <w:rFonts w:ascii="宋体" w:hAnsi="宋体"/>
                <w:szCs w:val="21"/>
                <w:highlight w:val="none"/>
              </w:rPr>
            </w:pPr>
          </w:p>
        </w:tc>
        <w:tc>
          <w:tcPr>
            <w:tcW w:w="850" w:type="dxa"/>
            <w:vAlign w:val="center"/>
          </w:tcPr>
          <w:p>
            <w:pPr>
              <w:adjustRightInd w:val="0"/>
              <w:snapToGrid w:val="0"/>
              <w:spacing w:line="276" w:lineRule="auto"/>
              <w:jc w:val="center"/>
              <w:rPr>
                <w:rFonts w:ascii="宋体" w:hAnsi="宋体"/>
                <w:highlight w:val="none"/>
              </w:rPr>
            </w:pPr>
            <w:r>
              <w:rPr>
                <w:rFonts w:hint="eastAsia" w:ascii="宋体" w:hAnsi="宋体"/>
                <w:highlight w:val="none"/>
              </w:rPr>
              <w:t>1分</w:t>
            </w:r>
          </w:p>
        </w:tc>
        <w:tc>
          <w:tcPr>
            <w:tcW w:w="4312" w:type="dxa"/>
            <w:vAlign w:val="center"/>
          </w:tcPr>
          <w:p>
            <w:pPr>
              <w:adjustRightInd w:val="0"/>
              <w:snapToGrid w:val="0"/>
              <w:spacing w:line="276" w:lineRule="auto"/>
              <w:jc w:val="left"/>
              <w:textAlignment w:val="baseline"/>
              <w:rPr>
                <w:rFonts w:ascii="宋体" w:hAnsi="宋体"/>
                <w:szCs w:val="21"/>
                <w:highlight w:val="none"/>
              </w:rPr>
            </w:pPr>
            <w:r>
              <w:rPr>
                <w:rFonts w:hint="eastAsia" w:ascii="宋体" w:hAnsi="宋体"/>
                <w:szCs w:val="21"/>
                <w:highlight w:val="none"/>
              </w:rPr>
              <w:t>信用</w:t>
            </w:r>
            <w:r>
              <w:rPr>
                <w:rFonts w:hint="eastAsia" w:ascii="宋体" w:hAnsi="宋体"/>
                <w:highlight w:val="none"/>
              </w:rPr>
              <w:t>评价B级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85" w:hRule="atLeast"/>
          <w:jc w:val="center"/>
        </w:trPr>
        <w:tc>
          <w:tcPr>
            <w:tcW w:w="879" w:type="dxa"/>
            <w:vMerge w:val="continue"/>
            <w:vAlign w:val="center"/>
          </w:tcPr>
          <w:p>
            <w:pPr>
              <w:snapToGrid w:val="0"/>
              <w:spacing w:line="276" w:lineRule="auto"/>
              <w:jc w:val="left"/>
              <w:rPr>
                <w:rFonts w:ascii="宋体" w:hAnsi="宋体"/>
                <w:szCs w:val="21"/>
                <w:highlight w:val="none"/>
              </w:rPr>
            </w:pPr>
          </w:p>
        </w:tc>
        <w:tc>
          <w:tcPr>
            <w:tcW w:w="462" w:type="dxa"/>
            <w:vMerge w:val="continue"/>
            <w:vAlign w:val="center"/>
          </w:tcPr>
          <w:p>
            <w:pPr>
              <w:widowControl/>
              <w:snapToGrid w:val="0"/>
              <w:spacing w:line="276" w:lineRule="auto"/>
              <w:ind w:left="113"/>
              <w:jc w:val="left"/>
              <w:rPr>
                <w:rFonts w:ascii="宋体" w:hAnsi="宋体"/>
                <w:szCs w:val="21"/>
                <w:highlight w:val="none"/>
              </w:rPr>
            </w:pPr>
          </w:p>
        </w:tc>
        <w:tc>
          <w:tcPr>
            <w:tcW w:w="484" w:type="dxa"/>
            <w:vMerge w:val="continue"/>
            <w:textDirection w:val="tbRlV"/>
            <w:vAlign w:val="center"/>
          </w:tcPr>
          <w:p>
            <w:pPr>
              <w:jc w:val="center"/>
              <w:rPr>
                <w:highlight w:val="none"/>
              </w:rPr>
            </w:pPr>
          </w:p>
        </w:tc>
        <w:tc>
          <w:tcPr>
            <w:tcW w:w="755" w:type="dxa"/>
            <w:vMerge w:val="continue"/>
            <w:vAlign w:val="center"/>
          </w:tcPr>
          <w:p>
            <w:pPr>
              <w:widowControl/>
              <w:snapToGrid w:val="0"/>
              <w:spacing w:line="276" w:lineRule="auto"/>
              <w:jc w:val="center"/>
              <w:rPr>
                <w:rFonts w:ascii="宋体" w:hAnsi="宋体"/>
                <w:highlight w:val="none"/>
              </w:rPr>
            </w:pPr>
          </w:p>
        </w:tc>
        <w:tc>
          <w:tcPr>
            <w:tcW w:w="1738" w:type="dxa"/>
            <w:vMerge w:val="continue"/>
            <w:vAlign w:val="center"/>
          </w:tcPr>
          <w:p>
            <w:pPr>
              <w:adjustRightInd w:val="0"/>
              <w:snapToGrid w:val="0"/>
              <w:spacing w:line="276" w:lineRule="auto"/>
              <w:jc w:val="center"/>
              <w:rPr>
                <w:rFonts w:ascii="宋体" w:hAnsi="宋体"/>
                <w:szCs w:val="21"/>
                <w:highlight w:val="none"/>
              </w:rPr>
            </w:pPr>
          </w:p>
        </w:tc>
        <w:tc>
          <w:tcPr>
            <w:tcW w:w="850" w:type="dxa"/>
            <w:vAlign w:val="center"/>
          </w:tcPr>
          <w:p>
            <w:pPr>
              <w:adjustRightInd w:val="0"/>
              <w:snapToGrid w:val="0"/>
              <w:spacing w:line="276" w:lineRule="auto"/>
              <w:jc w:val="center"/>
              <w:rPr>
                <w:rFonts w:ascii="宋体" w:hAnsi="宋体"/>
                <w:highlight w:val="none"/>
              </w:rPr>
            </w:pPr>
            <w:r>
              <w:rPr>
                <w:rFonts w:hint="eastAsia" w:ascii="宋体" w:hAnsi="宋体"/>
                <w:highlight w:val="none"/>
              </w:rPr>
              <w:t>0分</w:t>
            </w:r>
          </w:p>
        </w:tc>
        <w:tc>
          <w:tcPr>
            <w:tcW w:w="4312" w:type="dxa"/>
            <w:vAlign w:val="center"/>
          </w:tcPr>
          <w:p>
            <w:pPr>
              <w:adjustRightInd w:val="0"/>
              <w:snapToGrid w:val="0"/>
              <w:spacing w:line="276" w:lineRule="auto"/>
              <w:jc w:val="left"/>
              <w:textAlignment w:val="baseline"/>
              <w:rPr>
                <w:rFonts w:ascii="宋体" w:hAnsi="宋体"/>
                <w:szCs w:val="21"/>
                <w:highlight w:val="none"/>
              </w:rPr>
            </w:pPr>
            <w:r>
              <w:rPr>
                <w:rFonts w:hint="eastAsia" w:ascii="宋体" w:hAnsi="宋体"/>
                <w:szCs w:val="21"/>
                <w:highlight w:val="none"/>
              </w:rPr>
              <w:t>信用</w:t>
            </w:r>
            <w:r>
              <w:rPr>
                <w:rFonts w:hint="eastAsia" w:ascii="宋体" w:hAnsi="宋体"/>
                <w:highlight w:val="none"/>
              </w:rPr>
              <w:t>评价C、D级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85" w:hRule="atLeast"/>
          <w:jc w:val="center"/>
        </w:trPr>
        <w:tc>
          <w:tcPr>
            <w:tcW w:w="879" w:type="dxa"/>
            <w:vMerge w:val="continue"/>
            <w:vAlign w:val="center"/>
          </w:tcPr>
          <w:p>
            <w:pPr>
              <w:snapToGrid w:val="0"/>
              <w:spacing w:line="276" w:lineRule="auto"/>
              <w:jc w:val="left"/>
              <w:rPr>
                <w:rFonts w:ascii="宋体" w:hAnsi="宋体"/>
                <w:szCs w:val="21"/>
                <w:highlight w:val="none"/>
              </w:rPr>
            </w:pPr>
          </w:p>
        </w:tc>
        <w:tc>
          <w:tcPr>
            <w:tcW w:w="462" w:type="dxa"/>
            <w:vMerge w:val="continue"/>
            <w:vAlign w:val="center"/>
          </w:tcPr>
          <w:p>
            <w:pPr>
              <w:widowControl/>
              <w:snapToGrid w:val="0"/>
              <w:spacing w:line="276" w:lineRule="auto"/>
              <w:ind w:left="113"/>
              <w:jc w:val="left"/>
              <w:rPr>
                <w:rFonts w:ascii="宋体" w:hAnsi="宋体"/>
                <w:szCs w:val="21"/>
                <w:highlight w:val="none"/>
              </w:rPr>
            </w:pPr>
          </w:p>
        </w:tc>
        <w:tc>
          <w:tcPr>
            <w:tcW w:w="484" w:type="dxa"/>
            <w:vMerge w:val="continue"/>
            <w:textDirection w:val="tbRlV"/>
            <w:vAlign w:val="center"/>
          </w:tcPr>
          <w:p>
            <w:pPr>
              <w:jc w:val="center"/>
              <w:rPr>
                <w:highlight w:val="none"/>
              </w:rPr>
            </w:pPr>
          </w:p>
        </w:tc>
        <w:tc>
          <w:tcPr>
            <w:tcW w:w="755" w:type="dxa"/>
            <w:vMerge w:val="continue"/>
            <w:vAlign w:val="center"/>
          </w:tcPr>
          <w:p>
            <w:pPr>
              <w:widowControl/>
              <w:snapToGrid w:val="0"/>
              <w:spacing w:line="276" w:lineRule="auto"/>
              <w:jc w:val="center"/>
              <w:rPr>
                <w:rFonts w:ascii="宋体" w:hAnsi="宋体"/>
                <w:highlight w:val="none"/>
              </w:rPr>
            </w:pPr>
          </w:p>
        </w:tc>
        <w:tc>
          <w:tcPr>
            <w:tcW w:w="6900" w:type="dxa"/>
            <w:gridSpan w:val="3"/>
            <w:vAlign w:val="center"/>
          </w:tcPr>
          <w:p>
            <w:pPr>
              <w:adjustRightInd w:val="0"/>
              <w:snapToGrid w:val="0"/>
              <w:spacing w:before="48" w:beforeLines="20" w:after="48" w:afterLines="20"/>
              <w:jc w:val="left"/>
              <w:rPr>
                <w:rFonts w:hint="eastAsia" w:ascii="宋体" w:hAnsi="宋体"/>
                <w:highlight w:val="none"/>
              </w:rPr>
            </w:pPr>
            <w:r>
              <w:rPr>
                <w:rFonts w:hint="eastAsia" w:ascii="宋体" w:hAnsi="宋体"/>
                <w:highlight w:val="none"/>
              </w:rPr>
              <w:t>投标人的信用评价等级按照按以下原则确定：</w:t>
            </w:r>
          </w:p>
          <w:p>
            <w:pPr>
              <w:adjustRightInd w:val="0"/>
              <w:snapToGrid w:val="0"/>
              <w:spacing w:before="48" w:beforeLines="20" w:after="48" w:afterLines="20"/>
              <w:jc w:val="left"/>
              <w:rPr>
                <w:rFonts w:hint="eastAsia" w:ascii="宋体" w:hAnsi="宋体"/>
                <w:highlight w:val="none"/>
              </w:rPr>
            </w:pPr>
            <w:r>
              <w:rPr>
                <w:rFonts w:hint="eastAsia" w:ascii="宋体" w:hAnsi="宋体"/>
                <w:highlight w:val="none"/>
                <w:lang w:val="en-US" w:eastAsia="zh-CN"/>
              </w:rPr>
              <w:t>1.</w:t>
            </w:r>
            <w:r>
              <w:rPr>
                <w:rFonts w:hint="eastAsia" w:ascii="宋体" w:hAnsi="宋体"/>
                <w:highlight w:val="none"/>
              </w:rPr>
              <w:t>吉林省交通运输厅发布的《关于发布202</w:t>
            </w:r>
            <w:r>
              <w:rPr>
                <w:rFonts w:hint="eastAsia" w:ascii="宋体" w:hAnsi="宋体"/>
                <w:highlight w:val="none"/>
                <w:lang w:val="en-US" w:eastAsia="zh-CN"/>
              </w:rPr>
              <w:t>2</w:t>
            </w:r>
            <w:r>
              <w:rPr>
                <w:rFonts w:hint="eastAsia" w:ascii="宋体" w:hAnsi="宋体"/>
                <w:highlight w:val="none"/>
              </w:rPr>
              <w:t>年度公路建设市场吉林省省级综合评价结果的通告》中投标人的企业信用等级；</w:t>
            </w:r>
          </w:p>
          <w:p>
            <w:pPr>
              <w:adjustRightInd w:val="0"/>
              <w:snapToGrid w:val="0"/>
              <w:spacing w:before="48" w:beforeLines="20" w:after="48" w:afterLines="20"/>
              <w:jc w:val="left"/>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交通运输部“全国公路建设市场信用信息管理系统”“全国公路从业单位信用评价结果”中投标人的全国综合评价2021年度企业信用等级；</w:t>
            </w:r>
          </w:p>
          <w:p>
            <w:pPr>
              <w:adjustRightInd w:val="0"/>
              <w:snapToGrid w:val="0"/>
              <w:spacing w:before="48" w:beforeLines="20" w:after="48" w:afterLines="20"/>
              <w:jc w:val="left"/>
              <w:rPr>
                <w:rFonts w:hint="eastAsia" w:ascii="宋体" w:hAnsi="宋体"/>
                <w:highlight w:val="none"/>
              </w:rPr>
            </w:pPr>
            <w:r>
              <w:rPr>
                <w:rFonts w:hint="eastAsia" w:ascii="宋体" w:hAnsi="宋体"/>
                <w:highlight w:val="none"/>
                <w:lang w:val="en-US" w:eastAsia="zh-CN"/>
              </w:rPr>
              <w:t>3.</w:t>
            </w:r>
            <w:r>
              <w:rPr>
                <w:rFonts w:hint="eastAsia" w:ascii="宋体" w:hAnsi="宋体"/>
                <w:highlight w:val="none"/>
              </w:rPr>
              <w:t>同一投标人同时具有上述企业信用评价的，以吉林省评价为准；</w:t>
            </w:r>
          </w:p>
          <w:p>
            <w:pPr>
              <w:adjustRightInd w:val="0"/>
              <w:snapToGrid w:val="0"/>
              <w:spacing w:before="48" w:beforeLines="20" w:after="48" w:afterLines="20"/>
              <w:jc w:val="left"/>
              <w:rPr>
                <w:rFonts w:ascii="宋体" w:hAnsi="宋体"/>
                <w:highlight w:val="none"/>
              </w:rPr>
            </w:pPr>
            <w:r>
              <w:rPr>
                <w:rFonts w:hint="eastAsia" w:ascii="宋体" w:hAnsi="宋体"/>
                <w:highlight w:val="none"/>
                <w:lang w:val="en-US" w:eastAsia="zh-CN"/>
              </w:rPr>
              <w:t>4.</w:t>
            </w:r>
            <w:r>
              <w:rPr>
                <w:rFonts w:hint="eastAsia" w:ascii="宋体" w:hAnsi="宋体"/>
                <w:highlight w:val="none"/>
              </w:rPr>
              <w:t>无上述企业信用评价且未列入交通运输部“全国公路建设市场信用信息管理系统”“不良信用记录”的，按A级对待，否则按C级、D级对待。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14" w:hRule="atLeast"/>
          <w:jc w:val="center"/>
        </w:trPr>
        <w:tc>
          <w:tcPr>
            <w:tcW w:w="879" w:type="dxa"/>
            <w:vMerge w:val="continue"/>
            <w:vAlign w:val="center"/>
          </w:tcPr>
          <w:p>
            <w:pPr>
              <w:snapToGrid w:val="0"/>
              <w:spacing w:line="276" w:lineRule="auto"/>
              <w:jc w:val="left"/>
              <w:rPr>
                <w:rFonts w:ascii="宋体" w:hAnsi="宋体"/>
                <w:szCs w:val="21"/>
                <w:highlight w:val="none"/>
              </w:rPr>
            </w:pPr>
          </w:p>
        </w:tc>
        <w:tc>
          <w:tcPr>
            <w:tcW w:w="462" w:type="dxa"/>
            <w:vMerge w:val="continue"/>
            <w:textDirection w:val="tbLrV"/>
            <w:vAlign w:val="center"/>
          </w:tcPr>
          <w:p>
            <w:pPr>
              <w:snapToGrid w:val="0"/>
              <w:spacing w:line="276" w:lineRule="auto"/>
              <w:ind w:left="113" w:right="113"/>
              <w:jc w:val="center"/>
              <w:rPr>
                <w:rStyle w:val="22"/>
                <w:szCs w:val="21"/>
                <w:highlight w:val="none"/>
              </w:rPr>
            </w:pPr>
          </w:p>
        </w:tc>
        <w:tc>
          <w:tcPr>
            <w:tcW w:w="484" w:type="dxa"/>
            <w:textDirection w:val="tbLrV"/>
            <w:vAlign w:val="center"/>
          </w:tcPr>
          <w:p>
            <w:pPr>
              <w:jc w:val="center"/>
              <w:rPr>
                <w:highlight w:val="none"/>
              </w:rPr>
            </w:pPr>
            <w:r>
              <w:rPr>
                <w:rFonts w:hint="eastAsia"/>
                <w:sz w:val="21"/>
                <w:szCs w:val="21"/>
                <w:highlight w:val="none"/>
              </w:rPr>
              <w:t>缺陷责任期（免费保修与运维期）</w:t>
            </w:r>
          </w:p>
        </w:tc>
        <w:tc>
          <w:tcPr>
            <w:tcW w:w="755" w:type="dxa"/>
            <w:vAlign w:val="center"/>
          </w:tcPr>
          <w:p>
            <w:pPr>
              <w:widowControl/>
              <w:snapToGrid w:val="0"/>
              <w:spacing w:line="276" w:lineRule="auto"/>
              <w:jc w:val="center"/>
              <w:rPr>
                <w:rFonts w:ascii="宋体" w:hAnsi="宋体"/>
                <w:highlight w:val="none"/>
              </w:rPr>
            </w:pPr>
            <w:r>
              <w:rPr>
                <w:rFonts w:ascii="宋体" w:hAnsi="宋体"/>
                <w:szCs w:val="21"/>
                <w:highlight w:val="none"/>
              </w:rPr>
              <w:t>3</w:t>
            </w:r>
            <w:r>
              <w:rPr>
                <w:rFonts w:hint="eastAsia" w:ascii="宋体" w:hAnsi="宋体"/>
                <w:szCs w:val="21"/>
                <w:highlight w:val="none"/>
              </w:rPr>
              <w:t>分</w:t>
            </w:r>
          </w:p>
        </w:tc>
        <w:tc>
          <w:tcPr>
            <w:tcW w:w="1738" w:type="dxa"/>
            <w:vAlign w:val="center"/>
          </w:tcPr>
          <w:p>
            <w:pPr>
              <w:adjustRightInd w:val="0"/>
              <w:snapToGrid w:val="0"/>
              <w:spacing w:line="276" w:lineRule="auto"/>
              <w:jc w:val="center"/>
              <w:rPr>
                <w:rFonts w:ascii="宋体" w:hAnsi="宋体"/>
                <w:szCs w:val="21"/>
                <w:highlight w:val="none"/>
              </w:rPr>
            </w:pPr>
            <w:r>
              <w:rPr>
                <w:rFonts w:hint="eastAsia"/>
                <w:sz w:val="21"/>
                <w:szCs w:val="21"/>
                <w:highlight w:val="none"/>
              </w:rPr>
              <w:t>缺陷责任期（免费保修与运维期）</w:t>
            </w:r>
          </w:p>
        </w:tc>
        <w:tc>
          <w:tcPr>
            <w:tcW w:w="850" w:type="dxa"/>
            <w:vAlign w:val="center"/>
          </w:tcPr>
          <w:p>
            <w:pPr>
              <w:adjustRightInd w:val="0"/>
              <w:snapToGrid w:val="0"/>
              <w:spacing w:line="276" w:lineRule="auto"/>
              <w:jc w:val="center"/>
              <w:rPr>
                <w:rFonts w:ascii="宋体" w:hAnsi="宋体"/>
                <w:highlight w:val="none"/>
              </w:rPr>
            </w:pPr>
            <w:r>
              <w:rPr>
                <w:rFonts w:ascii="宋体" w:hAnsi="宋体"/>
                <w:szCs w:val="21"/>
                <w:highlight w:val="none"/>
              </w:rPr>
              <w:t>3</w:t>
            </w:r>
            <w:r>
              <w:rPr>
                <w:rFonts w:hint="eastAsia" w:ascii="宋体" w:hAnsi="宋体"/>
                <w:szCs w:val="21"/>
                <w:highlight w:val="none"/>
              </w:rPr>
              <w:t>分</w:t>
            </w:r>
          </w:p>
        </w:tc>
        <w:tc>
          <w:tcPr>
            <w:tcW w:w="4312" w:type="dxa"/>
            <w:vAlign w:val="center"/>
          </w:tcPr>
          <w:p>
            <w:pPr>
              <w:adjustRightInd w:val="0"/>
              <w:snapToGrid w:val="0"/>
              <w:spacing w:line="276" w:lineRule="auto"/>
              <w:textAlignment w:val="baseline"/>
              <w:rPr>
                <w:rFonts w:ascii="宋体" w:hAnsi="宋体"/>
                <w:szCs w:val="21"/>
                <w:highlight w:val="none"/>
              </w:rPr>
            </w:pPr>
            <w:r>
              <w:rPr>
                <w:rFonts w:hint="eastAsia" w:ascii="宋体" w:hAnsi="宋体"/>
                <w:szCs w:val="21"/>
                <w:highlight w:val="none"/>
              </w:rPr>
              <w:t>满足招标文件规定的缺陷责任期（免费保修与运维期）</w:t>
            </w:r>
            <w:r>
              <w:rPr>
                <w:rFonts w:ascii="宋体" w:hAnsi="宋体"/>
                <w:szCs w:val="21"/>
                <w:highlight w:val="none"/>
              </w:rPr>
              <w:t>2</w:t>
            </w:r>
            <w:r>
              <w:rPr>
                <w:rFonts w:hint="eastAsia" w:ascii="宋体" w:hAnsi="宋体"/>
                <w:szCs w:val="21"/>
                <w:highlight w:val="none"/>
              </w:rPr>
              <w:t>年的，得</w:t>
            </w:r>
            <w:r>
              <w:rPr>
                <w:rFonts w:ascii="宋体" w:hAnsi="宋体"/>
                <w:szCs w:val="21"/>
                <w:highlight w:val="none"/>
              </w:rPr>
              <w:t>1.8</w:t>
            </w:r>
            <w:r>
              <w:rPr>
                <w:rFonts w:hint="eastAsia" w:ascii="宋体" w:hAnsi="宋体"/>
                <w:szCs w:val="21"/>
                <w:highlight w:val="none"/>
              </w:rPr>
              <w:t>分。</w:t>
            </w:r>
          </w:p>
          <w:p>
            <w:pPr>
              <w:adjustRightInd w:val="0"/>
              <w:snapToGrid w:val="0"/>
              <w:spacing w:line="276" w:lineRule="auto"/>
              <w:textAlignment w:val="baseline"/>
              <w:rPr>
                <w:rFonts w:ascii="宋体" w:hAnsi="宋体"/>
                <w:szCs w:val="21"/>
                <w:highlight w:val="none"/>
              </w:rPr>
            </w:pPr>
            <w:r>
              <w:rPr>
                <w:rFonts w:hint="eastAsia" w:ascii="宋体" w:hAnsi="宋体"/>
                <w:szCs w:val="21"/>
                <w:highlight w:val="none"/>
              </w:rPr>
              <w:t>在此基础上，投标人承诺（以投标函附录中为准）缺陷责任期（免费保修与运维期）每延长1年加</w:t>
            </w:r>
            <w:r>
              <w:rPr>
                <w:rFonts w:ascii="宋体" w:hAnsi="宋体"/>
                <w:szCs w:val="21"/>
                <w:highlight w:val="none"/>
              </w:rPr>
              <w:t>0.4</w:t>
            </w:r>
            <w:r>
              <w:rPr>
                <w:rFonts w:hint="eastAsia" w:ascii="宋体" w:hAnsi="宋体"/>
                <w:szCs w:val="21"/>
                <w:highlight w:val="none"/>
              </w:rPr>
              <w:t>分，最多加</w:t>
            </w:r>
            <w:r>
              <w:rPr>
                <w:rFonts w:ascii="宋体" w:hAnsi="宋体"/>
                <w:szCs w:val="21"/>
                <w:highlight w:val="none"/>
              </w:rPr>
              <w:t>1.2</w:t>
            </w:r>
            <w:r>
              <w:rPr>
                <w:rFonts w:hint="eastAsia" w:ascii="宋体" w:hAnsi="宋体"/>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458" w:hRule="atLeast"/>
          <w:jc w:val="center"/>
        </w:trPr>
        <w:tc>
          <w:tcPr>
            <w:tcW w:w="879" w:type="dxa"/>
            <w:vMerge w:val="continue"/>
            <w:vAlign w:val="center"/>
          </w:tcPr>
          <w:p>
            <w:pPr>
              <w:snapToGrid w:val="0"/>
              <w:spacing w:line="276" w:lineRule="auto"/>
              <w:jc w:val="left"/>
              <w:rPr>
                <w:rFonts w:ascii="宋体" w:hAnsi="宋体"/>
                <w:szCs w:val="21"/>
                <w:highlight w:val="none"/>
              </w:rPr>
            </w:pPr>
          </w:p>
        </w:tc>
        <w:tc>
          <w:tcPr>
            <w:tcW w:w="462" w:type="dxa"/>
            <w:vMerge w:val="continue"/>
            <w:vAlign w:val="center"/>
          </w:tcPr>
          <w:p>
            <w:pPr>
              <w:widowControl/>
              <w:snapToGrid w:val="0"/>
              <w:spacing w:line="276" w:lineRule="auto"/>
              <w:ind w:left="113"/>
              <w:jc w:val="left"/>
              <w:rPr>
                <w:rFonts w:ascii="宋体" w:hAnsi="宋体"/>
                <w:szCs w:val="21"/>
                <w:highlight w:val="none"/>
              </w:rPr>
            </w:pPr>
          </w:p>
        </w:tc>
        <w:tc>
          <w:tcPr>
            <w:tcW w:w="484" w:type="dxa"/>
            <w:textDirection w:val="tbRlV"/>
            <w:vAlign w:val="center"/>
          </w:tcPr>
          <w:p>
            <w:pPr>
              <w:jc w:val="center"/>
              <w:rPr>
                <w:highlight w:val="none"/>
              </w:rPr>
            </w:pPr>
            <w:r>
              <w:rPr>
                <w:rFonts w:hint="eastAsia"/>
                <w:highlight w:val="none"/>
              </w:rPr>
              <w:t>主要设备</w:t>
            </w:r>
          </w:p>
        </w:tc>
        <w:tc>
          <w:tcPr>
            <w:tcW w:w="755" w:type="dxa"/>
            <w:vAlign w:val="center"/>
          </w:tcPr>
          <w:p>
            <w:pPr>
              <w:widowControl/>
              <w:snapToGrid w:val="0"/>
              <w:spacing w:line="276" w:lineRule="auto"/>
              <w:jc w:val="center"/>
              <w:rPr>
                <w:rFonts w:ascii="宋体" w:hAnsi="宋体"/>
                <w:highlight w:val="none"/>
              </w:rPr>
            </w:pPr>
            <w:r>
              <w:rPr>
                <w:rFonts w:hint="eastAsia" w:ascii="宋体" w:hAnsi="宋体"/>
                <w:szCs w:val="21"/>
                <w:highlight w:val="none"/>
              </w:rPr>
              <w:t>5分</w:t>
            </w:r>
          </w:p>
        </w:tc>
        <w:tc>
          <w:tcPr>
            <w:tcW w:w="1738" w:type="dxa"/>
            <w:vAlign w:val="center"/>
          </w:tcPr>
          <w:p>
            <w:pPr>
              <w:adjustRightInd w:val="0"/>
              <w:snapToGrid w:val="0"/>
              <w:spacing w:line="276" w:lineRule="auto"/>
              <w:jc w:val="center"/>
              <w:rPr>
                <w:rFonts w:ascii="宋体" w:hAnsi="宋体"/>
                <w:szCs w:val="21"/>
                <w:highlight w:val="none"/>
              </w:rPr>
            </w:pPr>
            <w:r>
              <w:rPr>
                <w:rFonts w:ascii="宋体" w:hAnsi="宋体"/>
                <w:highlight w:val="none"/>
              </w:rPr>
              <w:t>对主要</w:t>
            </w:r>
            <w:r>
              <w:rPr>
                <w:rFonts w:hint="eastAsia" w:ascii="宋体" w:hAnsi="宋体"/>
                <w:highlight w:val="none"/>
              </w:rPr>
              <w:t>机电</w:t>
            </w:r>
            <w:r>
              <w:rPr>
                <w:rFonts w:ascii="宋体" w:hAnsi="宋体"/>
                <w:highlight w:val="none"/>
              </w:rPr>
              <w:t>设备品牌</w:t>
            </w:r>
            <w:r>
              <w:rPr>
                <w:rFonts w:hint="eastAsia" w:ascii="宋体" w:hAnsi="宋体"/>
                <w:highlight w:val="none"/>
              </w:rPr>
              <w:t>、应用</w:t>
            </w:r>
            <w:r>
              <w:rPr>
                <w:rFonts w:ascii="宋体" w:hAnsi="宋体"/>
                <w:highlight w:val="none"/>
              </w:rPr>
              <w:t>评价</w:t>
            </w:r>
          </w:p>
        </w:tc>
        <w:tc>
          <w:tcPr>
            <w:tcW w:w="850" w:type="dxa"/>
            <w:vAlign w:val="center"/>
          </w:tcPr>
          <w:p>
            <w:pPr>
              <w:adjustRightInd w:val="0"/>
              <w:snapToGrid w:val="0"/>
              <w:spacing w:line="276" w:lineRule="auto"/>
              <w:jc w:val="center"/>
              <w:rPr>
                <w:rFonts w:ascii="宋体" w:hAnsi="宋体"/>
                <w:highlight w:val="none"/>
              </w:rPr>
            </w:pPr>
            <w:r>
              <w:rPr>
                <w:rFonts w:hint="eastAsia" w:ascii="宋体" w:hAnsi="宋体"/>
                <w:szCs w:val="21"/>
                <w:highlight w:val="none"/>
              </w:rPr>
              <w:t>5分</w:t>
            </w:r>
          </w:p>
        </w:tc>
        <w:tc>
          <w:tcPr>
            <w:tcW w:w="4312" w:type="dxa"/>
            <w:vAlign w:val="center"/>
          </w:tcPr>
          <w:p>
            <w:pPr>
              <w:rPr>
                <w:rFonts w:ascii="宋体" w:hAnsi="宋体"/>
                <w:highlight w:val="none"/>
              </w:rPr>
            </w:pPr>
            <w:r>
              <w:rPr>
                <w:rFonts w:hint="eastAsia" w:ascii="宋体" w:hAnsi="宋体"/>
                <w:highlight w:val="none"/>
              </w:rPr>
              <w:t>1、具体评分标准见附表一 主要机电设备评分内容及标准。</w:t>
            </w:r>
          </w:p>
          <w:p>
            <w:pPr>
              <w:rPr>
                <w:rFonts w:ascii="宋体" w:hAnsi="宋体"/>
                <w:highlight w:val="none"/>
              </w:rPr>
            </w:pPr>
            <w:r>
              <w:rPr>
                <w:rFonts w:hint="eastAsia" w:ascii="宋体" w:hAnsi="宋体"/>
                <w:highlight w:val="none"/>
              </w:rPr>
              <w:t>2、设备技术性能评分的计算方法：每个设备品牌、应用得分=品牌、应用得分×品牌及应用加权系数；</w:t>
            </w:r>
          </w:p>
          <w:p>
            <w:pPr>
              <w:adjustRightInd w:val="0"/>
              <w:snapToGrid w:val="0"/>
              <w:spacing w:line="276" w:lineRule="auto"/>
              <w:textAlignment w:val="baseline"/>
              <w:rPr>
                <w:rFonts w:ascii="宋体" w:hAnsi="宋体"/>
                <w:szCs w:val="21"/>
                <w:highlight w:val="none"/>
              </w:rPr>
            </w:pPr>
            <w:r>
              <w:rPr>
                <w:rFonts w:hint="eastAsia" w:ascii="宋体" w:hAnsi="宋体"/>
                <w:highlight w:val="none"/>
              </w:rPr>
              <w:t>3、得分</w:t>
            </w:r>
            <w:r>
              <w:rPr>
                <w:rFonts w:ascii="宋体" w:hAnsi="宋体"/>
                <w:highlight w:val="none"/>
              </w:rPr>
              <w:t>计算保留</w:t>
            </w:r>
            <w:r>
              <w:rPr>
                <w:rFonts w:hint="eastAsia" w:ascii="宋体" w:hAnsi="宋体"/>
                <w:highlight w:val="none"/>
              </w:rPr>
              <w:t>两位小数</w:t>
            </w:r>
            <w:r>
              <w:rPr>
                <w:rFonts w:ascii="宋体" w:hAnsi="宋体"/>
                <w:highlight w:val="none"/>
              </w:rPr>
              <w:t>，小数点后第</w:t>
            </w:r>
            <w:r>
              <w:rPr>
                <w:rFonts w:hint="eastAsia" w:ascii="宋体" w:hAnsi="宋体"/>
                <w:highlight w:val="none"/>
              </w:rPr>
              <w:t>三</w:t>
            </w:r>
            <w:r>
              <w:rPr>
                <w:rFonts w:ascii="宋体" w:hAnsi="宋体"/>
                <w:highlight w:val="none"/>
              </w:rPr>
              <w:t>位“四舍五入”。</w:t>
            </w:r>
          </w:p>
        </w:tc>
      </w:tr>
    </w:tbl>
    <w:p>
      <w:pPr>
        <w:rPr>
          <w:rFonts w:hint="eastAsia" w:ascii="黑体" w:hAnsi="黑体" w:eastAsia="黑体"/>
          <w:bCs/>
          <w:sz w:val="28"/>
          <w:szCs w:val="28"/>
          <w:highlight w:val="none"/>
          <w:lang w:val="zh-CN"/>
        </w:rPr>
      </w:pPr>
    </w:p>
    <w:p>
      <w:pPr>
        <w:rPr>
          <w:rFonts w:hint="eastAsia" w:ascii="黑体" w:hAnsi="黑体" w:eastAsia="黑体"/>
          <w:bCs/>
          <w:sz w:val="28"/>
          <w:szCs w:val="28"/>
          <w:highlight w:val="none"/>
          <w:lang w:val="zh-CN"/>
        </w:rPr>
      </w:pPr>
      <w:r>
        <w:rPr>
          <w:rFonts w:hint="eastAsia" w:ascii="黑体" w:hAnsi="黑体" w:eastAsia="黑体"/>
          <w:bCs/>
          <w:sz w:val="28"/>
          <w:szCs w:val="28"/>
          <w:highlight w:val="none"/>
          <w:lang w:val="zh-CN"/>
        </w:rPr>
        <w:t>附件一：主要机电设备评分内容及标准</w:t>
      </w:r>
    </w:p>
    <w:p>
      <w:pPr>
        <w:pStyle w:val="7"/>
        <w:rPr>
          <w:rFonts w:hint="eastAsia" w:ascii="黑体" w:hAnsi="黑体" w:eastAsia="黑体"/>
          <w:bCs/>
          <w:sz w:val="28"/>
          <w:szCs w:val="28"/>
          <w:highlight w:val="none"/>
          <w:lang w:val="zh-CN"/>
        </w:rPr>
      </w:pPr>
    </w:p>
    <w:tbl>
      <w:tblPr>
        <w:tblStyle w:val="11"/>
        <w:tblpPr w:leftFromText="180" w:rightFromText="180" w:vertAnchor="text" w:horzAnchor="margin" w:tblpXSpec="center" w:tblpY="177"/>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3402"/>
        <w:gridCol w:w="1243"/>
        <w:gridCol w:w="116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879" w:type="dxa"/>
            <w:tcBorders>
              <w:top w:val="single" w:color="auto" w:sz="12" w:space="0"/>
              <w:left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3402" w:type="dxa"/>
            <w:tcBorders>
              <w:top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设备名称</w:t>
            </w:r>
          </w:p>
        </w:tc>
        <w:tc>
          <w:tcPr>
            <w:tcW w:w="1243" w:type="dxa"/>
            <w:tcBorders>
              <w:top w:val="single" w:color="auto" w:sz="12" w:space="0"/>
            </w:tcBorders>
          </w:tcPr>
          <w:p>
            <w:pPr>
              <w:widowControl/>
              <w:jc w:val="center"/>
              <w:rPr>
                <w:rFonts w:ascii="宋体" w:hAnsi="宋体" w:cs="宋体"/>
                <w:kern w:val="0"/>
                <w:szCs w:val="21"/>
                <w:highlight w:val="none"/>
              </w:rPr>
            </w:pPr>
            <w:r>
              <w:rPr>
                <w:rFonts w:hint="eastAsia" w:ascii="宋体" w:hAnsi="宋体" w:cs="宋体"/>
                <w:kern w:val="0"/>
                <w:szCs w:val="21"/>
                <w:highlight w:val="none"/>
              </w:rPr>
              <w:t>品牌、应用</w:t>
            </w:r>
          </w:p>
          <w:p>
            <w:pPr>
              <w:widowControl/>
              <w:jc w:val="center"/>
              <w:rPr>
                <w:rFonts w:ascii="宋体" w:hAnsi="宋体" w:cs="宋体"/>
                <w:kern w:val="0"/>
                <w:szCs w:val="21"/>
                <w:highlight w:val="none"/>
              </w:rPr>
            </w:pPr>
            <w:r>
              <w:rPr>
                <w:rFonts w:hint="eastAsia" w:ascii="宋体" w:hAnsi="宋体" w:cs="宋体"/>
                <w:kern w:val="0"/>
                <w:szCs w:val="21"/>
                <w:highlight w:val="none"/>
              </w:rPr>
              <w:t>得分</w:t>
            </w:r>
          </w:p>
        </w:tc>
        <w:tc>
          <w:tcPr>
            <w:tcW w:w="1166" w:type="dxa"/>
            <w:tcBorders>
              <w:top w:val="single" w:color="auto" w:sz="12"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品牌、应用</w:t>
            </w:r>
          </w:p>
          <w:p>
            <w:pPr>
              <w:widowControl/>
              <w:jc w:val="center"/>
              <w:rPr>
                <w:rFonts w:ascii="宋体" w:hAnsi="宋体" w:cs="宋体"/>
                <w:kern w:val="0"/>
                <w:szCs w:val="21"/>
                <w:highlight w:val="none"/>
              </w:rPr>
            </w:pPr>
            <w:r>
              <w:rPr>
                <w:rFonts w:hint="eastAsia" w:ascii="宋体" w:hAnsi="宋体" w:cs="宋体"/>
                <w:kern w:val="0"/>
                <w:szCs w:val="21"/>
                <w:highlight w:val="none"/>
              </w:rPr>
              <w:t>加权系数</w:t>
            </w:r>
          </w:p>
        </w:tc>
        <w:tc>
          <w:tcPr>
            <w:tcW w:w="2836" w:type="dxa"/>
            <w:tcBorders>
              <w:top w:val="single" w:color="auto" w:sz="12" w:space="0"/>
              <w:right w:val="single" w:color="auto" w:sz="12"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品牌、应用</w:t>
            </w:r>
          </w:p>
          <w:p>
            <w:pPr>
              <w:widowControl/>
              <w:jc w:val="center"/>
              <w:rPr>
                <w:rFonts w:ascii="宋体" w:hAnsi="宋体" w:cs="宋体"/>
                <w:kern w:val="0"/>
                <w:szCs w:val="21"/>
                <w:highlight w:val="none"/>
              </w:rPr>
            </w:pPr>
            <w:r>
              <w:rPr>
                <w:rFonts w:hint="eastAsia" w:ascii="宋体" w:hAnsi="宋体" w:cs="宋体"/>
                <w:kern w:val="0"/>
                <w:szCs w:val="21"/>
                <w:highlight w:val="none"/>
              </w:rPr>
              <w:t>加权系数标准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879" w:type="dxa"/>
            <w:tcBorders>
              <w:left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3402"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光传输设备</w:t>
            </w:r>
          </w:p>
        </w:tc>
        <w:tc>
          <w:tcPr>
            <w:tcW w:w="1243" w:type="dxa"/>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p>
        </w:tc>
        <w:tc>
          <w:tcPr>
            <w:tcW w:w="1166" w:type="dxa"/>
            <w:vMerge w:val="restart"/>
            <w:vAlign w:val="center"/>
          </w:tcPr>
          <w:p>
            <w:pPr>
              <w:jc w:val="center"/>
              <w:rPr>
                <w:rFonts w:ascii="宋体" w:hAnsi="宋体" w:cs="宋体"/>
                <w:kern w:val="0"/>
                <w:szCs w:val="21"/>
                <w:highlight w:val="none"/>
              </w:rPr>
            </w:pPr>
            <w:r>
              <w:rPr>
                <w:rFonts w:hint="eastAsia" w:ascii="宋体" w:hAnsi="宋体"/>
                <w:szCs w:val="21"/>
                <w:highlight w:val="none"/>
              </w:rPr>
              <w:t>0.6～1</w:t>
            </w:r>
          </w:p>
        </w:tc>
        <w:tc>
          <w:tcPr>
            <w:tcW w:w="2836" w:type="dxa"/>
            <w:vMerge w:val="restart"/>
            <w:tcBorders>
              <w:right w:val="single" w:color="auto" w:sz="12" w:space="0"/>
            </w:tcBorders>
            <w:vAlign w:val="center"/>
          </w:tcPr>
          <w:p>
            <w:pPr>
              <w:rPr>
                <w:rFonts w:ascii="宋体" w:hAnsi="宋体"/>
                <w:szCs w:val="21"/>
                <w:highlight w:val="none"/>
              </w:rPr>
            </w:pPr>
            <w:r>
              <w:rPr>
                <w:rFonts w:hint="eastAsia" w:ascii="宋体" w:hAnsi="宋体"/>
                <w:szCs w:val="21"/>
                <w:highlight w:val="none"/>
              </w:rPr>
              <w:t>选用知名品牌、在国内行业中大范围使用的取1；</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选用一般品牌、在国内行业中有一定比例使用的取0.8；</w:t>
            </w:r>
          </w:p>
          <w:p>
            <w:pPr>
              <w:rPr>
                <w:rFonts w:ascii="宋体" w:hAnsi="宋体"/>
                <w:szCs w:val="21"/>
                <w:highlight w:val="none"/>
              </w:rPr>
            </w:pPr>
          </w:p>
          <w:p>
            <w:pPr>
              <w:jc w:val="left"/>
              <w:rPr>
                <w:rFonts w:ascii="宋体" w:hAnsi="宋体" w:cs="宋体"/>
                <w:kern w:val="0"/>
                <w:szCs w:val="21"/>
                <w:highlight w:val="none"/>
              </w:rPr>
            </w:pPr>
            <w:r>
              <w:rPr>
                <w:rFonts w:hint="eastAsia" w:ascii="宋体" w:hAnsi="宋体"/>
                <w:szCs w:val="21"/>
                <w:highlight w:val="none"/>
              </w:rPr>
              <w:t>选用不知名品牌、在国内行业中有较少比例使用的取0.6；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879" w:type="dxa"/>
            <w:tcBorders>
              <w:left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3402"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高频组合</w:t>
            </w:r>
            <w:r>
              <w:rPr>
                <w:rFonts w:hint="default" w:ascii="宋体" w:hAnsi="宋体" w:cs="宋体"/>
                <w:kern w:val="0"/>
                <w:szCs w:val="21"/>
                <w:highlight w:val="none"/>
                <w:lang w:val="en-US" w:eastAsia="zh-CN"/>
              </w:rPr>
              <w:t>开关电源</w:t>
            </w:r>
          </w:p>
        </w:tc>
        <w:tc>
          <w:tcPr>
            <w:tcW w:w="1243"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166" w:type="dxa"/>
            <w:vMerge w:val="continue"/>
            <w:vAlign w:val="center"/>
          </w:tcPr>
          <w:p>
            <w:pPr>
              <w:jc w:val="center"/>
              <w:rPr>
                <w:rFonts w:ascii="宋体" w:hAnsi="宋体" w:cs="宋体"/>
                <w:kern w:val="0"/>
                <w:szCs w:val="21"/>
                <w:highlight w:val="none"/>
              </w:rPr>
            </w:pPr>
          </w:p>
        </w:tc>
        <w:tc>
          <w:tcPr>
            <w:tcW w:w="2836" w:type="dxa"/>
            <w:vMerge w:val="continue"/>
            <w:tcBorders>
              <w:right w:val="single" w:color="auto" w:sz="12" w:space="0"/>
            </w:tcBorders>
            <w:vAlign w:val="center"/>
          </w:tcPr>
          <w:p>
            <w:pPr>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879" w:type="dxa"/>
            <w:tcBorders>
              <w:left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3402"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网管</w:t>
            </w:r>
            <w:r>
              <w:rPr>
                <w:rFonts w:hint="default" w:ascii="宋体" w:hAnsi="宋体" w:cs="宋体"/>
                <w:kern w:val="0"/>
                <w:szCs w:val="21"/>
                <w:highlight w:val="none"/>
                <w:lang w:val="en-US" w:eastAsia="zh-CN"/>
              </w:rPr>
              <w:t>服务器</w:t>
            </w:r>
          </w:p>
        </w:tc>
        <w:tc>
          <w:tcPr>
            <w:tcW w:w="1243"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166" w:type="dxa"/>
            <w:vMerge w:val="continue"/>
            <w:vAlign w:val="center"/>
          </w:tcPr>
          <w:p>
            <w:pPr>
              <w:jc w:val="center"/>
              <w:rPr>
                <w:rFonts w:ascii="宋体" w:hAnsi="宋体" w:cs="宋体"/>
                <w:kern w:val="0"/>
                <w:szCs w:val="21"/>
                <w:highlight w:val="none"/>
              </w:rPr>
            </w:pPr>
          </w:p>
        </w:tc>
        <w:tc>
          <w:tcPr>
            <w:tcW w:w="2836" w:type="dxa"/>
            <w:vMerge w:val="continue"/>
            <w:tcBorders>
              <w:right w:val="single" w:color="auto" w:sz="12" w:space="0"/>
            </w:tcBorders>
            <w:vAlign w:val="center"/>
          </w:tcPr>
          <w:p>
            <w:pPr>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281" w:type="dxa"/>
            <w:gridSpan w:val="2"/>
            <w:tcBorders>
              <w:left w:val="single" w:color="auto" w:sz="12" w:space="0"/>
              <w:bottom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合计</w:t>
            </w:r>
          </w:p>
        </w:tc>
        <w:tc>
          <w:tcPr>
            <w:tcW w:w="1243" w:type="dxa"/>
            <w:tcBorders>
              <w:bottom w:val="single" w:color="auto" w:sz="12"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5分</w:t>
            </w:r>
          </w:p>
        </w:tc>
        <w:tc>
          <w:tcPr>
            <w:tcW w:w="1166" w:type="dxa"/>
            <w:vMerge w:val="continue"/>
            <w:tcBorders>
              <w:bottom w:val="single" w:color="auto" w:sz="12" w:space="0"/>
            </w:tcBorders>
            <w:vAlign w:val="center"/>
          </w:tcPr>
          <w:p>
            <w:pPr>
              <w:widowControl/>
              <w:jc w:val="center"/>
              <w:rPr>
                <w:rFonts w:ascii="宋体" w:hAnsi="宋体" w:cs="宋体"/>
                <w:kern w:val="0"/>
                <w:szCs w:val="21"/>
                <w:highlight w:val="none"/>
              </w:rPr>
            </w:pPr>
          </w:p>
        </w:tc>
        <w:tc>
          <w:tcPr>
            <w:tcW w:w="2836" w:type="dxa"/>
            <w:vMerge w:val="continue"/>
            <w:tcBorders>
              <w:bottom w:val="single" w:color="auto" w:sz="12" w:space="0"/>
              <w:right w:val="single" w:color="auto" w:sz="12" w:space="0"/>
            </w:tcBorders>
            <w:vAlign w:val="center"/>
          </w:tcPr>
          <w:p>
            <w:pPr>
              <w:widowControl/>
              <w:jc w:val="center"/>
              <w:rPr>
                <w:rFonts w:ascii="宋体" w:hAnsi="宋体" w:cs="宋体"/>
                <w:kern w:val="0"/>
                <w:szCs w:val="21"/>
                <w:highlight w:val="none"/>
              </w:rPr>
            </w:pPr>
          </w:p>
        </w:tc>
      </w:tr>
    </w:tbl>
    <w:p>
      <w:pPr>
        <w:pStyle w:val="3"/>
        <w:rPr>
          <w:rFonts w:hint="eastAsia" w:ascii="宋体" w:hAnsi="宋体" w:cs="宋体"/>
          <w:color w:val="000000"/>
          <w:sz w:val="24"/>
          <w:highlight w:val="none"/>
          <w:lang w:val="zh-CN"/>
        </w:rPr>
        <w:sectPr>
          <w:footnotePr>
            <w:numFmt w:val="decimalEnclosedCircleChinese"/>
            <w:numRestart w:val="eachSect"/>
          </w:footnotePr>
          <w:type w:val="continuous"/>
          <w:pgSz w:w="11906" w:h="16838"/>
          <w:pgMar w:top="1418" w:right="1701" w:bottom="1588" w:left="1701" w:header="851" w:footer="992" w:gutter="0"/>
          <w:pgBorders>
            <w:top w:val="none" w:sz="0" w:space="0"/>
            <w:left w:val="none" w:sz="0" w:space="0"/>
            <w:bottom w:val="none" w:sz="0" w:space="0"/>
            <w:right w:val="none" w:sz="0" w:space="0"/>
          </w:pgBorders>
          <w:cols w:space="720" w:num="1"/>
          <w:docGrid w:linePitch="312" w:charSpace="0"/>
        </w:sectPr>
      </w:pPr>
      <w:r>
        <w:rPr>
          <w:highlight w:val="none"/>
        </w:rPr>
        <w:br w:type="page"/>
      </w:r>
    </w:p>
    <w:bookmarkEnd w:id="22"/>
    <w:p>
      <w:pPr>
        <w:pStyle w:val="4"/>
        <w:pageBreakBefore w:val="0"/>
        <w:kinsoku/>
        <w:wordWrap/>
        <w:overflowPunct/>
        <w:topLinePunct w:val="0"/>
        <w:autoSpaceDE/>
        <w:autoSpaceDN/>
        <w:bidi w:val="0"/>
        <w:adjustRightInd/>
        <w:spacing w:before="0" w:beforeLines="0" w:after="0" w:afterLines="0" w:line="360" w:lineRule="exact"/>
        <w:rPr>
          <w:rFonts w:hint="eastAsia" w:ascii="宋体" w:hAnsi="宋体" w:eastAsia="宋体" w:cs="宋体"/>
          <w:b/>
          <w:bCs/>
          <w:color w:val="000000"/>
          <w:kern w:val="44"/>
          <w:sz w:val="24"/>
          <w:szCs w:val="24"/>
          <w:highlight w:val="none"/>
          <w:lang w:val="en-US" w:eastAsia="zh-CN"/>
        </w:rPr>
      </w:pPr>
      <w:r>
        <w:rPr>
          <w:rFonts w:hint="eastAsia" w:ascii="宋体" w:hAnsi="宋体" w:cs="宋体"/>
          <w:b/>
          <w:bCs/>
          <w:color w:val="000000"/>
          <w:kern w:val="44"/>
          <w:sz w:val="24"/>
          <w:szCs w:val="24"/>
          <w:highlight w:val="none"/>
          <w:lang w:val="en-US" w:eastAsia="zh-CN"/>
        </w:rPr>
        <w:t>6</w:t>
      </w:r>
      <w:r>
        <w:rPr>
          <w:rFonts w:hint="eastAsia" w:ascii="宋体" w:hAnsi="宋体" w:eastAsia="宋体" w:cs="宋体"/>
          <w:b/>
          <w:bCs/>
          <w:color w:val="000000"/>
          <w:kern w:val="44"/>
          <w:sz w:val="24"/>
          <w:szCs w:val="24"/>
          <w:highlight w:val="none"/>
          <w:lang w:val="en-US" w:eastAsia="zh-CN"/>
        </w:rPr>
        <w:t>.联系方式</w:t>
      </w:r>
    </w:p>
    <w:p>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招标人:吉林省高速公路集团有限公司</w:t>
      </w:r>
    </w:p>
    <w:p>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地址: 吉林省长春市南关区人民大街11511号</w:t>
      </w:r>
    </w:p>
    <w:p>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联系人: 于忠宏</w:t>
      </w:r>
    </w:p>
    <w:p>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电话: 0431-85254020</w:t>
      </w:r>
    </w:p>
    <w:p>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招标代理机构：吉林省常利工程信息咨询有限公司</w:t>
      </w:r>
    </w:p>
    <w:p>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地址：长春市高新区越达科技园5栋</w:t>
      </w:r>
    </w:p>
    <w:p>
      <w:pPr>
        <w:spacing w:line="360" w:lineRule="auto"/>
        <w:ind w:firstLine="420" w:firstLineChars="20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联系人：孙静</w:t>
      </w:r>
    </w:p>
    <w:p>
      <w:pPr>
        <w:spacing w:line="360" w:lineRule="auto"/>
        <w:ind w:firstLine="420" w:firstLineChars="200"/>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Times New Roman"/>
          <w:highlight w:val="none"/>
          <w:lang w:val="en-US" w:eastAsia="zh-CN"/>
        </w:rPr>
        <w:t>电话：0431-81902477</w:t>
      </w:r>
    </w:p>
    <w:p>
      <w:pPr>
        <w:pStyle w:val="4"/>
        <w:pageBreakBefore w:val="0"/>
        <w:kinsoku/>
        <w:wordWrap/>
        <w:overflowPunct/>
        <w:topLinePunct w:val="0"/>
        <w:autoSpaceDE/>
        <w:autoSpaceDN/>
        <w:bidi w:val="0"/>
        <w:adjustRightInd/>
        <w:spacing w:before="0" w:beforeLines="0" w:after="0" w:afterLines="0" w:line="360" w:lineRule="exact"/>
        <w:rPr>
          <w:rFonts w:hint="eastAsia" w:ascii="宋体" w:hAnsi="宋体" w:eastAsia="宋体" w:cs="宋体"/>
          <w:b/>
          <w:bCs/>
          <w:color w:val="000000"/>
          <w:kern w:val="44"/>
          <w:sz w:val="24"/>
          <w:szCs w:val="24"/>
          <w:highlight w:val="none"/>
          <w:lang w:val="en-US" w:eastAsia="zh-CN"/>
        </w:rPr>
      </w:pPr>
      <w:r>
        <w:rPr>
          <w:rFonts w:hint="eastAsia" w:ascii="宋体" w:hAnsi="宋体" w:cs="宋体"/>
          <w:b/>
          <w:bCs/>
          <w:color w:val="000000"/>
          <w:kern w:val="44"/>
          <w:sz w:val="24"/>
          <w:szCs w:val="24"/>
          <w:highlight w:val="none"/>
          <w:lang w:val="en-US" w:eastAsia="zh-CN"/>
        </w:rPr>
        <w:t>7</w:t>
      </w:r>
      <w:r>
        <w:rPr>
          <w:rFonts w:hint="eastAsia" w:ascii="宋体" w:hAnsi="宋体" w:eastAsia="宋体" w:cs="宋体"/>
          <w:b/>
          <w:bCs/>
          <w:color w:val="000000"/>
          <w:kern w:val="44"/>
          <w:sz w:val="24"/>
          <w:szCs w:val="24"/>
          <w:highlight w:val="none"/>
          <w:lang w:val="en-US" w:eastAsia="zh-CN"/>
        </w:rPr>
        <w:t>.公开期限</w:t>
      </w:r>
    </w:p>
    <w:p>
      <w:pPr>
        <w:spacing w:line="360" w:lineRule="auto"/>
        <w:ind w:firstLine="420" w:firstLineChars="200"/>
        <w:rPr>
          <w:rFonts w:hint="eastAsia" w:ascii="宋体" w:hAnsi="宋体" w:cs="宋体"/>
        </w:rPr>
      </w:pPr>
      <w:r>
        <w:rPr>
          <w:rFonts w:hint="eastAsia" w:ascii="宋体" w:hAnsi="宋体" w:cs="宋体"/>
        </w:rPr>
        <w:t>本次项目招标文件关键内容信息公开至</w:t>
      </w:r>
      <w:r>
        <w:rPr>
          <w:rFonts w:hint="eastAsia" w:ascii="宋体" w:hAnsi="宋体" w:cs="宋体"/>
          <w:lang w:val="en-US" w:eastAsia="zh-CN"/>
        </w:rPr>
        <w:t>投标截止之日前10天</w:t>
      </w:r>
      <w:r>
        <w:rPr>
          <w:rFonts w:hint="eastAsia" w:ascii="宋体" w:hAnsi="宋体" w:cs="宋体"/>
        </w:rPr>
        <w:t>。</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60409020205020404"/>
    <w:charset w:val="00"/>
    <w:family w:val="moder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方正超粗黑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rPr>
          <w:sz w:val="18"/>
          <w:szCs w:val="18"/>
        </w:rPr>
      </w:pPr>
      <w:r>
        <w:rPr>
          <w:rStyle w:val="13"/>
        </w:rPr>
        <w:footnoteRef/>
      </w:r>
      <w:r>
        <w:rPr>
          <w:rFonts w:hint="eastAsia" w:ascii="宋体" w:hAnsi="宋体" w:cs="宋体"/>
          <w:kern w:val="0"/>
          <w:sz w:val="18"/>
          <w:szCs w:val="18"/>
          <w:lang w:val="zh-CN"/>
        </w:rPr>
        <w:t xml:space="preserve"> 项目经理</w:t>
      </w:r>
      <w:r>
        <w:rPr>
          <w:rFonts w:hint="eastAsia" w:ascii="宋体" w:hAnsi="宋体" w:cs="宋体"/>
          <w:kern w:val="0"/>
          <w:sz w:val="18"/>
          <w:szCs w:val="18"/>
          <w:lang w:val="en-US" w:eastAsia="zh-CN"/>
        </w:rPr>
        <w:t>与项目总工</w:t>
      </w:r>
      <w:r>
        <w:rPr>
          <w:rFonts w:hint="eastAsia" w:ascii="宋体" w:hAnsi="宋体" w:cs="宋体"/>
          <w:b w:val="0"/>
          <w:bCs w:val="0"/>
          <w:kern w:val="0"/>
          <w:sz w:val="18"/>
          <w:szCs w:val="18"/>
          <w:lang w:val="zh-CN"/>
        </w:rPr>
        <w:t>不得互相兼职</w:t>
      </w:r>
      <w:r>
        <w:rPr>
          <w:rFonts w:hint="eastAsia" w:ascii="黑体" w:hAnsi="宋体" w:eastAsia="黑体" w:cs="宋体"/>
          <w:b w:val="0"/>
          <w:bCs w:val="0"/>
          <w:kern w:val="0"/>
          <w:sz w:val="18"/>
          <w:szCs w:val="18"/>
          <w:lang w:val="zh-CN"/>
        </w:rPr>
        <w:t>。</w:t>
      </w:r>
    </w:p>
  </w:footnote>
  <w:footnote w:id="1">
    <w:p>
      <w:pPr>
        <w:pStyle w:val="9"/>
        <w:snapToGrid w:val="0"/>
        <w:rPr>
          <w:rFonts w:hint="eastAsia" w:ascii="宋体" w:hAnsi="宋体" w:cs="宋体"/>
          <w:lang w:val="zh-CN"/>
        </w:rPr>
      </w:pPr>
      <w:r>
        <w:rPr>
          <w:rStyle w:val="13"/>
        </w:rPr>
        <w:footnoteRef/>
      </w:r>
      <w:r>
        <w:t xml:space="preserve"> </w:t>
      </w:r>
      <w:r>
        <w:rPr>
          <w:rFonts w:hint="eastAsia" w:ascii="宋体" w:hAnsi="宋体" w:cs="宋体"/>
          <w:lang w:val="zh-CN"/>
        </w:rPr>
        <w:t>自有人员指社保缴费证明中缴费单位与投标人名称一致。</w:t>
      </w:r>
    </w:p>
  </w:footnote>
  <w:footnote w:id="2">
    <w:p>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w:t>
      </w:r>
      <w:r>
        <w:rPr>
          <w:rFonts w:hint="eastAsia" w:ascii="宋体" w:hAnsi="宋体"/>
        </w:rPr>
        <w:t>机电工程相关专业职称包括计算机、电子、通信、自动化、电气等；</w:t>
      </w:r>
      <w:r>
        <w:rPr>
          <w:rFonts w:hint="eastAsia" w:ascii="宋体" w:hAnsi="宋体" w:cs="宋体"/>
          <w:lang w:val="zh-CN"/>
        </w:rPr>
        <w:t>如职称证上无专业，则以毕业证上的专业为准。</w:t>
      </w:r>
    </w:p>
  </w:footnote>
  <w:footnote w:id="3">
    <w:p>
      <w:pPr>
        <w:pStyle w:val="9"/>
      </w:pPr>
      <w:r>
        <w:rPr>
          <w:rStyle w:val="13"/>
        </w:rPr>
        <w:footnoteRef/>
      </w:r>
      <w:r>
        <w:rPr>
          <w:rFonts w:hint="eastAsia"/>
        </w:rPr>
        <w:t>本款规定仅适用于根据《关于发布公路工程从业企业资质名录的通知》（厅公路字</w:t>
      </w:r>
      <w:r>
        <w:rPr>
          <w:rFonts w:hint="eastAsia" w:ascii="宋体" w:hAnsi="宋体"/>
        </w:rPr>
        <w:t>﹝2011﹞114号</w:t>
      </w:r>
      <w:r>
        <w:rPr>
          <w:rFonts w:hint="eastAsia"/>
        </w:rPr>
        <w:t>）要求，招标人应通过名录对投标人应通过名录对投标人资质条件进行审核的公路施工企业。</w:t>
      </w:r>
    </w:p>
  </w:footnote>
  <w:footnote w:id="4">
    <w:p>
      <w:pPr>
        <w:pStyle w:val="9"/>
        <w:jc w:val="both"/>
      </w:pPr>
      <w:r>
        <w:rPr>
          <w:rStyle w:val="13"/>
        </w:rPr>
        <w:footnoteRef/>
      </w:r>
      <w:r>
        <w:t xml:space="preserve"> </w:t>
      </w:r>
      <w:r>
        <w:rPr>
          <w:rFonts w:hint="eastAsia"/>
        </w:rPr>
        <w:t>各评分因素（评标价和履约信誉评分项除外）得分一般不得低于其权重分值的 60%，且各评分因素得分应以评标委员会各成员的打分平均值确定，评标委员会成员总数为7人以上时，该平均值以去掉一个最高分和一个最低分后计算。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YTE3MGIzZmY1NDMxYjU1ZjZmZDgxNWE2MDI3MTYifQ=="/>
  </w:docVars>
  <w:rsids>
    <w:rsidRoot w:val="00000000"/>
    <w:rsid w:val="3BCD6881"/>
    <w:rsid w:val="45124BE3"/>
    <w:rsid w:val="4EE71673"/>
    <w:rsid w:val="77B76CF9"/>
    <w:rsid w:val="7F2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szCs w:val="24"/>
    </w:rPr>
  </w:style>
  <w:style w:type="paragraph" w:styleId="6">
    <w:name w:val="annotation text"/>
    <w:basedOn w:val="1"/>
    <w:qFormat/>
    <w:uiPriority w:val="0"/>
    <w:pPr>
      <w:jc w:val="left"/>
    </w:pPr>
    <w:rPr>
      <w:szCs w:val="24"/>
    </w:rPr>
  </w:style>
  <w:style w:type="paragraph" w:styleId="7">
    <w:name w:val="Plain Text"/>
    <w:basedOn w:val="1"/>
    <w:qFormat/>
    <w:uiPriority w:val="99"/>
    <w:rPr>
      <w:rFonts w:ascii="宋体" w:hAnsi="Courier"/>
      <w:szCs w:val="20"/>
      <w:u w:val="single"/>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footnote reference"/>
    <w:qFormat/>
    <w:uiPriority w:val="0"/>
    <w:rPr>
      <w:vertAlign w:val="superscript"/>
    </w:rPr>
  </w:style>
  <w:style w:type="paragraph" w:customStyle="1" w:styleId="14">
    <w:name w:val="p0"/>
    <w:basedOn w:val="1"/>
    <w:qFormat/>
    <w:uiPriority w:val="99"/>
    <w:pPr>
      <w:widowControl/>
    </w:pPr>
    <w:rPr>
      <w:rFonts w:ascii="Times New Roman" w:hAnsi="Times New Roman"/>
      <w:kern w:val="0"/>
      <w:szCs w:val="21"/>
    </w:rPr>
  </w:style>
  <w:style w:type="paragraph" w:customStyle="1" w:styleId="15">
    <w:name w:val="样式3"/>
    <w:basedOn w:val="1"/>
    <w:qFormat/>
    <w:uiPriority w:val="0"/>
    <w:pPr>
      <w:keepNext/>
      <w:keepLines/>
      <w:spacing w:line="400" w:lineRule="exact"/>
      <w:outlineLvl w:val="0"/>
    </w:pPr>
    <w:rPr>
      <w:rFonts w:ascii="Times New Roman" w:hAnsi="Times New Roman"/>
      <w:b/>
      <w:bCs/>
      <w:kern w:val="44"/>
      <w:sz w:val="28"/>
      <w:szCs w:val="44"/>
    </w:rPr>
  </w:style>
  <w:style w:type="paragraph" w:customStyle="1" w:styleId="16">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paragraph" w:customStyle="1" w:styleId="17">
    <w:name w:val="列出段落11"/>
    <w:basedOn w:val="1"/>
    <w:qFormat/>
    <w:uiPriority w:val="34"/>
    <w:pPr>
      <w:ind w:firstLine="420" w:firstLineChars="200"/>
    </w:pPr>
    <w:rPr>
      <w:rFonts w:ascii="等线" w:hAnsi="等线" w:eastAsia="等线"/>
      <w:szCs w:val="24"/>
    </w:rPr>
  </w:style>
  <w:style w:type="paragraph" w:customStyle="1" w:styleId="18">
    <w:name w:val="MSG_EN_FONT_STYLE_NAME_TEMPLATE_ROLE_NUMBER MSG_EN_FONT_STYLE_NAME_BY_ROLE_TEXT 131"/>
    <w:basedOn w:val="1"/>
    <w:qFormat/>
    <w:uiPriority w:val="0"/>
    <w:pPr>
      <w:shd w:val="clear" w:color="auto" w:fill="FFFFFF"/>
      <w:spacing w:before="340" w:after="160" w:line="398" w:lineRule="exact"/>
      <w:jc w:val="distribute"/>
    </w:pPr>
    <w:rPr>
      <w:rFonts w:ascii="PMingLiU" w:hAnsi="PMingLiU" w:eastAsia="PMingLiU"/>
      <w:kern w:val="0"/>
      <w:sz w:val="20"/>
      <w:szCs w:val="20"/>
    </w:rPr>
  </w:style>
  <w:style w:type="character" w:customStyle="1" w:styleId="19">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0">
    <w:name w:val="MSG_EN_FONT_STYLE_NAME_TEMPLATE_ROLE_NUMBER MSG_EN_FONT_STYLE_NAME_BY_ROLE_TEXT 5"/>
    <w:basedOn w:val="1"/>
    <w:qFormat/>
    <w:uiPriority w:val="0"/>
    <w:pPr>
      <w:shd w:val="clear" w:color="auto" w:fill="FFFFFF"/>
      <w:spacing w:before="5120" w:line="170" w:lineRule="exact"/>
      <w:jc w:val="left"/>
    </w:pPr>
    <w:rPr>
      <w:rFonts w:ascii="PMingLiU" w:hAnsi="PMingLiU" w:eastAsia="PMingLiU"/>
      <w:kern w:val="0"/>
      <w:sz w:val="17"/>
      <w:szCs w:val="17"/>
    </w:rPr>
  </w:style>
  <w:style w:type="paragraph" w:customStyle="1" w:styleId="21">
    <w:name w:val="正文文本 (2)"/>
    <w:basedOn w:val="1"/>
    <w:qFormat/>
    <w:uiPriority w:val="0"/>
    <w:pPr>
      <w:shd w:val="clear" w:color="auto" w:fill="FFFFFF"/>
      <w:spacing w:before="300" w:line="439" w:lineRule="exact"/>
      <w:jc w:val="distribute"/>
    </w:pPr>
    <w:rPr>
      <w:rFonts w:ascii="宋体" w:hAnsi="宋体"/>
      <w:kern w:val="0"/>
      <w:sz w:val="22"/>
    </w:rPr>
  </w:style>
  <w:style w:type="character" w:customStyle="1" w:styleId="22">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4588</Words>
  <Characters>4909</Characters>
  <Lines>0</Lines>
  <Paragraphs>0</Paragraphs>
  <TotalTime>1</TotalTime>
  <ScaleCrop>false</ScaleCrop>
  <LinksUpToDate>false</LinksUpToDate>
  <CharactersWithSpaces>4924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2023-08-24T06:58:00Z</dcterms:created>
  <dc:creator>杨光福</dc:creator>
  <cp:lastModifiedBy>che</cp:lastModifiedBy>
  <dcterms:modified xsi:type="dcterms:W3CDTF">2023-09-04T02:41:22Z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A2ABD52119A1457BBD939ADFF65B51E8_12</vt:lpwstr>
  </property>
</Properties>
</file>