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tabs>
          <w:tab w:val="left" w:pos="50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lang w:eastAsia="zh-CN"/>
        </w:rPr>
      </w:pPr>
      <w:bookmarkStart w:id="0" w:name="_Toc106894303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lang w:eastAsia="zh-CN"/>
        </w:rPr>
        <w:t>吉林省高速公路集团有限公司车辆保险服务采购项目</w:t>
      </w:r>
    </w:p>
    <w:p>
      <w:pPr>
        <w:pageBreakBefore w:val="0"/>
        <w:tabs>
          <w:tab w:val="left" w:pos="50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lang w:eastAsia="zh-CN"/>
        </w:rPr>
        <w:t>招标文件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关键内容</w:t>
      </w:r>
    </w:p>
    <w:p>
      <w:pPr>
        <w:pStyle w:val="8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left"/>
        <w:textAlignment w:val="auto"/>
        <w:rPr>
          <w:rFonts w:cs="宋体"/>
        </w:rPr>
      </w:pPr>
      <w:bookmarkStart w:id="1" w:name="_Toc309637062"/>
      <w:bookmarkStart w:id="2" w:name="_Toc467238026"/>
      <w:bookmarkStart w:id="3" w:name="_Toc282843630"/>
      <w:bookmarkStart w:id="4" w:name="_Toc282823804"/>
      <w:bookmarkStart w:id="5" w:name="_Toc450565229"/>
      <w:bookmarkStart w:id="6" w:name="_Toc15802"/>
      <w:r>
        <w:rPr>
          <w:rFonts w:hint="eastAsia" w:cs="宋体"/>
        </w:rPr>
        <w:t>一、招标条件</w:t>
      </w:r>
      <w:bookmarkEnd w:id="1"/>
      <w:bookmarkEnd w:id="2"/>
      <w:bookmarkEnd w:id="3"/>
      <w:bookmarkEnd w:id="4"/>
      <w:bookmarkEnd w:id="5"/>
      <w:bookmarkEnd w:id="6"/>
    </w:p>
    <w:p>
      <w:pPr>
        <w:pStyle w:val="8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宋体" w:hAnsi="宋体" w:cs="宋体"/>
          <w:u w:val="single"/>
        </w:rPr>
      </w:pPr>
      <w:r>
        <w:rPr>
          <w:rFonts w:hint="eastAsia" w:cs="宋体"/>
          <w:b w:val="0"/>
          <w:highlight w:val="none"/>
          <w:lang w:eastAsia="zh-CN"/>
        </w:rPr>
        <w:t>吉林省高速公路集团有限公司车辆保险服务采购项目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（项目编号：JLSWSZB 202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-00</w:t>
      </w:r>
      <w:r>
        <w:rPr>
          <w:rFonts w:hint="eastAsia" w:ascii="宋体" w:hAnsi="宋体" w:cs="宋体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cs="宋体"/>
          <w:color w:val="auto"/>
          <w:szCs w:val="21"/>
          <w:highlight w:val="none"/>
        </w:rPr>
        <w:t>项目法人（招标人）为吉林省高速公路集团有限公司。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项目</w:t>
      </w:r>
      <w:r>
        <w:rPr>
          <w:rFonts w:hint="eastAsia" w:ascii="宋体" w:hAnsi="宋体" w:cs="宋体"/>
          <w:color w:val="auto"/>
          <w:szCs w:val="21"/>
          <w:highlight w:val="none"/>
        </w:rPr>
        <w:t>资金来自法人自筹。项目已具备招标条件，现对该项目进行公开招标。</w:t>
      </w:r>
    </w:p>
    <w:p>
      <w:pPr>
        <w:pStyle w:val="8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left"/>
        <w:textAlignment w:val="auto"/>
        <w:rPr>
          <w:rFonts w:cs="宋体"/>
        </w:rPr>
      </w:pPr>
      <w:bookmarkStart w:id="7" w:name="_Toc467238027"/>
      <w:bookmarkStart w:id="8" w:name="_Toc450565230"/>
      <w:bookmarkStart w:id="9" w:name="_Toc17739"/>
      <w:bookmarkStart w:id="10" w:name="_Toc309637063"/>
      <w:bookmarkStart w:id="11" w:name="_Toc282823806"/>
      <w:bookmarkStart w:id="12" w:name="_Toc282843632"/>
      <w:r>
        <w:rPr>
          <w:rFonts w:hint="eastAsia" w:cs="宋体"/>
        </w:rPr>
        <w:t>二、项目概况与招标范围</w:t>
      </w:r>
      <w:bookmarkEnd w:id="7"/>
      <w:bookmarkEnd w:id="8"/>
      <w:bookmarkEnd w:id="9"/>
      <w:bookmarkEnd w:id="10"/>
    </w:p>
    <w:p>
      <w:pPr>
        <w:pStyle w:val="8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highlight w:val="none"/>
          <w:lang w:val="en-US" w:eastAsia="zh-CN"/>
        </w:rPr>
      </w:pPr>
      <w:bookmarkStart w:id="13" w:name="_Toc309637064"/>
      <w:r>
        <w:rPr>
          <w:rFonts w:hint="eastAsia" w:ascii="宋体" w:hAnsi="宋体" w:eastAsia="宋体" w:cs="宋体"/>
          <w:b w:val="0"/>
          <w:highlight w:val="none"/>
          <w:lang w:eastAsia="zh-CN"/>
        </w:rPr>
        <w:t>2.1项目名称：吉林省高速公路</w:t>
      </w:r>
      <w:r>
        <w:rPr>
          <w:rFonts w:hint="eastAsia" w:ascii="宋体" w:hAnsi="宋体" w:eastAsia="宋体" w:cs="宋体"/>
          <w:b w:val="0"/>
          <w:highlight w:val="none"/>
          <w:lang w:val="en-US" w:eastAsia="zh-CN"/>
        </w:rPr>
        <w:t>集团有限公司车辆保险服务采购项目</w:t>
      </w:r>
    </w:p>
    <w:p>
      <w:pPr>
        <w:pStyle w:val="8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highlight w:val="none"/>
          <w:lang w:val="en-US" w:eastAsia="zh-CN"/>
        </w:rPr>
        <w:t>2.2服务期限：服务期限1年（即在合同签订后1年内提供车辆保险服务）。</w:t>
      </w:r>
    </w:p>
    <w:p>
      <w:pPr>
        <w:pStyle w:val="8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cs="宋体"/>
          <w:b w:val="0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highlight w:val="none"/>
          <w:lang w:eastAsia="zh-CN"/>
        </w:rPr>
        <w:t>2.3标段划分及</w:t>
      </w:r>
      <w:r>
        <w:rPr>
          <w:rFonts w:hint="eastAsia" w:cs="宋体"/>
          <w:b w:val="0"/>
          <w:highlight w:val="none"/>
          <w:lang w:eastAsia="zh-CN"/>
        </w:rPr>
        <w:t>招标范围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1"/>
          <w:szCs w:val="21"/>
          <w:highlight w:val="none"/>
          <w:lang w:val="en-US" w:eastAsia="zh-CN" w:bidi="ar-SA"/>
        </w:rPr>
        <w:t>本次招标内容：吉林省高速公路集团有限公司车辆保险服务采购。主要包括集团公司及所属分、子公司的车辆（含养护机械）委托保险公司，为车辆统一提供保险服务（含交强险、车船税、商业险（车损险、第三者责任险、附加医保外医疗费用责任险）等）。</w:t>
      </w:r>
    </w:p>
    <w:p>
      <w:pPr>
        <w:pStyle w:val="2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firstLine="420" w:firstLineChars="200"/>
        <w:textAlignment w:val="auto"/>
        <w:rPr>
          <w:rFonts w:hint="default" w:cs="宋体"/>
          <w:sz w:val="21"/>
          <w:szCs w:val="21"/>
          <w:highlight w:val="yellow"/>
          <w:shd w:val="clear" w:color="auto" w:fill="FFFFFF"/>
          <w:lang w:val="en-US" w:eastAsia="zh-CN"/>
        </w:rPr>
      </w:pPr>
      <w:r>
        <w:rPr>
          <w:rFonts w:hint="eastAsia" w:cs="宋体"/>
          <w:sz w:val="21"/>
          <w:szCs w:val="21"/>
          <w:highlight w:val="none"/>
          <w:shd w:val="clear" w:color="auto" w:fill="FFFFFF"/>
        </w:rPr>
        <w:t>本项目划分</w:t>
      </w:r>
      <w:r>
        <w:rPr>
          <w:rFonts w:hint="eastAsia" w:cs="宋体"/>
          <w:sz w:val="21"/>
          <w:szCs w:val="21"/>
          <w:highlight w:val="none"/>
          <w:shd w:val="clear" w:color="auto" w:fill="FFFFFF"/>
          <w:lang w:val="en-US" w:eastAsia="zh-CN"/>
        </w:rPr>
        <w:t>2</w:t>
      </w:r>
      <w:r>
        <w:rPr>
          <w:rFonts w:hint="eastAsia" w:cs="宋体"/>
          <w:sz w:val="21"/>
          <w:szCs w:val="21"/>
          <w:highlight w:val="none"/>
          <w:shd w:val="clear" w:color="auto" w:fill="FFFFFF"/>
        </w:rPr>
        <w:t>个合同包，</w:t>
      </w:r>
      <w:r>
        <w:rPr>
          <w:rFonts w:hint="eastAsia" w:cs="宋体"/>
          <w:sz w:val="21"/>
          <w:szCs w:val="21"/>
          <w:highlight w:val="none"/>
          <w:shd w:val="clear" w:color="auto" w:fill="FFFFFF"/>
          <w:lang w:val="en-US" w:eastAsia="zh-CN"/>
        </w:rPr>
        <w:t>即01合同包、02合同包（具体内容详见第五章服务需求）。</w:t>
      </w:r>
    </w:p>
    <w:tbl>
      <w:tblPr>
        <w:tblStyle w:val="27"/>
        <w:tblW w:w="8738" w:type="dxa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3282"/>
        <w:gridCol w:w="2287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1" w:type="dxa"/>
            <w:vMerge w:val="restart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default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标段</w:t>
            </w:r>
          </w:p>
        </w:tc>
        <w:tc>
          <w:tcPr>
            <w:tcW w:w="3282" w:type="dxa"/>
            <w:vMerge w:val="restart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default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车辆种类</w:t>
            </w:r>
          </w:p>
        </w:tc>
        <w:tc>
          <w:tcPr>
            <w:tcW w:w="2287" w:type="dxa"/>
            <w:vMerge w:val="restart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default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988" w:type="dxa"/>
            <w:vMerge w:val="restart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default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合计（台）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1" w:type="dxa"/>
            <w:vMerge w:val="continue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3282" w:type="dxa"/>
            <w:vMerge w:val="continue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287" w:type="dxa"/>
            <w:vMerge w:val="continue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vMerge w:val="restart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default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01合同包</w:t>
            </w:r>
          </w:p>
        </w:tc>
        <w:tc>
          <w:tcPr>
            <w:tcW w:w="3282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公务用车</w:t>
            </w:r>
          </w:p>
        </w:tc>
        <w:tc>
          <w:tcPr>
            <w:tcW w:w="2287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default" w:cs="宋体"/>
                <w:b w:val="0"/>
                <w:bCs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1988" w:type="dxa"/>
            <w:vMerge w:val="restart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default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vMerge w:val="continue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82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default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养护</w:t>
            </w:r>
            <w:r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用</w:t>
            </w:r>
            <w:r>
              <w:rPr>
                <w:rFonts w:hint="default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车</w:t>
            </w:r>
          </w:p>
        </w:tc>
        <w:tc>
          <w:tcPr>
            <w:tcW w:w="2287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default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1014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default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vMerge w:val="restart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default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02合同包</w:t>
            </w:r>
          </w:p>
        </w:tc>
        <w:tc>
          <w:tcPr>
            <w:tcW w:w="3282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  <w:t>公务用车</w:t>
            </w:r>
          </w:p>
        </w:tc>
        <w:tc>
          <w:tcPr>
            <w:tcW w:w="2287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default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252</w:t>
            </w:r>
          </w:p>
        </w:tc>
        <w:tc>
          <w:tcPr>
            <w:tcW w:w="1988" w:type="dxa"/>
            <w:vMerge w:val="restart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default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vMerge w:val="continue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highlight w:val="yellow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282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养护</w:t>
            </w:r>
            <w:r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用</w:t>
            </w:r>
            <w:r>
              <w:rPr>
                <w:rFonts w:hint="default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车</w:t>
            </w:r>
          </w:p>
        </w:tc>
        <w:tc>
          <w:tcPr>
            <w:tcW w:w="2287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default" w:cs="宋体"/>
                <w:sz w:val="21"/>
                <w:szCs w:val="21"/>
                <w:highlight w:val="yellow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734</w:t>
            </w:r>
          </w:p>
        </w:tc>
        <w:tc>
          <w:tcPr>
            <w:tcW w:w="1988" w:type="dxa"/>
            <w:vMerge w:val="continue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firstLine="0" w:firstLineChars="0"/>
              <w:jc w:val="center"/>
              <w:textAlignment w:val="auto"/>
              <w:rPr>
                <w:rFonts w:hint="default" w:cs="宋体"/>
                <w:sz w:val="21"/>
                <w:szCs w:val="21"/>
                <w:highlight w:val="yellow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2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0" w:afterAutospacing="0" w:line="360" w:lineRule="auto"/>
        <w:ind w:firstLine="420" w:firstLineChars="200"/>
        <w:textAlignment w:val="auto"/>
        <w:rPr>
          <w:rFonts w:hint="default" w:cs="宋体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sz w:val="21"/>
          <w:szCs w:val="21"/>
          <w:shd w:val="clear" w:color="auto" w:fill="FFFFFF"/>
          <w:lang w:val="en-US" w:eastAsia="zh-CN"/>
        </w:rPr>
        <w:t>注：本项目车辆数量为暂定数量，最终数量</w:t>
      </w:r>
      <w:r>
        <w:rPr>
          <w:rFonts w:hint="eastAsia" w:ascii="宋体" w:hAnsi="宋体" w:cs="黑体"/>
          <w:sz w:val="21"/>
          <w:szCs w:val="21"/>
        </w:rPr>
        <w:t>以实际投保为准</w:t>
      </w:r>
      <w:r>
        <w:rPr>
          <w:rFonts w:hint="eastAsia" w:cs="宋体"/>
          <w:sz w:val="21"/>
          <w:szCs w:val="21"/>
          <w:shd w:val="clear" w:color="auto" w:fill="FFFFFF"/>
          <w:lang w:val="en-US" w:eastAsia="zh-CN"/>
        </w:rPr>
        <w:t>。</w:t>
      </w:r>
    </w:p>
    <w:p>
      <w:pPr>
        <w:pStyle w:val="8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jc w:val="left"/>
        <w:textAlignment w:val="auto"/>
        <w:outlineLvl w:val="9"/>
        <w:rPr>
          <w:rFonts w:hint="eastAsia" w:eastAsia="宋体" w:cs="宋体"/>
          <w:b w:val="0"/>
          <w:highlight w:val="none"/>
          <w:lang w:val="en-US" w:eastAsia="zh-CN"/>
        </w:rPr>
      </w:pPr>
      <w:r>
        <w:rPr>
          <w:rFonts w:hint="eastAsia" w:cs="宋体"/>
          <w:b w:val="0"/>
          <w:highlight w:val="none"/>
          <w:lang w:val="en-US" w:eastAsia="zh-CN"/>
        </w:rPr>
        <w:t>2.4服务质量标准：中标后招标人针对承保单位的承保能力及服务质量进行考评，考评不合格者，招标人有权终止合同。</w:t>
      </w:r>
    </w:p>
    <w:p>
      <w:pPr>
        <w:pStyle w:val="8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left"/>
        <w:textAlignment w:val="auto"/>
        <w:rPr>
          <w:rFonts w:cs="宋体"/>
          <w:highlight w:val="none"/>
        </w:rPr>
      </w:pPr>
      <w:bookmarkStart w:id="14" w:name="_Toc467238034"/>
      <w:bookmarkStart w:id="15" w:name="_Toc450565237"/>
      <w:bookmarkStart w:id="16" w:name="_Toc30112"/>
      <w:r>
        <w:rPr>
          <w:rFonts w:hint="eastAsia" w:cs="宋体"/>
          <w:highlight w:val="none"/>
        </w:rPr>
        <w:t>三、投标人资格要求</w:t>
      </w:r>
      <w:bookmarkEnd w:id="11"/>
      <w:bookmarkEnd w:id="12"/>
      <w:bookmarkEnd w:id="13"/>
      <w:bookmarkEnd w:id="14"/>
      <w:bookmarkEnd w:id="15"/>
      <w:bookmarkEnd w:id="16"/>
    </w:p>
    <w:p>
      <w:pPr>
        <w:pStyle w:val="8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jc w:val="left"/>
        <w:textAlignment w:val="auto"/>
        <w:outlineLvl w:val="9"/>
        <w:rPr>
          <w:rFonts w:hint="eastAsia" w:cs="宋体"/>
          <w:b w:val="0"/>
          <w:highlight w:val="none"/>
        </w:rPr>
      </w:pPr>
      <w:r>
        <w:rPr>
          <w:rFonts w:hint="eastAsia" w:cs="宋体"/>
          <w:b w:val="0"/>
          <w:highlight w:val="none"/>
          <w:lang w:val="en-US" w:eastAsia="zh-CN"/>
        </w:rPr>
        <w:t>3.1</w:t>
      </w:r>
      <w:r>
        <w:rPr>
          <w:rFonts w:hint="eastAsia" w:cs="宋体"/>
          <w:b w:val="0"/>
          <w:highlight w:val="none"/>
        </w:rPr>
        <w:t>投标人须具有独立承担民事责任的能力、具有良好的商业信誉和健全的财务会计制度、有依法缴纳税收和社会保障资金的良好记录、参加本招标活动前三年内，在经营活动中没有重大违法记录。</w:t>
      </w:r>
    </w:p>
    <w:p>
      <w:pPr>
        <w:pStyle w:val="8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jc w:val="left"/>
        <w:textAlignment w:val="auto"/>
        <w:outlineLvl w:val="9"/>
        <w:rPr>
          <w:rFonts w:hint="eastAsia" w:cs="宋体"/>
          <w:b w:val="0"/>
          <w:highlight w:val="none"/>
        </w:rPr>
      </w:pPr>
      <w:r>
        <w:rPr>
          <w:rFonts w:hint="eastAsia" w:cs="宋体"/>
          <w:b w:val="0"/>
          <w:highlight w:val="none"/>
          <w:lang w:val="en-US" w:eastAsia="zh-CN"/>
        </w:rPr>
        <w:t>3.2</w:t>
      </w:r>
      <w:r>
        <w:rPr>
          <w:rFonts w:hint="eastAsia" w:cs="宋体"/>
          <w:b w:val="0"/>
          <w:highlight w:val="none"/>
        </w:rPr>
        <w:t>投标人须是经中国银行保险监督管理委员会</w:t>
      </w:r>
      <w:r>
        <w:rPr>
          <w:rFonts w:hint="eastAsia" w:cs="宋体"/>
          <w:b w:val="0"/>
          <w:highlight w:val="none"/>
          <w:lang w:eastAsia="zh-CN"/>
        </w:rPr>
        <w:t>及其派出机构</w:t>
      </w:r>
      <w:r>
        <w:rPr>
          <w:rFonts w:hint="eastAsia" w:cs="宋体"/>
          <w:b w:val="0"/>
          <w:highlight w:val="none"/>
        </w:rPr>
        <w:t>批准的</w:t>
      </w:r>
      <w:r>
        <w:rPr>
          <w:rFonts w:hint="eastAsia" w:cs="宋体"/>
          <w:b w:val="0"/>
          <w:highlight w:val="none"/>
          <w:lang w:eastAsia="zh-CN"/>
        </w:rPr>
        <w:t>保险许可证</w:t>
      </w:r>
      <w:r>
        <w:rPr>
          <w:rFonts w:hint="eastAsia" w:cs="宋体"/>
          <w:b w:val="0"/>
          <w:highlight w:val="none"/>
        </w:rPr>
        <w:t>，能够</w:t>
      </w:r>
      <w:r>
        <w:rPr>
          <w:rFonts w:hint="eastAsia" w:cs="宋体"/>
          <w:b w:val="0"/>
          <w:highlight w:val="none"/>
          <w:lang w:eastAsia="zh-CN"/>
        </w:rPr>
        <w:t>依法</w:t>
      </w:r>
      <w:r>
        <w:rPr>
          <w:rFonts w:hint="eastAsia" w:cs="宋体"/>
          <w:b w:val="0"/>
          <w:highlight w:val="none"/>
        </w:rPr>
        <w:t>开展机动车辆保险业务。</w:t>
      </w:r>
    </w:p>
    <w:p>
      <w:pPr>
        <w:pStyle w:val="8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jc w:val="left"/>
        <w:textAlignment w:val="auto"/>
        <w:outlineLvl w:val="9"/>
        <w:rPr>
          <w:rFonts w:hint="eastAsia" w:cs="宋体"/>
          <w:b w:val="0"/>
          <w:highlight w:val="none"/>
        </w:rPr>
      </w:pPr>
      <w:r>
        <w:rPr>
          <w:rFonts w:hint="eastAsia" w:cs="宋体"/>
          <w:b w:val="0"/>
          <w:highlight w:val="none"/>
          <w:lang w:val="en-US" w:eastAsia="zh-CN"/>
        </w:rPr>
        <w:t>3.3</w:t>
      </w:r>
      <w:r>
        <w:rPr>
          <w:rFonts w:hint="eastAsia" w:cs="宋体"/>
          <w:b w:val="0"/>
          <w:highlight w:val="none"/>
        </w:rPr>
        <w:t>投标人在近三年内(20</w:t>
      </w:r>
      <w:r>
        <w:rPr>
          <w:rFonts w:hint="eastAsia" w:cs="宋体"/>
          <w:b w:val="0"/>
          <w:highlight w:val="none"/>
          <w:lang w:val="en-US" w:eastAsia="zh-CN"/>
        </w:rPr>
        <w:t>20</w:t>
      </w:r>
      <w:r>
        <w:rPr>
          <w:rFonts w:hint="eastAsia" w:cs="宋体"/>
          <w:b w:val="0"/>
          <w:highlight w:val="none"/>
        </w:rPr>
        <w:t>年1月至今，以签订合同时间为准)至少承保过1项企事业</w:t>
      </w:r>
      <w:r>
        <w:rPr>
          <w:rFonts w:hint="eastAsia" w:cs="宋体"/>
          <w:b w:val="0"/>
          <w:highlight w:val="none"/>
          <w:lang w:eastAsia="zh-CN"/>
        </w:rPr>
        <w:t>单位</w:t>
      </w:r>
      <w:r>
        <w:rPr>
          <w:rFonts w:hint="eastAsia" w:cs="宋体"/>
          <w:b w:val="0"/>
          <w:highlight w:val="none"/>
        </w:rPr>
        <w:t>或政府机关的车辆保险服务业绩，并在人员、信誉、资金等方面具备相应的能力。</w:t>
      </w:r>
    </w:p>
    <w:p>
      <w:pPr>
        <w:pStyle w:val="8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jc w:val="left"/>
        <w:textAlignment w:val="auto"/>
        <w:outlineLvl w:val="9"/>
        <w:rPr>
          <w:rFonts w:hint="eastAsia" w:cs="宋体"/>
          <w:b w:val="0"/>
          <w:highlight w:val="none"/>
          <w:lang w:val="en-US" w:eastAsia="zh-CN"/>
        </w:rPr>
      </w:pPr>
      <w:r>
        <w:rPr>
          <w:rFonts w:hint="eastAsia" w:cs="宋体"/>
          <w:b w:val="0"/>
          <w:highlight w:val="none"/>
          <w:lang w:val="en-US" w:eastAsia="zh-CN"/>
        </w:rPr>
        <w:t>3.4在“信用中国”网站中被列入失信被执行人名单的投标人，不得参加投标。</w:t>
      </w:r>
    </w:p>
    <w:p>
      <w:pPr>
        <w:pStyle w:val="8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jc w:val="left"/>
        <w:textAlignment w:val="auto"/>
        <w:outlineLvl w:val="9"/>
        <w:rPr>
          <w:rFonts w:hint="eastAsia" w:cs="宋体"/>
          <w:b w:val="0"/>
          <w:highlight w:val="none"/>
          <w:lang w:val="en-US" w:eastAsia="zh-CN"/>
        </w:rPr>
      </w:pPr>
      <w:r>
        <w:rPr>
          <w:rFonts w:hint="eastAsia" w:cs="宋体"/>
          <w:b w:val="0"/>
          <w:highlight w:val="none"/>
        </w:rPr>
        <w:t>3.</w:t>
      </w:r>
      <w:r>
        <w:rPr>
          <w:rFonts w:hint="eastAsia" w:cs="宋体"/>
          <w:b w:val="0"/>
          <w:highlight w:val="none"/>
          <w:lang w:val="en-US" w:eastAsia="zh-CN"/>
        </w:rPr>
        <w:t>5同一保险公司只允许其自身或所属的一家分（支）公司参与投标，由省级以下分（支）公司参与的需提供省公司针对本项目的唯一授权。</w:t>
      </w:r>
    </w:p>
    <w:p>
      <w:pPr>
        <w:pStyle w:val="8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jc w:val="left"/>
        <w:textAlignment w:val="auto"/>
        <w:outlineLvl w:val="9"/>
        <w:rPr>
          <w:rFonts w:hint="eastAsia" w:cs="宋体"/>
          <w:b w:val="0"/>
          <w:highlight w:val="none"/>
        </w:rPr>
      </w:pPr>
      <w:r>
        <w:rPr>
          <w:rFonts w:hint="eastAsia" w:cs="宋体"/>
          <w:b w:val="0"/>
          <w:highlight w:val="none"/>
          <w:lang w:val="en-US" w:eastAsia="zh-CN"/>
        </w:rPr>
        <w:t>3.6</w:t>
      </w:r>
      <w:r>
        <w:rPr>
          <w:rFonts w:hint="eastAsia" w:cs="宋体"/>
          <w:b w:val="0"/>
          <w:highlight w:val="none"/>
        </w:rPr>
        <w:t>本项目不接受联合体投标。</w:t>
      </w:r>
    </w:p>
    <w:p>
      <w:pPr>
        <w:pStyle w:val="8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/>
        <w:jc w:val="left"/>
        <w:textAlignment w:val="auto"/>
        <w:outlineLvl w:val="9"/>
        <w:rPr>
          <w:rFonts w:hint="eastAsia" w:cs="宋体"/>
          <w:b w:val="0"/>
          <w:highlight w:val="none"/>
        </w:rPr>
      </w:pPr>
      <w:r>
        <w:rPr>
          <w:rFonts w:hint="eastAsia" w:cs="宋体"/>
          <w:b w:val="0"/>
          <w:highlight w:val="none"/>
          <w:lang w:val="en-US" w:eastAsia="zh-CN"/>
        </w:rPr>
        <w:t>3.7</w:t>
      </w:r>
      <w:r>
        <w:rPr>
          <w:rFonts w:hint="eastAsia" w:cs="宋体"/>
          <w:b w:val="0"/>
          <w:highlight w:val="none"/>
        </w:rPr>
        <w:t>每个投标人可对</w:t>
      </w:r>
      <w:r>
        <w:rPr>
          <w:rFonts w:hint="eastAsia" w:cs="宋体"/>
          <w:b w:val="0"/>
          <w:highlight w:val="none"/>
          <w:lang w:val="en-US" w:eastAsia="zh-CN"/>
        </w:rPr>
        <w:t>2</w:t>
      </w:r>
      <w:r>
        <w:rPr>
          <w:rFonts w:hint="eastAsia" w:cs="宋体"/>
          <w:b w:val="0"/>
          <w:highlight w:val="none"/>
        </w:rPr>
        <w:t>个</w:t>
      </w:r>
      <w:r>
        <w:rPr>
          <w:rFonts w:hint="eastAsia" w:cs="宋体"/>
          <w:b w:val="0"/>
          <w:highlight w:val="none"/>
          <w:lang w:val="en-US" w:eastAsia="zh-CN"/>
        </w:rPr>
        <w:t>标段</w:t>
      </w:r>
      <w:r>
        <w:rPr>
          <w:rFonts w:hint="eastAsia" w:cs="宋体"/>
          <w:b w:val="0"/>
          <w:highlight w:val="none"/>
        </w:rPr>
        <w:t>同时投标</w:t>
      </w:r>
      <w:r>
        <w:rPr>
          <w:rFonts w:hint="eastAsia" w:cs="宋体"/>
          <w:b w:val="0"/>
          <w:highlight w:val="none"/>
          <w:lang w:eastAsia="zh-CN"/>
        </w:rPr>
        <w:t>，最多</w:t>
      </w:r>
      <w:r>
        <w:rPr>
          <w:rFonts w:hint="eastAsia" w:cs="宋体"/>
          <w:b w:val="0"/>
          <w:highlight w:val="none"/>
          <w:lang w:val="en-US" w:eastAsia="zh-CN"/>
        </w:rPr>
        <w:t>可以中2个标段。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四、评标办法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b w:val="0"/>
          <w:bCs w:val="0"/>
          <w:szCs w:val="21"/>
        </w:rPr>
        <w:t>综合评估法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8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cs="宋体"/>
          <w:b/>
          <w:bCs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评标办法前附表</w:t>
      </w:r>
      <w:bookmarkStart w:id="17" w:name="_Toc4286"/>
      <w:bookmarkStart w:id="18" w:name="_Toc101035180"/>
      <w:bookmarkStart w:id="19" w:name="_Toc26653"/>
      <w:bookmarkStart w:id="20" w:name="_Toc21385"/>
    </w:p>
    <w:p>
      <w:pPr>
        <w:pStyle w:val="87"/>
      </w:pPr>
      <w:bookmarkStart w:id="21" w:name="_Toc444798240"/>
      <w:bookmarkStart w:id="22" w:name="_Toc467238061"/>
      <w:bookmarkStart w:id="23" w:name="_Toc445469271"/>
      <w:bookmarkStart w:id="24" w:name="_Toc31433"/>
      <w:r>
        <w:rPr>
          <w:rFonts w:hint="eastAsia"/>
        </w:rPr>
        <w:t>1.</w:t>
      </w:r>
      <w:r>
        <w:t>初步评审</w:t>
      </w:r>
      <w:bookmarkEnd w:id="21"/>
      <w:bookmarkEnd w:id="22"/>
      <w:bookmarkEnd w:id="23"/>
      <w:bookmarkEnd w:id="24"/>
    </w:p>
    <w:tbl>
      <w:tblPr>
        <w:tblStyle w:val="26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073"/>
        <w:gridCol w:w="2092"/>
        <w:gridCol w:w="5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9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bCs w:val="0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  <w:lang w:val="zh-CN"/>
              </w:rPr>
              <w:t>条款号</w:t>
            </w: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bCs w:val="0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  <w:lang w:val="zh-CN"/>
              </w:rPr>
              <w:t>评审因素</w:t>
            </w:r>
          </w:p>
        </w:tc>
        <w:tc>
          <w:tcPr>
            <w:tcW w:w="5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bCs w:val="0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  <w:lang w:val="zh-CN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tblHeader/>
        </w:trPr>
        <w:tc>
          <w:tcPr>
            <w:tcW w:w="8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</w:p>
        </w:tc>
        <w:tc>
          <w:tcPr>
            <w:tcW w:w="107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highlight w:val="none"/>
              </w:rPr>
              <w:t>评标方法</w:t>
            </w: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中标候选人</w:t>
            </w:r>
          </w:p>
          <w:p>
            <w:pPr>
              <w:snapToGrid w:val="0"/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szCs w:val="21"/>
                <w:highlight w:val="none"/>
              </w:rPr>
              <w:t>排序方法</w:t>
            </w:r>
          </w:p>
        </w:tc>
        <w:tc>
          <w:tcPr>
            <w:tcW w:w="5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napToGrid w:val="0"/>
              <w:ind w:left="0" w:leftChars="0" w:firstLine="0" w:firstLineChars="0"/>
              <w:jc w:val="left"/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评标委员会对满足招标文件实质性要求的投标文件，按照本章第2.2 款规定的评分标准进行打分，并按得分由高到低顺序推荐中标候选人，或根据招标人授权直接确定中标人，但投标报价低于其成本的除外。综合评分相等时，以投标报价低的优先；投标报价也相等的，以技术得分高的优先；如果技术得分也相等，以商务得分高的优先，如果商务得分也相等，由评标委员会举手表决确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2.1.1</w:t>
            </w:r>
          </w:p>
        </w:tc>
        <w:tc>
          <w:tcPr>
            <w:tcW w:w="10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  <w:t>形式评审标准</w:t>
            </w: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  <w:t>投标人名称</w:t>
            </w:r>
          </w:p>
        </w:tc>
        <w:tc>
          <w:tcPr>
            <w:tcW w:w="5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与报名时候的投标人一致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  <w:t>投标函签字盖章</w:t>
            </w:r>
          </w:p>
        </w:tc>
        <w:tc>
          <w:tcPr>
            <w:tcW w:w="5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有法定代表人（单位负责人）或其委托代理人签字或加盖单位章。由法定代表人（单位负责人）签字的，应附法定代表人（单位负责人）身份证明，由代理人签字的，应附授权委托书，身份证明或授权委托书应符合第六章“投标文件格式”的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  <w:t>投标文件格式</w:t>
            </w:r>
          </w:p>
        </w:tc>
        <w:tc>
          <w:tcPr>
            <w:tcW w:w="5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  <w:t>符合“投标文件格式”的要求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9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2.1.2</w:t>
            </w:r>
          </w:p>
        </w:tc>
        <w:tc>
          <w:tcPr>
            <w:tcW w:w="107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  <w:t>资格评审标准</w:t>
            </w: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  <w:t>营业执照</w:t>
            </w:r>
          </w:p>
        </w:tc>
        <w:tc>
          <w:tcPr>
            <w:tcW w:w="5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  <w:t>具备有效的营业执照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textAlignment w:val="auto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</w:rPr>
              <w:t>【</w:t>
            </w:r>
            <w:r>
              <w:rPr>
                <w:rFonts w:hint="eastAsia" w:ascii="宋体" w:hAnsi="宋体"/>
                <w:b/>
                <w:bCs w:val="0"/>
              </w:rPr>
              <w:t>标书内附清晰的扫描件</w:t>
            </w:r>
            <w:r>
              <w:rPr>
                <w:rFonts w:hint="eastAsia" w:cs="宋体"/>
                <w:b/>
                <w:bCs w:val="0"/>
                <w:szCs w:val="21"/>
                <w:highlight w:val="none"/>
                <w:shd w:val="clear" w:color="auto" w:fill="FFFFFF"/>
              </w:rPr>
              <w:t>（加盖公章）</w:t>
            </w:r>
            <w:r>
              <w:rPr>
                <w:rFonts w:hint="eastAsia" w:ascii="宋体" w:hAnsi="宋体"/>
                <w:bCs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highlight w:val="none"/>
                <w:lang w:val="en-US" w:eastAsia="zh-CN"/>
              </w:rPr>
              <w:t>资质</w:t>
            </w:r>
          </w:p>
        </w:tc>
        <w:tc>
          <w:tcPr>
            <w:tcW w:w="5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textAlignment w:val="auto"/>
              <w:rPr>
                <w:rFonts w:hint="eastAsia" w:ascii="宋体" w:hAnsi="宋体"/>
                <w:bCs/>
                <w:highlight w:val="none"/>
              </w:rPr>
            </w:pPr>
            <w:r>
              <w:rPr>
                <w:rFonts w:hint="eastAsia" w:cs="宋体"/>
                <w:b w:val="0"/>
                <w:highlight w:val="none"/>
              </w:rPr>
              <w:t>投标人须是经中国银行保险监督管理委员会</w:t>
            </w:r>
            <w:r>
              <w:rPr>
                <w:rFonts w:hint="eastAsia" w:cs="宋体"/>
                <w:b w:val="0"/>
                <w:highlight w:val="none"/>
                <w:lang w:eastAsia="zh-CN"/>
              </w:rPr>
              <w:t>及其派出机构</w:t>
            </w:r>
            <w:r>
              <w:rPr>
                <w:rFonts w:hint="eastAsia" w:cs="宋体"/>
                <w:b w:val="0"/>
                <w:highlight w:val="none"/>
              </w:rPr>
              <w:t>批准的</w:t>
            </w:r>
            <w:r>
              <w:rPr>
                <w:rFonts w:hint="eastAsia" w:cs="宋体"/>
                <w:b w:val="0"/>
                <w:highlight w:val="none"/>
                <w:lang w:eastAsia="zh-CN"/>
              </w:rPr>
              <w:t>保险许可证</w:t>
            </w:r>
            <w:r>
              <w:rPr>
                <w:rFonts w:hint="eastAsia" w:cs="宋体"/>
                <w:b w:val="0"/>
                <w:highlight w:val="none"/>
              </w:rPr>
              <w:t>，能够</w:t>
            </w:r>
            <w:r>
              <w:rPr>
                <w:rFonts w:hint="eastAsia" w:cs="宋体"/>
                <w:b w:val="0"/>
                <w:highlight w:val="none"/>
                <w:lang w:eastAsia="zh-CN"/>
              </w:rPr>
              <w:t>依法</w:t>
            </w:r>
            <w:r>
              <w:rPr>
                <w:rFonts w:hint="eastAsia" w:cs="宋体"/>
                <w:b w:val="0"/>
                <w:highlight w:val="none"/>
              </w:rPr>
              <w:t>开展机动车辆保险业务。</w:t>
            </w:r>
            <w:r>
              <w:rPr>
                <w:rFonts w:hint="eastAsia" w:ascii="宋体" w:hAnsi="宋体"/>
                <w:b/>
                <w:bCs w:val="0"/>
                <w:highlight w:val="none"/>
              </w:rPr>
              <w:t>【标书内附清晰的</w:t>
            </w:r>
            <w:r>
              <w:rPr>
                <w:rFonts w:hint="eastAsia" w:ascii="微软雅黑" w:hAnsi="微软雅黑"/>
                <w:b/>
                <w:bCs w:val="0"/>
                <w:highlight w:val="none"/>
              </w:rPr>
              <w:t>保险许可证</w:t>
            </w:r>
            <w:r>
              <w:rPr>
                <w:rFonts w:hint="eastAsia" w:ascii="宋体" w:hAnsi="宋体"/>
                <w:b/>
                <w:bCs w:val="0"/>
                <w:highlight w:val="none"/>
              </w:rPr>
              <w:t>扫描件（加盖公章）】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业绩</w:t>
            </w:r>
          </w:p>
        </w:tc>
        <w:tc>
          <w:tcPr>
            <w:tcW w:w="5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投标人在近三年内(20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年1月至今，以签订合同时间为准)至少承保过1项企事业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或政府机关的车辆保险服务业绩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</w:rPr>
              <w:t>【标书内附清晰的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合同或中标通知书</w:t>
            </w:r>
            <w:r>
              <w:rPr>
                <w:rFonts w:hint="eastAsia" w:ascii="宋体" w:hAnsi="宋体"/>
                <w:b/>
                <w:bCs w:val="0"/>
              </w:rPr>
              <w:t>扫描件（加盖公章）】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具有健全的财务会计制</w:t>
            </w:r>
          </w:p>
        </w:tc>
        <w:tc>
          <w:tcPr>
            <w:tcW w:w="5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提供了经审计的202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年度财务报告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有依法缴纳税收和社会保障资金的良好记录</w:t>
            </w:r>
          </w:p>
        </w:tc>
        <w:tc>
          <w:tcPr>
            <w:tcW w:w="5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1.提供近六个月中至少一个月的缴纳税收的凭证（银行出具的缴税凭证或税务机关出具的证明的复印件，并加盖投标人公章）或免税证明（复印件加盖投标人公章）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2. 提供近六个月中至少一个月的社会保障资金缴纳记录（专用收据或社会保险缴纳清单）或免缴纳证明（复印件加盖投标人公章）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  <w:t>信誉</w:t>
            </w:r>
          </w:p>
        </w:tc>
        <w:tc>
          <w:tcPr>
            <w:tcW w:w="5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未被“信用中国”网站列入失信</w:t>
            </w:r>
            <w:r>
              <w:rPr>
                <w:rFonts w:hint="eastAsia"/>
              </w:rPr>
              <w:t>被执行人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szCs w:val="21"/>
              </w:rPr>
              <w:t>不存在禁止投标的情形</w:t>
            </w:r>
          </w:p>
        </w:tc>
        <w:tc>
          <w:tcPr>
            <w:tcW w:w="5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firstLine="0" w:firstLineChars="0"/>
              <w:rPr>
                <w:rFonts w:hint="eastAsia"/>
                <w:lang w:val="zh-CN"/>
              </w:rPr>
            </w:pPr>
            <w:r>
              <w:rPr>
                <w:rFonts w:ascii="宋体" w:hAnsi="宋体"/>
                <w:szCs w:val="21"/>
              </w:rPr>
              <w:t>不存在第二章“投标人须知”第1.4.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Cs w:val="21"/>
              </w:rPr>
              <w:t>项规定的任何一种情形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其他要求</w:t>
            </w:r>
          </w:p>
        </w:tc>
        <w:tc>
          <w:tcPr>
            <w:tcW w:w="5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firstLine="0" w:firstLineChars="0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highlight w:val="none"/>
                <w:lang w:val="en-US" w:eastAsia="zh-CN"/>
              </w:rPr>
              <w:t>同一保险公司只允许其自身或所属的一家分（支）公司参与投标，由省级以下分（支）公司参与的需提供省公司针对本项目的唯一授权。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9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bCs/>
                <w:color w:val="000000"/>
                <w:szCs w:val="21"/>
                <w:lang w:val="zh-CN"/>
              </w:rPr>
              <w:t>.1.3</w:t>
            </w:r>
          </w:p>
        </w:tc>
        <w:tc>
          <w:tcPr>
            <w:tcW w:w="107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  <w:t>响应性评审标准</w:t>
            </w: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zh-CN"/>
              </w:rPr>
              <w:t>投标内容</w:t>
            </w:r>
          </w:p>
        </w:tc>
        <w:tc>
          <w:tcPr>
            <w:tcW w:w="5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both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符合招标文件要求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服务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期限</w:t>
            </w:r>
          </w:p>
        </w:tc>
        <w:tc>
          <w:tcPr>
            <w:tcW w:w="5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both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服务期限1年（</w:t>
            </w:r>
            <w:r>
              <w:rPr>
                <w:rFonts w:hint="eastAsia" w:ascii="Times New Roman" w:hAnsi="Times New Roman" w:eastAsia="宋体" w:cs="宋体"/>
                <w:b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即在合同签订后1年内提供车辆保险服务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服务要求</w:t>
            </w:r>
          </w:p>
        </w:tc>
        <w:tc>
          <w:tcPr>
            <w:tcW w:w="5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优质服务，符合现行的国家及相关行业相关法律法规的要求</w:t>
            </w: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投标有效期</w:t>
            </w:r>
          </w:p>
        </w:tc>
        <w:tc>
          <w:tcPr>
            <w:tcW w:w="5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投标截止之日起90天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8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107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 w:cs="宋体"/>
                <w:bCs/>
                <w:color w:val="000000"/>
                <w:szCs w:val="21"/>
                <w:lang w:val="zh-CN"/>
              </w:rPr>
            </w:pPr>
          </w:p>
        </w:tc>
        <w:tc>
          <w:tcPr>
            <w:tcW w:w="209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ascii="宋体" w:hAnsi="宋体"/>
                <w:szCs w:val="21"/>
              </w:rPr>
              <w:t>权利义务</w:t>
            </w:r>
          </w:p>
        </w:tc>
        <w:tc>
          <w:tcPr>
            <w:tcW w:w="5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符合第四章“合同条款及格式”中的实质性要求和条件</w:t>
            </w:r>
          </w:p>
        </w:tc>
      </w:tr>
    </w:tbl>
    <w:p>
      <w:pPr>
        <w:ind w:firstLine="420"/>
        <w:rPr>
          <w:rFonts w:ascii="宋体" w:hAnsi="宋体"/>
        </w:rPr>
      </w:pPr>
    </w:p>
    <w:p>
      <w:pPr>
        <w:pStyle w:val="87"/>
        <w:ind w:left="420" w:firstLine="0" w:firstLineChars="0"/>
      </w:pPr>
      <w:r>
        <w:br w:type="page"/>
      </w:r>
      <w:bookmarkStart w:id="25" w:name="_Toc11446"/>
      <w:bookmarkStart w:id="26" w:name="_Toc467238062"/>
      <w:r>
        <w:rPr>
          <w:rFonts w:hint="eastAsia"/>
        </w:rPr>
        <w:t>2.详细评审</w:t>
      </w:r>
      <w:bookmarkEnd w:id="25"/>
      <w:bookmarkEnd w:id="26"/>
    </w:p>
    <w:tbl>
      <w:tblPr>
        <w:tblStyle w:val="26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187"/>
        <w:gridCol w:w="2140"/>
        <w:gridCol w:w="5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条款号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条款内容</w:t>
            </w:r>
          </w:p>
        </w:tc>
        <w:tc>
          <w:tcPr>
            <w:tcW w:w="5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编列内容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2.2.1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分值构成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(总分 100 分)</w:t>
            </w:r>
          </w:p>
        </w:tc>
        <w:tc>
          <w:tcPr>
            <w:tcW w:w="5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商务部分：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/>
                <w:szCs w:val="21"/>
                <w:highlight w:val="none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技术部分：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/>
                <w:szCs w:val="21"/>
                <w:highlight w:val="none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left"/>
              <w:textAlignment w:val="auto"/>
            </w:pPr>
            <w:r>
              <w:rPr>
                <w:rFonts w:hint="eastAsia" w:ascii="宋体" w:hAnsi="宋体"/>
                <w:szCs w:val="21"/>
                <w:highlight w:val="none"/>
              </w:rPr>
              <w:t>投标报价：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  <w:highlight w:val="none"/>
              </w:rPr>
              <w:t>2.2.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评标基准价计算方法</w:t>
            </w:r>
          </w:p>
        </w:tc>
        <w:tc>
          <w:tcPr>
            <w:tcW w:w="5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宋体" w:hAnsi="宋体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将通过初步评审的所有投标人折扣系数最低报价作为评标基准价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2.2.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21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投标报价的偏差率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计算公式</w:t>
            </w:r>
          </w:p>
        </w:tc>
        <w:tc>
          <w:tcPr>
            <w:tcW w:w="51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偏差率=100%×（投标人评标价－评标基准价）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/评标基准价（保留2位小数）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条款号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评分因素及分值</w:t>
            </w:r>
          </w:p>
        </w:tc>
        <w:tc>
          <w:tcPr>
            <w:tcW w:w="5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2.2.4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(1)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商务部分评分标准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/>
                <w:szCs w:val="21"/>
                <w:highlight w:val="none"/>
              </w:rPr>
              <w:t>分）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（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分）</w:t>
            </w:r>
          </w:p>
        </w:tc>
        <w:tc>
          <w:tcPr>
            <w:tcW w:w="5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满足最低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资格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要求得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分，每增加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一项企事业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或政府机关车辆承保业绩加1分，最多加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分。（相同业主单位的业绩算1项。）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</w:rPr>
              <w:t>【标书内附清晰的</w:t>
            </w: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合同或中标通知书</w:t>
            </w:r>
            <w:r>
              <w:rPr>
                <w:rFonts w:hint="eastAsia" w:ascii="宋体" w:hAnsi="宋体"/>
                <w:b/>
                <w:bCs w:val="0"/>
              </w:rPr>
              <w:t>扫描件（加盖公章）】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增值服务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5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投标人需提供的服务丰富、合理（如免费服务、优惠服务的相关项目），评标委员会根据所有投标人提供的增值服务横向对比，最低得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分，最高得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法人机构经营评价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Cs w:val="21"/>
              </w:rPr>
              <w:t>分）</w:t>
            </w:r>
          </w:p>
        </w:tc>
        <w:tc>
          <w:tcPr>
            <w:tcW w:w="5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根据投标单位总公司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2021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年度法人机构经营评价进行评分：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A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级10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分；B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级8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分；C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级6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分；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D级0分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（以中国保险行业协会公布的《关于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2021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年度保险公司法人机构经营评价结果的公告》为准）。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2.2.4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(2)</w:t>
            </w:r>
          </w:p>
        </w:tc>
        <w:tc>
          <w:tcPr>
            <w:tcW w:w="11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技术部分评分标准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/>
                <w:szCs w:val="21"/>
                <w:highlight w:val="none"/>
              </w:rPr>
              <w:t>分）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5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投标人能提供完整成熟的保险服务方案：承保方案、对招标项目建立绿色</w:t>
            </w:r>
            <w:r>
              <w:rPr>
                <w:rFonts w:hint="eastAsia" w:ascii="宋体" w:hAnsi="宋体"/>
                <w:szCs w:val="21"/>
                <w:highlight w:val="none"/>
              </w:rPr>
              <w:t>理赔通道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服务团队、</w:t>
            </w:r>
            <w:r>
              <w:rPr>
                <w:rFonts w:hint="eastAsia" w:ascii="宋体" w:hAnsi="宋体"/>
                <w:szCs w:val="21"/>
              </w:rPr>
              <w:t>保单送达、变更及时性、设立回访制度等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Cs w:val="21"/>
              </w:rPr>
              <w:t>非常合理得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分，一般得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分，其他得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5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根据投标人确认报案后，到达事故现场的响应时间进行评审评分。优得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分，一般得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分，其他得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理赔方案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5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理赔服务计划（索赔流程、索赔手续、理赔响应时间、赔付时限、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自主理赔、查勘人员数量、查勘车辆数量、</w:t>
            </w:r>
            <w:r>
              <w:rPr>
                <w:rFonts w:hint="eastAsia" w:ascii="宋体" w:hAnsi="宋体"/>
                <w:szCs w:val="21"/>
              </w:rPr>
              <w:t>业务网点的分布情况、预（垫）赔付承诺、应急处置）方面进行评审评分。优得得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分，一般得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</w:rPr>
              <w:t>分，其他得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其他理赔服务承诺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5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对其他理赔服务承诺的针对性、可行性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实质性</w:t>
            </w:r>
            <w:r>
              <w:rPr>
                <w:rFonts w:hint="eastAsia" w:ascii="宋体" w:hAnsi="宋体"/>
                <w:szCs w:val="21"/>
              </w:rPr>
              <w:t>进行评价。优得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分，一般得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分，其他得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9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2.2.4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（10分）</w:t>
            </w:r>
          </w:p>
        </w:tc>
        <w:tc>
          <w:tcPr>
            <w:tcW w:w="5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评标价=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评标基准价，得满分10分，评标价每高于评标基准价一个百分点扣0.1分。</w:t>
            </w:r>
          </w:p>
        </w:tc>
      </w:tr>
    </w:tbl>
    <w:p>
      <w:pPr>
        <w:tabs>
          <w:tab w:val="left" w:pos="883"/>
        </w:tabs>
        <w:spacing w:line="560" w:lineRule="exact"/>
        <w:ind w:firstLine="0" w:firstLineChars="0"/>
        <w:jc w:val="both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五、 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服务需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求</w:t>
      </w:r>
      <w:bookmarkEnd w:id="17"/>
      <w:bookmarkEnd w:id="18"/>
      <w:bookmarkEnd w:id="19"/>
      <w:bookmarkEnd w:id="20"/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/>
          <w:b/>
          <w:bCs/>
          <w:szCs w:val="21"/>
          <w:lang w:val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（一）</w:t>
      </w:r>
      <w:r>
        <w:rPr>
          <w:rFonts w:hint="eastAsia" w:ascii="宋体" w:hAnsi="宋体"/>
          <w:b/>
          <w:bCs/>
          <w:szCs w:val="21"/>
          <w:lang w:val="zh-CN"/>
        </w:rPr>
        <w:t>承保服务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/>
          <w:szCs w:val="21"/>
          <w:highlight w:val="none"/>
          <w:lang w:val="zh-CN"/>
        </w:rPr>
      </w:pPr>
      <w:r>
        <w:rPr>
          <w:rFonts w:hint="eastAsia" w:ascii="宋体" w:hAnsi="宋体"/>
          <w:szCs w:val="21"/>
          <w:highlight w:val="none"/>
          <w:lang w:val="zh-CN"/>
        </w:rPr>
        <w:t>1.针对本项目成立健全的承保服务小组，分工明确，方案中应有明确成员名单，包括姓名、职务、职称、工作职责、联系方式等。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/>
          <w:szCs w:val="21"/>
          <w:highlight w:val="none"/>
          <w:lang w:val="zh-CN"/>
        </w:rPr>
      </w:pPr>
      <w:r>
        <w:rPr>
          <w:rFonts w:hint="eastAsia" w:ascii="宋体" w:hAnsi="宋体"/>
          <w:szCs w:val="21"/>
          <w:highlight w:val="none"/>
          <w:lang w:val="zh-CN"/>
        </w:rPr>
        <w:t>2.服务小组工作成员能保证随叫随到、主动上门办理投保、承包手续，保证投保单位获得优先服务的权利。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/>
          <w:szCs w:val="21"/>
          <w:highlight w:val="none"/>
          <w:lang w:val="zh-CN"/>
        </w:rPr>
      </w:pPr>
      <w:r>
        <w:rPr>
          <w:rFonts w:hint="eastAsia" w:ascii="宋体" w:hAnsi="宋体"/>
          <w:szCs w:val="21"/>
          <w:highlight w:val="none"/>
          <w:lang w:val="zh-CN"/>
        </w:rPr>
        <w:t xml:space="preserve">3.定期安排客服进行回访。 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/>
          <w:szCs w:val="21"/>
          <w:highlight w:val="none"/>
          <w:lang w:val="zh-CN"/>
        </w:rPr>
      </w:pPr>
      <w:r>
        <w:rPr>
          <w:rFonts w:hint="eastAsia" w:ascii="宋体" w:hAnsi="宋体"/>
          <w:szCs w:val="21"/>
          <w:highlight w:val="none"/>
          <w:lang w:val="zh-CN"/>
        </w:rPr>
        <w:t xml:space="preserve">4.设有24小时热线客户咨询服务、投诉举报电话，有专人接听、记录、受理。 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/>
          <w:szCs w:val="21"/>
          <w:highlight w:val="none"/>
          <w:lang w:val="zh-CN"/>
        </w:rPr>
      </w:pPr>
      <w:r>
        <w:rPr>
          <w:rFonts w:hint="eastAsia" w:ascii="宋体" w:hAnsi="宋体"/>
          <w:szCs w:val="21"/>
          <w:highlight w:val="none"/>
          <w:lang w:val="zh-CN"/>
        </w:rPr>
        <w:t>5.有服务保障措施，如对服务态度、服务质量有评判标准，对业务人员的服务质量有具体的奖惩措施。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zh-CN"/>
        </w:rPr>
        <w:t>6.属地出单。投标人在车辆保险当地需设有分支机构，有关车辆保险的承保出单、查勘理赔等相关服务全部由出单公司承担。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/>
          <w:szCs w:val="21"/>
          <w:highlight w:val="none"/>
          <w:lang w:val="zh-CN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szCs w:val="21"/>
          <w:highlight w:val="none"/>
          <w:lang w:val="zh-CN" w:eastAsia="zh-CN"/>
        </w:rPr>
        <w:t>.</w:t>
      </w:r>
      <w:r>
        <w:rPr>
          <w:rFonts w:hint="eastAsia" w:ascii="宋体" w:hAnsi="宋体"/>
          <w:szCs w:val="21"/>
          <w:highlight w:val="none"/>
          <w:lang w:val="en-US" w:eastAsia="zh-CN"/>
        </w:rPr>
        <w:t>按招标人</w:t>
      </w:r>
      <w:r>
        <w:rPr>
          <w:rFonts w:hint="eastAsia" w:ascii="宋体" w:hAnsi="宋体"/>
          <w:szCs w:val="21"/>
          <w:highlight w:val="none"/>
          <w:lang w:val="zh-CN" w:eastAsia="zh-CN"/>
        </w:rPr>
        <w:t>投保</w:t>
      </w:r>
      <w:r>
        <w:rPr>
          <w:rFonts w:hint="eastAsia" w:ascii="宋体" w:hAnsi="宋体"/>
          <w:szCs w:val="21"/>
          <w:highlight w:val="none"/>
          <w:lang w:val="en-US" w:eastAsia="zh-CN"/>
        </w:rPr>
        <w:t>需求</w:t>
      </w:r>
      <w:r>
        <w:rPr>
          <w:rFonts w:hint="eastAsia" w:ascii="宋体" w:hAnsi="宋体"/>
          <w:szCs w:val="21"/>
          <w:highlight w:val="none"/>
          <w:lang w:val="zh-CN" w:eastAsia="zh-CN"/>
        </w:rPr>
        <w:t>，</w:t>
      </w:r>
      <w:r>
        <w:rPr>
          <w:rFonts w:hint="eastAsia" w:ascii="宋体" w:hAnsi="宋体"/>
          <w:szCs w:val="21"/>
          <w:highlight w:val="none"/>
          <w:lang w:val="en-US" w:eastAsia="zh-CN"/>
        </w:rPr>
        <w:t>养护专用车辆的</w:t>
      </w:r>
      <w:r>
        <w:rPr>
          <w:rFonts w:hint="eastAsia" w:ascii="宋体" w:hAnsi="宋体"/>
          <w:szCs w:val="21"/>
          <w:highlight w:val="none"/>
          <w:lang w:val="zh-CN" w:eastAsia="zh-CN"/>
        </w:rPr>
        <w:t>商业险可根据需要办理短期投保，</w:t>
      </w:r>
      <w:r>
        <w:rPr>
          <w:rFonts w:hint="eastAsia" w:ascii="宋体" w:hAnsi="宋体"/>
          <w:szCs w:val="21"/>
          <w:highlight w:val="none"/>
          <w:lang w:val="en-US" w:eastAsia="zh-CN"/>
        </w:rPr>
        <w:t>短期投保包括按季度或半年期限，投标人应在投标文件中予以承诺</w:t>
      </w:r>
      <w:r>
        <w:rPr>
          <w:rFonts w:hint="eastAsia" w:ascii="宋体" w:hAnsi="宋体"/>
          <w:szCs w:val="21"/>
          <w:highlight w:val="none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8.投标人提供的其他增值服务（如免费服务、优惠服务的相关项目等）。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/>
          <w:b/>
          <w:bCs/>
          <w:szCs w:val="21"/>
          <w:lang w:val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（二）</w:t>
      </w:r>
      <w:r>
        <w:rPr>
          <w:rFonts w:hint="eastAsia" w:ascii="宋体" w:hAnsi="宋体"/>
          <w:b/>
          <w:bCs/>
          <w:szCs w:val="21"/>
          <w:lang w:val="zh-CN"/>
        </w:rPr>
        <w:t xml:space="preserve">理赔服务 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/>
          <w:szCs w:val="21"/>
          <w:highlight w:val="none"/>
          <w:lang w:val="zh-CN"/>
        </w:rPr>
      </w:pPr>
      <w:r>
        <w:rPr>
          <w:rFonts w:hint="eastAsia" w:ascii="宋体" w:hAnsi="宋体"/>
          <w:szCs w:val="21"/>
          <w:highlight w:val="none"/>
          <w:lang w:val="zh-CN"/>
        </w:rPr>
        <w:t xml:space="preserve">1.针对本项目理赔服务成立专门的服务小组，方案中应有明确的成员名单，包括姓名、职务、职称、工作职责、联系方式等。 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/>
          <w:szCs w:val="21"/>
          <w:highlight w:val="none"/>
          <w:lang w:val="zh-CN"/>
        </w:rPr>
      </w:pPr>
      <w:r>
        <w:rPr>
          <w:rFonts w:hint="eastAsia" w:ascii="宋体" w:hAnsi="宋体"/>
          <w:szCs w:val="21"/>
          <w:highlight w:val="none"/>
          <w:lang w:val="zh-CN"/>
        </w:rPr>
        <w:t xml:space="preserve">2.设有24小时报案、理赔服务电话，并保证随时有专人接听，受理的索赔报案，有充足的现场勘查人员和车辆（附勘查车辆照片和行驶证复印件）。 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/>
          <w:szCs w:val="21"/>
          <w:highlight w:val="none"/>
          <w:lang w:val="zh-CN"/>
        </w:rPr>
      </w:pPr>
      <w:r>
        <w:rPr>
          <w:rFonts w:hint="eastAsia" w:ascii="宋体" w:hAnsi="宋体"/>
          <w:szCs w:val="21"/>
          <w:highlight w:val="none"/>
          <w:lang w:val="zh-CN"/>
        </w:rPr>
        <w:t>3.服务网点齐全，分布广泛。定点保险公司在接到投保单位的出险报案后，全省范围内理赔人员应于投标人承诺的时限赶到报案现场，超过时限，视为保险公司已经到现场，事故车可自行移位；被保车辆在省外发生保险事故后，定点保险公司能通过当地本系统保险机构提供异地代勘查，代理赔服务，快速处理、赔付结案。（</w:t>
      </w:r>
      <w:r>
        <w:rPr>
          <w:rFonts w:hint="eastAsia" w:ascii="宋体" w:hAnsi="宋体"/>
          <w:szCs w:val="21"/>
          <w:highlight w:val="none"/>
          <w:lang w:val="en-US" w:eastAsia="zh-CN"/>
        </w:rPr>
        <w:t>投标人提供服务网点明细并附</w:t>
      </w:r>
      <w:r>
        <w:rPr>
          <w:rFonts w:hint="eastAsia" w:ascii="宋体" w:hAnsi="宋体"/>
          <w:szCs w:val="21"/>
          <w:highlight w:val="none"/>
          <w:lang w:val="zh-CN" w:eastAsia="zh-CN"/>
        </w:rPr>
        <w:t>服务</w:t>
      </w:r>
      <w:r>
        <w:rPr>
          <w:rFonts w:hint="eastAsia" w:ascii="宋体" w:hAnsi="宋体"/>
          <w:szCs w:val="21"/>
          <w:highlight w:val="none"/>
          <w:lang w:val="zh-CN"/>
        </w:rPr>
        <w:t>网点营业执照</w:t>
      </w:r>
      <w:r>
        <w:rPr>
          <w:rFonts w:hint="eastAsia" w:ascii="宋体" w:hAnsi="宋体"/>
          <w:szCs w:val="21"/>
          <w:highlight w:val="none"/>
          <w:lang w:val="en-US" w:eastAsia="zh-CN"/>
        </w:rPr>
        <w:t>复印件</w:t>
      </w:r>
      <w:r>
        <w:rPr>
          <w:rFonts w:hint="eastAsia" w:ascii="宋体" w:hAnsi="宋体"/>
          <w:szCs w:val="21"/>
          <w:highlight w:val="none"/>
          <w:lang w:val="zh-CN"/>
        </w:rPr>
        <w:t>、网点照片等）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/>
          <w:szCs w:val="21"/>
          <w:highlight w:val="none"/>
          <w:lang w:val="zh-CN"/>
        </w:rPr>
      </w:pPr>
      <w:r>
        <w:rPr>
          <w:rFonts w:hint="eastAsia" w:ascii="宋体" w:hAnsi="宋体"/>
          <w:szCs w:val="21"/>
          <w:highlight w:val="none"/>
          <w:lang w:val="zh-CN"/>
        </w:rPr>
        <w:t xml:space="preserve">4.有专人指导投保单位全程办理相关的索赔手续。 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  <w:lang w:val="zh-CN"/>
        </w:rPr>
        <w:t>.投标人不应未经与投保单位协商，擅自规定维修厂。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  <w:lang w:val="zh-CN"/>
        </w:rPr>
        <w:t>.</w:t>
      </w:r>
      <w:r>
        <w:rPr>
          <w:rFonts w:hint="eastAsia" w:ascii="宋体" w:hAnsi="宋体" w:cs="黑体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cs="黑体"/>
          <w:sz w:val="21"/>
          <w:szCs w:val="21"/>
          <w:highlight w:val="none"/>
        </w:rPr>
        <w:t>接到被保险</w:t>
      </w:r>
      <w:r>
        <w:rPr>
          <w:rFonts w:hint="eastAsia" w:ascii="宋体" w:hAnsi="宋体" w:cs="黑体"/>
          <w:sz w:val="21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cs="黑体"/>
          <w:sz w:val="21"/>
          <w:szCs w:val="21"/>
          <w:highlight w:val="none"/>
        </w:rPr>
        <w:t>报案索赔请求后，对于属于保险责任的事故，</w:t>
      </w:r>
      <w:r>
        <w:rPr>
          <w:rFonts w:hint="eastAsia" w:ascii="宋体" w:hAnsi="宋体" w:cs="黑体"/>
          <w:sz w:val="21"/>
          <w:szCs w:val="21"/>
          <w:highlight w:val="none"/>
          <w:lang w:val="en-US" w:eastAsia="zh-CN"/>
        </w:rPr>
        <w:t>应及时</w:t>
      </w:r>
      <w:r>
        <w:rPr>
          <w:rFonts w:hint="eastAsia" w:ascii="宋体" w:hAnsi="宋体" w:cs="黑体"/>
          <w:sz w:val="21"/>
          <w:szCs w:val="21"/>
          <w:highlight w:val="none"/>
        </w:rPr>
        <w:t>确定损失金额</w:t>
      </w:r>
      <w:r>
        <w:rPr>
          <w:rFonts w:hint="eastAsia" w:ascii="宋体" w:hAnsi="宋体" w:cs="黑体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7.</w:t>
      </w:r>
      <w:r>
        <w:rPr>
          <w:rFonts w:hint="eastAsia" w:ascii="宋体" w:hAnsi="宋体" w:cs="黑体"/>
          <w:sz w:val="21"/>
          <w:szCs w:val="21"/>
          <w:highlight w:val="none"/>
          <w:lang w:val="en-US" w:eastAsia="zh-CN"/>
        </w:rPr>
        <w:t>投保单位</w:t>
      </w:r>
      <w:r>
        <w:rPr>
          <w:rFonts w:hint="eastAsia" w:ascii="宋体" w:hAnsi="宋体" w:cs="黑体"/>
          <w:sz w:val="21"/>
          <w:szCs w:val="21"/>
          <w:highlight w:val="none"/>
        </w:rPr>
        <w:t>提供完整的单证后，</w:t>
      </w:r>
      <w:r>
        <w:rPr>
          <w:rFonts w:hint="eastAsia" w:ascii="宋体" w:hAnsi="宋体" w:cs="黑体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cs="黑体"/>
          <w:sz w:val="21"/>
          <w:szCs w:val="21"/>
          <w:highlight w:val="none"/>
        </w:rPr>
        <w:t>应及时确定赔偿金额</w:t>
      </w:r>
      <w:r>
        <w:rPr>
          <w:rFonts w:hint="eastAsia" w:ascii="宋体" w:hAnsi="宋体" w:cs="黑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cs="黑体"/>
          <w:sz w:val="21"/>
          <w:szCs w:val="21"/>
          <w:highlight w:val="none"/>
          <w:lang w:val="en-US" w:eastAsia="zh-CN"/>
        </w:rPr>
        <w:t>并承诺赔付时限。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8.投标人的其他理赔服务承诺（包括理赔相关费用的赔偿承诺等）。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/>
          <w:b/>
          <w:bCs/>
          <w:szCs w:val="21"/>
          <w:lang w:val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（三）</w:t>
      </w:r>
      <w:r>
        <w:rPr>
          <w:rFonts w:hint="eastAsia" w:ascii="宋体" w:hAnsi="宋体"/>
          <w:b/>
          <w:bCs/>
          <w:szCs w:val="21"/>
          <w:lang w:val="zh-CN"/>
        </w:rPr>
        <w:t xml:space="preserve">业务管理 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/>
          <w:szCs w:val="21"/>
          <w:highlight w:val="none"/>
          <w:lang w:val="zh-CN"/>
        </w:rPr>
      </w:pPr>
      <w:r>
        <w:rPr>
          <w:rFonts w:hint="eastAsia" w:ascii="宋体" w:hAnsi="宋体"/>
          <w:szCs w:val="21"/>
          <w:lang w:val="zh-CN"/>
        </w:rPr>
        <w:t>1.</w:t>
      </w:r>
      <w:r>
        <w:rPr>
          <w:rFonts w:hint="eastAsia" w:ascii="宋体" w:hAnsi="宋体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/>
          <w:szCs w:val="21"/>
          <w:highlight w:val="none"/>
          <w:lang w:val="zh-CN"/>
        </w:rPr>
        <w:t>应于每</w:t>
      </w:r>
      <w:r>
        <w:rPr>
          <w:rFonts w:hint="eastAsia" w:ascii="宋体" w:hAnsi="宋体"/>
          <w:szCs w:val="21"/>
          <w:highlight w:val="none"/>
          <w:lang w:val="en-US" w:eastAsia="zh-CN"/>
        </w:rPr>
        <w:t>月月初</w:t>
      </w:r>
      <w:r>
        <w:rPr>
          <w:rFonts w:hint="eastAsia" w:ascii="宋体" w:hAnsi="宋体"/>
          <w:szCs w:val="21"/>
          <w:highlight w:val="none"/>
          <w:lang w:val="zh-CN"/>
        </w:rPr>
        <w:t>向</w:t>
      </w:r>
      <w:r>
        <w:rPr>
          <w:rFonts w:hint="eastAsia" w:ascii="宋体" w:hAnsi="宋体"/>
          <w:szCs w:val="21"/>
          <w:highlight w:val="none"/>
          <w:lang w:val="en-US" w:eastAsia="zh-CN"/>
        </w:rPr>
        <w:t>集团公司</w:t>
      </w:r>
      <w:r>
        <w:rPr>
          <w:rFonts w:hint="eastAsia" w:ascii="宋体" w:hAnsi="宋体"/>
          <w:szCs w:val="21"/>
          <w:highlight w:val="none"/>
          <w:lang w:val="zh-CN"/>
        </w:rPr>
        <w:t>提供</w:t>
      </w:r>
      <w:r>
        <w:rPr>
          <w:rFonts w:hint="eastAsia" w:ascii="宋体" w:hAnsi="宋体"/>
          <w:szCs w:val="21"/>
          <w:highlight w:val="none"/>
          <w:lang w:val="en-US" w:eastAsia="zh-CN"/>
        </w:rPr>
        <w:t>上一月</w:t>
      </w:r>
      <w:r>
        <w:rPr>
          <w:rFonts w:hint="eastAsia" w:ascii="宋体" w:hAnsi="宋体"/>
          <w:szCs w:val="21"/>
          <w:highlight w:val="none"/>
          <w:lang w:val="zh-CN"/>
        </w:rPr>
        <w:t>的赔案统计报表的电子版本，报表应包括损失发生的时间、地点、</w:t>
      </w:r>
      <w:r>
        <w:rPr>
          <w:rFonts w:hint="eastAsia" w:ascii="宋体" w:hAnsi="宋体"/>
          <w:szCs w:val="21"/>
          <w:highlight w:val="none"/>
          <w:lang w:val="en-US" w:eastAsia="zh-CN"/>
        </w:rPr>
        <w:t>车辆信息、</w:t>
      </w:r>
      <w:r>
        <w:rPr>
          <w:rFonts w:hint="eastAsia" w:ascii="宋体" w:hAnsi="宋体"/>
          <w:szCs w:val="21"/>
          <w:highlight w:val="none"/>
          <w:lang w:val="zh-CN"/>
        </w:rPr>
        <w:t>损失原因、估损金额、定损金额、赔款等与赔案处理有关的信息。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/>
          <w:szCs w:val="21"/>
          <w:highlight w:val="none"/>
          <w:lang w:val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2.</w:t>
      </w:r>
      <w:r>
        <w:rPr>
          <w:rFonts w:hint="eastAsia" w:ascii="宋体" w:hAnsi="宋体"/>
          <w:szCs w:val="21"/>
          <w:highlight w:val="none"/>
          <w:lang w:val="zh-CN"/>
        </w:rPr>
        <w:t xml:space="preserve">承诺对承保单位公务车辆建立专门的车辆档案，实行专户管理，开展跟踪服务。 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  <w:lang w:val="zh-CN"/>
        </w:rPr>
        <w:t>.实现机动车辆保险业务程序化处理，省内各地联网。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  <w:lang w:val="zh-CN"/>
        </w:rPr>
        <w:t xml:space="preserve">.在投保单位需要时，向其提供法律援助及咨询服务。 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/>
          <w:szCs w:val="21"/>
          <w:lang w:val="zh-CN"/>
        </w:rPr>
      </w:pP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  <w:lang w:val="zh-CN"/>
        </w:rPr>
        <w:t>.投标人的其他特色服务承诺。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/>
          <w:b/>
          <w:bCs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（四）投标人在此服务需求基础上可以提出更优惠和全面的服务方案、理赔方案等。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（五）车辆信息登记</w:t>
      </w:r>
      <w:r>
        <w:rPr>
          <w:rFonts w:hint="eastAsia" w:ascii="宋体" w:hAnsi="宋体"/>
          <w:szCs w:val="21"/>
          <w:highlight w:val="none"/>
          <w:lang w:val="en-US" w:eastAsia="zh-CN"/>
        </w:rPr>
        <w:t>（</w:t>
      </w:r>
      <w:r>
        <w:rPr>
          <w:rFonts w:hint="eastAsia"/>
          <w:lang w:val="en-US" w:eastAsia="zh-CN"/>
        </w:rPr>
        <w:t>注：招标人实际投保车辆的类型、数量、险种、保额，以招标人参保时</w:t>
      </w:r>
      <w:r>
        <w:rPr>
          <w:rFonts w:hint="eastAsia" w:ascii="宋体" w:hAnsi="宋体" w:cs="黑体"/>
          <w:sz w:val="21"/>
          <w:szCs w:val="21"/>
          <w:lang w:val="en-US" w:eastAsia="zh-CN"/>
        </w:rPr>
        <w:t>实际需求为准</w:t>
      </w:r>
      <w:r>
        <w:rPr>
          <w:rFonts w:hint="eastAsia"/>
          <w:lang w:val="en-US" w:eastAsia="zh-CN"/>
        </w:rPr>
        <w:t>。</w:t>
      </w:r>
      <w:r>
        <w:rPr>
          <w:rFonts w:hint="eastAsia" w:ascii="宋体" w:hAnsi="宋体"/>
          <w:szCs w:val="21"/>
          <w:highlight w:val="none"/>
          <w:lang w:val="en-US" w:eastAsia="zh-CN"/>
        </w:rPr>
        <w:t>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六、公开时间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本次招标文件关键内容信息公开时间至2023年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日24时00分结束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七、联系方式</w:t>
      </w:r>
    </w:p>
    <w:p>
      <w:pPr>
        <w:pStyle w:val="86"/>
        <w:snapToGrid w:val="0"/>
        <w:spacing w:beforeLines="0" w:afterLines="0" w:line="360" w:lineRule="auto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27" w:name="_Toc22328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招 标 人：吉林省高速公路集团有限公司</w:t>
      </w:r>
      <w:bookmarkEnd w:id="27"/>
    </w:p>
    <w:p>
      <w:pPr>
        <w:pStyle w:val="86"/>
        <w:snapToGrid w:val="0"/>
        <w:spacing w:beforeLines="0" w:afterLines="0" w:line="360" w:lineRule="auto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28" w:name="_Toc6299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地　　址：吉林省长春市南关区人民大街11511号</w:t>
      </w:r>
      <w:bookmarkEnd w:id="28"/>
      <w:bookmarkStart w:id="38" w:name="_GoBack"/>
      <w:bookmarkEnd w:id="38"/>
    </w:p>
    <w:p>
      <w:pPr>
        <w:pStyle w:val="86"/>
        <w:snapToGrid w:val="0"/>
        <w:spacing w:beforeLines="0" w:afterLines="0" w:line="360" w:lineRule="auto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29" w:name="_Toc29966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邮政编码：1300</w:t>
      </w:r>
      <w:bookmarkEnd w:id="29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00</w:t>
      </w:r>
    </w:p>
    <w:p>
      <w:pPr>
        <w:pStyle w:val="86"/>
        <w:snapToGrid w:val="0"/>
        <w:spacing w:beforeLines="0" w:afterLines="0" w:line="360" w:lineRule="auto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30" w:name="_Toc32146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联 系 人：</w:t>
      </w:r>
      <w:bookmarkEnd w:id="30"/>
      <w:bookmarkStart w:id="31" w:name="_Toc19299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张振东</w:t>
      </w:r>
    </w:p>
    <w:p>
      <w:pPr>
        <w:pStyle w:val="86"/>
        <w:snapToGrid w:val="0"/>
        <w:spacing w:beforeLines="0" w:afterLines="0" w:line="360" w:lineRule="auto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电    话：</w:t>
      </w:r>
      <w:bookmarkEnd w:id="31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0431-85254020</w:t>
      </w:r>
    </w:p>
    <w:p>
      <w:pPr>
        <w:pStyle w:val="86"/>
        <w:snapToGrid w:val="0"/>
        <w:spacing w:beforeLines="0" w:afterLines="0" w:line="360" w:lineRule="auto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32" w:name="_Toc10504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招标代理机构：</w:t>
      </w:r>
      <w:bookmarkEnd w:id="32"/>
      <w:bookmarkStart w:id="33" w:name="_Toc452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吉林省公路工程监理事务所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有限公司</w:t>
      </w:r>
    </w:p>
    <w:p>
      <w:pPr>
        <w:pStyle w:val="86"/>
        <w:snapToGrid w:val="0"/>
        <w:spacing w:beforeLines="0" w:afterLines="0" w:line="360" w:lineRule="auto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地址：</w:t>
      </w:r>
      <w:bookmarkEnd w:id="33"/>
      <w:bookmarkStart w:id="34" w:name="_Toc27288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长春市朝阳区人民大街南波大厦179-1号A座809室-812室</w:t>
      </w:r>
    </w:p>
    <w:p>
      <w:pPr>
        <w:pStyle w:val="86"/>
        <w:snapToGrid w:val="0"/>
        <w:spacing w:beforeLines="0" w:afterLines="0" w:line="360" w:lineRule="auto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联系人：</w:t>
      </w:r>
      <w:bookmarkEnd w:id="34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杜吉芹、刘思翀</w:t>
      </w:r>
    </w:p>
    <w:p>
      <w:pPr>
        <w:pStyle w:val="86"/>
        <w:snapToGrid w:val="0"/>
        <w:spacing w:beforeLines="0" w:afterLines="0" w:line="360" w:lineRule="auto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35" w:name="_Toc8001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电话：</w:t>
      </w:r>
      <w:bookmarkEnd w:id="35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15844992032、18629868880</w:t>
      </w:r>
    </w:p>
    <w:p>
      <w:pPr>
        <w:pStyle w:val="86"/>
        <w:snapToGrid w:val="0"/>
        <w:spacing w:beforeLines="0" w:afterLines="0" w:line="360" w:lineRule="auto"/>
        <w:ind w:firstLine="420" w:firstLineChars="20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36" w:name="_Toc8011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邮箱：</w:t>
      </w:r>
      <w:bookmarkEnd w:id="36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instrText xml:space="preserve"> HYPERLINK "mailto:JLSWSZB@126.com" </w:instrTex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JLSWSZB@126.com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1"/>
        <w:jc w:val="center"/>
        <w:rPr>
          <w:rFonts w:hint="default" w:ascii="宋体" w:hAnsi="宋体"/>
          <w:b/>
          <w:bCs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01合同包车辆数量汇总表</w:t>
      </w:r>
    </w:p>
    <w:tbl>
      <w:tblPr>
        <w:tblStyle w:val="26"/>
        <w:tblW w:w="9007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626"/>
        <w:gridCol w:w="1605"/>
        <w:gridCol w:w="1635"/>
        <w:gridCol w:w="148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分子公司名称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拟保险车辆类型及数量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小计（台）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（台）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养护用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车（台）</w:t>
            </w: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集团总部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吉林省高速公路集团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试验检测有限公司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长春分公司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德惠分公司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吉林分公司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伊通分公司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双辽分公司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松原分公司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白城分公司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吉林省路桥工程（集团）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服务区管理有限公司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</w:tr>
    </w:tbl>
    <w:p>
      <w:pPr>
        <w:pStyle w:val="11"/>
        <w:jc w:val="center"/>
        <w:rPr>
          <w:rFonts w:hint="eastAsia" w:ascii="宋体" w:hAnsi="宋体"/>
          <w:b/>
          <w:bCs/>
          <w:szCs w:val="21"/>
          <w:highlight w:val="none"/>
          <w:lang w:val="en-US" w:eastAsia="zh-CN"/>
        </w:rPr>
      </w:pPr>
    </w:p>
    <w:p>
      <w:pPr>
        <w:pStyle w:val="11"/>
        <w:jc w:val="center"/>
        <w:rPr>
          <w:rFonts w:hint="default" w:ascii="宋体" w:hAnsi="宋体"/>
          <w:b/>
          <w:bCs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02合同包车辆数量汇总表</w:t>
      </w:r>
    </w:p>
    <w:tbl>
      <w:tblPr>
        <w:tblStyle w:val="26"/>
        <w:tblW w:w="8992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596"/>
        <w:gridCol w:w="1620"/>
        <w:gridCol w:w="1650"/>
        <w:gridCol w:w="147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分子公司名称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拟保险车辆类型及数量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小计（台）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（台）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养护用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车（台）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通化分公司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梅河分公司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靖宇分公司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延吉分公司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长白山分公司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吉林省自然村发展有限公司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吉林省金泉公路工程咨询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监理有限责任公司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吉林省高速公路集团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经营开发有限公司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吉林高速公路股份有限公司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吉林省吉高智慧交通科技有限公司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吉林省公路工程监理事务所有限公司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吉林省交通实业发展有限公司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</w:tr>
    </w:tbl>
    <w:p>
      <w:pPr>
        <w:pStyle w:val="11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 名 登 记 表</w:t>
      </w:r>
    </w:p>
    <w:p>
      <w:pPr>
        <w:pStyle w:val="43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2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354"/>
        <w:gridCol w:w="341"/>
        <w:gridCol w:w="1702"/>
        <w:gridCol w:w="668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*项目编号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*项目名称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*单位名称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*企业性质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*营业注册号码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（统一社会信用代码）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*单位地址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*联系人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*联系电话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*E-mail 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*邮政编码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*身份证号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*邮寄地址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*法定代表人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*资质等级（如有）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发票类型（选择）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（包含标书款发票及中标后服务费发票）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增值税普通发票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增值税专用发票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不需要发票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※单位地址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※电话（发票可识别）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※开户行名称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※开户行账号</w:t>
            </w:r>
          </w:p>
        </w:tc>
        <w:tc>
          <w:tcPr>
            <w:tcW w:w="6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 报名人（签字）：</w:t>
            </w:r>
          </w:p>
        </w:tc>
        <w:tc>
          <w:tcPr>
            <w:tcW w:w="4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420"/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*                   年    月    日</w:t>
            </w:r>
          </w:p>
        </w:tc>
      </w:tr>
    </w:tbl>
    <w:p>
      <w:pP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bookmarkStart w:id="37" w:name="出售招标文件汇总表"/>
      <w:bookmarkEnd w:id="37"/>
      <w:r>
        <w:rPr>
          <w:rFonts w:hint="eastAsia" w:ascii="宋体" w:hAnsi="宋体" w:eastAsia="宋体" w:cs="宋体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宋体" w:hAnsi="宋体" w:eastAsia="宋体" w:cs="宋体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为必填项，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※为开专用发票必填项。请认真核对开票信息及发票类型。开出后不做修改</w:t>
      </w:r>
      <w:bookmarkEnd w:id="0"/>
    </w:p>
    <w:sectPr>
      <w:footerReference r:id="rId5" w:type="first"/>
      <w:headerReference r:id="rId3" w:type="default"/>
      <w:footerReference r:id="rId4" w:type="default"/>
      <w:pgSz w:w="12240" w:h="15840"/>
      <w:pgMar w:top="1418" w:right="1418" w:bottom="1418" w:left="1588" w:header="794" w:footer="79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87D89A-D740-496A-9B73-C5A635B95AB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宋体_x0002_ā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ourceHanSansCN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E38BFD29-B006-4E82-8238-D14FAEC832A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Yjc2MGZiOTA0NWVjMWI5YmI5NDhkNzlkZDgzODcifQ=="/>
  </w:docVars>
  <w:rsids>
    <w:rsidRoot w:val="009B6261"/>
    <w:rsid w:val="00003BF8"/>
    <w:rsid w:val="00007325"/>
    <w:rsid w:val="00014CBB"/>
    <w:rsid w:val="000160E7"/>
    <w:rsid w:val="000219A2"/>
    <w:rsid w:val="00021C07"/>
    <w:rsid w:val="000223A9"/>
    <w:rsid w:val="00030B25"/>
    <w:rsid w:val="00032D5F"/>
    <w:rsid w:val="00035071"/>
    <w:rsid w:val="0004347F"/>
    <w:rsid w:val="00043970"/>
    <w:rsid w:val="00043CC0"/>
    <w:rsid w:val="0005777E"/>
    <w:rsid w:val="00064EEE"/>
    <w:rsid w:val="00074B3F"/>
    <w:rsid w:val="000800D0"/>
    <w:rsid w:val="00082C6A"/>
    <w:rsid w:val="0009309B"/>
    <w:rsid w:val="000947C9"/>
    <w:rsid w:val="00097D7B"/>
    <w:rsid w:val="000A0173"/>
    <w:rsid w:val="000A4893"/>
    <w:rsid w:val="000C26CD"/>
    <w:rsid w:val="000C2904"/>
    <w:rsid w:val="000C7E30"/>
    <w:rsid w:val="000D5278"/>
    <w:rsid w:val="000D6779"/>
    <w:rsid w:val="000E5DB9"/>
    <w:rsid w:val="000E67AD"/>
    <w:rsid w:val="000F4529"/>
    <w:rsid w:val="000F7B51"/>
    <w:rsid w:val="00102617"/>
    <w:rsid w:val="001050C1"/>
    <w:rsid w:val="00111536"/>
    <w:rsid w:val="00123081"/>
    <w:rsid w:val="00126975"/>
    <w:rsid w:val="001276FF"/>
    <w:rsid w:val="0014122D"/>
    <w:rsid w:val="00145DD9"/>
    <w:rsid w:val="0015589D"/>
    <w:rsid w:val="001568C7"/>
    <w:rsid w:val="00156EDB"/>
    <w:rsid w:val="001610E2"/>
    <w:rsid w:val="00161A82"/>
    <w:rsid w:val="00162B6D"/>
    <w:rsid w:val="001633C6"/>
    <w:rsid w:val="00163650"/>
    <w:rsid w:val="0016726C"/>
    <w:rsid w:val="00170C24"/>
    <w:rsid w:val="001742DB"/>
    <w:rsid w:val="00191B8A"/>
    <w:rsid w:val="001957F0"/>
    <w:rsid w:val="001B2EE3"/>
    <w:rsid w:val="001B67B0"/>
    <w:rsid w:val="001D4C44"/>
    <w:rsid w:val="001D61FB"/>
    <w:rsid w:val="001E0797"/>
    <w:rsid w:val="001F3D85"/>
    <w:rsid w:val="00205C64"/>
    <w:rsid w:val="00221627"/>
    <w:rsid w:val="00222462"/>
    <w:rsid w:val="002225D5"/>
    <w:rsid w:val="0022578F"/>
    <w:rsid w:val="002271A1"/>
    <w:rsid w:val="00243E9F"/>
    <w:rsid w:val="00243EED"/>
    <w:rsid w:val="002478B0"/>
    <w:rsid w:val="00253B90"/>
    <w:rsid w:val="002547EA"/>
    <w:rsid w:val="002655F8"/>
    <w:rsid w:val="00274979"/>
    <w:rsid w:val="00280CBB"/>
    <w:rsid w:val="00285A62"/>
    <w:rsid w:val="002A4723"/>
    <w:rsid w:val="002A49F1"/>
    <w:rsid w:val="002A5700"/>
    <w:rsid w:val="002B1237"/>
    <w:rsid w:val="002B286B"/>
    <w:rsid w:val="002B342B"/>
    <w:rsid w:val="002B6CFD"/>
    <w:rsid w:val="002C22A1"/>
    <w:rsid w:val="002C6AE1"/>
    <w:rsid w:val="002D0F1A"/>
    <w:rsid w:val="002E69AC"/>
    <w:rsid w:val="002E70AA"/>
    <w:rsid w:val="003005F3"/>
    <w:rsid w:val="00300F23"/>
    <w:rsid w:val="0030140C"/>
    <w:rsid w:val="00304B2D"/>
    <w:rsid w:val="003176F2"/>
    <w:rsid w:val="00321BE8"/>
    <w:rsid w:val="00323558"/>
    <w:rsid w:val="00325C74"/>
    <w:rsid w:val="00344742"/>
    <w:rsid w:val="00355AD0"/>
    <w:rsid w:val="0036165B"/>
    <w:rsid w:val="00365EE3"/>
    <w:rsid w:val="0037482E"/>
    <w:rsid w:val="00375AF0"/>
    <w:rsid w:val="00377343"/>
    <w:rsid w:val="00381969"/>
    <w:rsid w:val="003829FE"/>
    <w:rsid w:val="003843D8"/>
    <w:rsid w:val="00387FCB"/>
    <w:rsid w:val="00391178"/>
    <w:rsid w:val="00392005"/>
    <w:rsid w:val="00393D71"/>
    <w:rsid w:val="003A1458"/>
    <w:rsid w:val="003A43F1"/>
    <w:rsid w:val="003A6966"/>
    <w:rsid w:val="003C4198"/>
    <w:rsid w:val="003D5D7B"/>
    <w:rsid w:val="003D608D"/>
    <w:rsid w:val="003D6EC2"/>
    <w:rsid w:val="003E010F"/>
    <w:rsid w:val="003E4BE7"/>
    <w:rsid w:val="003E4F7E"/>
    <w:rsid w:val="003E6FFF"/>
    <w:rsid w:val="00404ABE"/>
    <w:rsid w:val="00406896"/>
    <w:rsid w:val="00406EA3"/>
    <w:rsid w:val="00407ED3"/>
    <w:rsid w:val="0041635B"/>
    <w:rsid w:val="004165D4"/>
    <w:rsid w:val="00426525"/>
    <w:rsid w:val="00427C3E"/>
    <w:rsid w:val="0043245B"/>
    <w:rsid w:val="00434399"/>
    <w:rsid w:val="004447AC"/>
    <w:rsid w:val="0044481E"/>
    <w:rsid w:val="004507E6"/>
    <w:rsid w:val="00450CD0"/>
    <w:rsid w:val="00456E5A"/>
    <w:rsid w:val="00467319"/>
    <w:rsid w:val="0048022C"/>
    <w:rsid w:val="004A4CEC"/>
    <w:rsid w:val="004A5F7C"/>
    <w:rsid w:val="004B0113"/>
    <w:rsid w:val="004B5E71"/>
    <w:rsid w:val="004B5EC5"/>
    <w:rsid w:val="004C2BBB"/>
    <w:rsid w:val="004C5115"/>
    <w:rsid w:val="004C6DF7"/>
    <w:rsid w:val="004D6483"/>
    <w:rsid w:val="004D7B03"/>
    <w:rsid w:val="004F472C"/>
    <w:rsid w:val="00513E9B"/>
    <w:rsid w:val="00515128"/>
    <w:rsid w:val="00521529"/>
    <w:rsid w:val="005261F8"/>
    <w:rsid w:val="0054291A"/>
    <w:rsid w:val="005505E2"/>
    <w:rsid w:val="00585B96"/>
    <w:rsid w:val="00585D3F"/>
    <w:rsid w:val="00586736"/>
    <w:rsid w:val="0059305E"/>
    <w:rsid w:val="00595313"/>
    <w:rsid w:val="005A0EED"/>
    <w:rsid w:val="005A32BF"/>
    <w:rsid w:val="005A61EB"/>
    <w:rsid w:val="005B53B0"/>
    <w:rsid w:val="005B576E"/>
    <w:rsid w:val="005C3D6A"/>
    <w:rsid w:val="005E5DA0"/>
    <w:rsid w:val="005E763A"/>
    <w:rsid w:val="005F4E19"/>
    <w:rsid w:val="005F57D3"/>
    <w:rsid w:val="005F73F7"/>
    <w:rsid w:val="0060031C"/>
    <w:rsid w:val="00601AC5"/>
    <w:rsid w:val="00604DA3"/>
    <w:rsid w:val="00611520"/>
    <w:rsid w:val="00611879"/>
    <w:rsid w:val="00612531"/>
    <w:rsid w:val="006279C7"/>
    <w:rsid w:val="0063126F"/>
    <w:rsid w:val="0063137C"/>
    <w:rsid w:val="00647EC3"/>
    <w:rsid w:val="0066489C"/>
    <w:rsid w:val="0066751A"/>
    <w:rsid w:val="006724CA"/>
    <w:rsid w:val="00673077"/>
    <w:rsid w:val="00673D60"/>
    <w:rsid w:val="006821BD"/>
    <w:rsid w:val="00685277"/>
    <w:rsid w:val="00690E53"/>
    <w:rsid w:val="00692313"/>
    <w:rsid w:val="006A6780"/>
    <w:rsid w:val="006C0B0B"/>
    <w:rsid w:val="006D00E7"/>
    <w:rsid w:val="006D121C"/>
    <w:rsid w:val="006D17CB"/>
    <w:rsid w:val="006D3A3B"/>
    <w:rsid w:val="006E00A2"/>
    <w:rsid w:val="006E2750"/>
    <w:rsid w:val="006E6478"/>
    <w:rsid w:val="006F15D0"/>
    <w:rsid w:val="006F2C66"/>
    <w:rsid w:val="006F4795"/>
    <w:rsid w:val="007033C3"/>
    <w:rsid w:val="00705DCA"/>
    <w:rsid w:val="00707369"/>
    <w:rsid w:val="00713197"/>
    <w:rsid w:val="00724AFF"/>
    <w:rsid w:val="007279E9"/>
    <w:rsid w:val="007366FD"/>
    <w:rsid w:val="00740161"/>
    <w:rsid w:val="00753DD3"/>
    <w:rsid w:val="00763F25"/>
    <w:rsid w:val="00765B7E"/>
    <w:rsid w:val="0077179C"/>
    <w:rsid w:val="00773842"/>
    <w:rsid w:val="00775E78"/>
    <w:rsid w:val="007777DB"/>
    <w:rsid w:val="0078394B"/>
    <w:rsid w:val="00784B15"/>
    <w:rsid w:val="00793EEE"/>
    <w:rsid w:val="00794713"/>
    <w:rsid w:val="007950F2"/>
    <w:rsid w:val="00797DE9"/>
    <w:rsid w:val="007A079A"/>
    <w:rsid w:val="007A0E9B"/>
    <w:rsid w:val="007A655E"/>
    <w:rsid w:val="007A6F07"/>
    <w:rsid w:val="007B01DA"/>
    <w:rsid w:val="007B0365"/>
    <w:rsid w:val="007B4F9A"/>
    <w:rsid w:val="007C0259"/>
    <w:rsid w:val="007C223B"/>
    <w:rsid w:val="007D106E"/>
    <w:rsid w:val="007D3A40"/>
    <w:rsid w:val="007E473E"/>
    <w:rsid w:val="007F3B12"/>
    <w:rsid w:val="00810CCB"/>
    <w:rsid w:val="00811E0D"/>
    <w:rsid w:val="00813831"/>
    <w:rsid w:val="00813916"/>
    <w:rsid w:val="00823C6A"/>
    <w:rsid w:val="00827845"/>
    <w:rsid w:val="00827CF2"/>
    <w:rsid w:val="008312B3"/>
    <w:rsid w:val="00836631"/>
    <w:rsid w:val="00837E11"/>
    <w:rsid w:val="0084569A"/>
    <w:rsid w:val="0085475D"/>
    <w:rsid w:val="00862F42"/>
    <w:rsid w:val="00872B4B"/>
    <w:rsid w:val="00881D28"/>
    <w:rsid w:val="00882315"/>
    <w:rsid w:val="00885521"/>
    <w:rsid w:val="00885F06"/>
    <w:rsid w:val="0088769D"/>
    <w:rsid w:val="0089088B"/>
    <w:rsid w:val="008935B0"/>
    <w:rsid w:val="00896EAA"/>
    <w:rsid w:val="008A7BC6"/>
    <w:rsid w:val="008B6295"/>
    <w:rsid w:val="008D0F10"/>
    <w:rsid w:val="008D49CE"/>
    <w:rsid w:val="008D4B01"/>
    <w:rsid w:val="008D6FD7"/>
    <w:rsid w:val="008E50FC"/>
    <w:rsid w:val="008E734D"/>
    <w:rsid w:val="00901F9D"/>
    <w:rsid w:val="009027F7"/>
    <w:rsid w:val="009042D0"/>
    <w:rsid w:val="00905AE8"/>
    <w:rsid w:val="00906D36"/>
    <w:rsid w:val="00913A00"/>
    <w:rsid w:val="009213F9"/>
    <w:rsid w:val="00925C7E"/>
    <w:rsid w:val="00926276"/>
    <w:rsid w:val="00926846"/>
    <w:rsid w:val="00934D4C"/>
    <w:rsid w:val="00937C9C"/>
    <w:rsid w:val="0094100F"/>
    <w:rsid w:val="009463AC"/>
    <w:rsid w:val="00947ECC"/>
    <w:rsid w:val="00952F9A"/>
    <w:rsid w:val="00953D87"/>
    <w:rsid w:val="0095477D"/>
    <w:rsid w:val="00956781"/>
    <w:rsid w:val="00965C8C"/>
    <w:rsid w:val="009725AB"/>
    <w:rsid w:val="00975656"/>
    <w:rsid w:val="00977CF6"/>
    <w:rsid w:val="00985AE8"/>
    <w:rsid w:val="00992707"/>
    <w:rsid w:val="009A139A"/>
    <w:rsid w:val="009A5B3B"/>
    <w:rsid w:val="009B03D4"/>
    <w:rsid w:val="009B325A"/>
    <w:rsid w:val="009B6261"/>
    <w:rsid w:val="009D1188"/>
    <w:rsid w:val="009D7EED"/>
    <w:rsid w:val="009E0D14"/>
    <w:rsid w:val="009E47FC"/>
    <w:rsid w:val="009E6373"/>
    <w:rsid w:val="009E7D22"/>
    <w:rsid w:val="00A1442F"/>
    <w:rsid w:val="00A15673"/>
    <w:rsid w:val="00A27CFB"/>
    <w:rsid w:val="00A35004"/>
    <w:rsid w:val="00A432C8"/>
    <w:rsid w:val="00A465C7"/>
    <w:rsid w:val="00A55010"/>
    <w:rsid w:val="00A56F9B"/>
    <w:rsid w:val="00A60BB8"/>
    <w:rsid w:val="00A7772A"/>
    <w:rsid w:val="00A838CB"/>
    <w:rsid w:val="00A86147"/>
    <w:rsid w:val="00A872AF"/>
    <w:rsid w:val="00A8740A"/>
    <w:rsid w:val="00A92581"/>
    <w:rsid w:val="00A92EF1"/>
    <w:rsid w:val="00AA1DE5"/>
    <w:rsid w:val="00AA35B1"/>
    <w:rsid w:val="00AB0C1D"/>
    <w:rsid w:val="00AB3284"/>
    <w:rsid w:val="00AB3870"/>
    <w:rsid w:val="00AB4320"/>
    <w:rsid w:val="00AC1338"/>
    <w:rsid w:val="00AC6A3B"/>
    <w:rsid w:val="00AC7CFC"/>
    <w:rsid w:val="00AD35A6"/>
    <w:rsid w:val="00AD3973"/>
    <w:rsid w:val="00AE0D13"/>
    <w:rsid w:val="00AE3313"/>
    <w:rsid w:val="00AF51F8"/>
    <w:rsid w:val="00B017A1"/>
    <w:rsid w:val="00B02111"/>
    <w:rsid w:val="00B02595"/>
    <w:rsid w:val="00B0285A"/>
    <w:rsid w:val="00B042C1"/>
    <w:rsid w:val="00B17AA8"/>
    <w:rsid w:val="00B2040A"/>
    <w:rsid w:val="00B31D16"/>
    <w:rsid w:val="00B32AB7"/>
    <w:rsid w:val="00B34129"/>
    <w:rsid w:val="00B3511B"/>
    <w:rsid w:val="00B3664B"/>
    <w:rsid w:val="00B416DB"/>
    <w:rsid w:val="00B53527"/>
    <w:rsid w:val="00B63D35"/>
    <w:rsid w:val="00B663C8"/>
    <w:rsid w:val="00B667AD"/>
    <w:rsid w:val="00B66A26"/>
    <w:rsid w:val="00B74C27"/>
    <w:rsid w:val="00B75E33"/>
    <w:rsid w:val="00B76E29"/>
    <w:rsid w:val="00B824ED"/>
    <w:rsid w:val="00B92140"/>
    <w:rsid w:val="00B95FEE"/>
    <w:rsid w:val="00BA0685"/>
    <w:rsid w:val="00BA633E"/>
    <w:rsid w:val="00BB1E2F"/>
    <w:rsid w:val="00BB7BD0"/>
    <w:rsid w:val="00BC081F"/>
    <w:rsid w:val="00BC6DAB"/>
    <w:rsid w:val="00BD1EC4"/>
    <w:rsid w:val="00BD4E99"/>
    <w:rsid w:val="00BE27DC"/>
    <w:rsid w:val="00BE69C8"/>
    <w:rsid w:val="00BF1EFC"/>
    <w:rsid w:val="00BF4D0B"/>
    <w:rsid w:val="00C04C7A"/>
    <w:rsid w:val="00C05ECF"/>
    <w:rsid w:val="00C075E1"/>
    <w:rsid w:val="00C17305"/>
    <w:rsid w:val="00C20E3E"/>
    <w:rsid w:val="00C30454"/>
    <w:rsid w:val="00C32B07"/>
    <w:rsid w:val="00C3683F"/>
    <w:rsid w:val="00C42472"/>
    <w:rsid w:val="00C53D37"/>
    <w:rsid w:val="00C76468"/>
    <w:rsid w:val="00C92394"/>
    <w:rsid w:val="00CA0D92"/>
    <w:rsid w:val="00CA1F2F"/>
    <w:rsid w:val="00CA3AD4"/>
    <w:rsid w:val="00CA488B"/>
    <w:rsid w:val="00CA571C"/>
    <w:rsid w:val="00CA73DA"/>
    <w:rsid w:val="00CB0544"/>
    <w:rsid w:val="00CC2389"/>
    <w:rsid w:val="00CC3279"/>
    <w:rsid w:val="00CC54F4"/>
    <w:rsid w:val="00CC5B49"/>
    <w:rsid w:val="00CD205F"/>
    <w:rsid w:val="00CD4CE0"/>
    <w:rsid w:val="00CD4E44"/>
    <w:rsid w:val="00CE09A4"/>
    <w:rsid w:val="00CE356C"/>
    <w:rsid w:val="00CE570A"/>
    <w:rsid w:val="00CF18BF"/>
    <w:rsid w:val="00CF2952"/>
    <w:rsid w:val="00CF68EC"/>
    <w:rsid w:val="00CF7A28"/>
    <w:rsid w:val="00CF7AEE"/>
    <w:rsid w:val="00D009FD"/>
    <w:rsid w:val="00D04479"/>
    <w:rsid w:val="00D045A8"/>
    <w:rsid w:val="00D06D00"/>
    <w:rsid w:val="00D149FD"/>
    <w:rsid w:val="00D237E1"/>
    <w:rsid w:val="00D25B31"/>
    <w:rsid w:val="00D32E1C"/>
    <w:rsid w:val="00D333F6"/>
    <w:rsid w:val="00D3617E"/>
    <w:rsid w:val="00D41D36"/>
    <w:rsid w:val="00D51182"/>
    <w:rsid w:val="00D511BC"/>
    <w:rsid w:val="00D512D5"/>
    <w:rsid w:val="00D52BA8"/>
    <w:rsid w:val="00D52E17"/>
    <w:rsid w:val="00D565D4"/>
    <w:rsid w:val="00D60B34"/>
    <w:rsid w:val="00D669B6"/>
    <w:rsid w:val="00D67F7F"/>
    <w:rsid w:val="00D72E89"/>
    <w:rsid w:val="00D75E80"/>
    <w:rsid w:val="00D77F71"/>
    <w:rsid w:val="00D819FF"/>
    <w:rsid w:val="00D83C44"/>
    <w:rsid w:val="00D85886"/>
    <w:rsid w:val="00D85BC4"/>
    <w:rsid w:val="00D9309C"/>
    <w:rsid w:val="00D93307"/>
    <w:rsid w:val="00DA29A5"/>
    <w:rsid w:val="00DA688B"/>
    <w:rsid w:val="00DB6AFE"/>
    <w:rsid w:val="00DC2741"/>
    <w:rsid w:val="00DC4E4D"/>
    <w:rsid w:val="00DC6ADD"/>
    <w:rsid w:val="00DD7ED0"/>
    <w:rsid w:val="00DF11DD"/>
    <w:rsid w:val="00DF7BF4"/>
    <w:rsid w:val="00E00784"/>
    <w:rsid w:val="00E02C23"/>
    <w:rsid w:val="00E05122"/>
    <w:rsid w:val="00E17C06"/>
    <w:rsid w:val="00E17D64"/>
    <w:rsid w:val="00E272A8"/>
    <w:rsid w:val="00E364A8"/>
    <w:rsid w:val="00E4204D"/>
    <w:rsid w:val="00E46B89"/>
    <w:rsid w:val="00E517A7"/>
    <w:rsid w:val="00E6543D"/>
    <w:rsid w:val="00E7219E"/>
    <w:rsid w:val="00E72E2F"/>
    <w:rsid w:val="00E81835"/>
    <w:rsid w:val="00E8671F"/>
    <w:rsid w:val="00E94104"/>
    <w:rsid w:val="00E954C3"/>
    <w:rsid w:val="00EB17D6"/>
    <w:rsid w:val="00EB3AD7"/>
    <w:rsid w:val="00EC0662"/>
    <w:rsid w:val="00EC3C55"/>
    <w:rsid w:val="00EC4FC8"/>
    <w:rsid w:val="00ED3C9B"/>
    <w:rsid w:val="00EE6A23"/>
    <w:rsid w:val="00F03B92"/>
    <w:rsid w:val="00F044F6"/>
    <w:rsid w:val="00F15AAD"/>
    <w:rsid w:val="00F15EF3"/>
    <w:rsid w:val="00F22ADC"/>
    <w:rsid w:val="00F314A0"/>
    <w:rsid w:val="00F316C2"/>
    <w:rsid w:val="00F33E8C"/>
    <w:rsid w:val="00F3555C"/>
    <w:rsid w:val="00F44983"/>
    <w:rsid w:val="00F46C22"/>
    <w:rsid w:val="00F47BBC"/>
    <w:rsid w:val="00F63E45"/>
    <w:rsid w:val="00F6453F"/>
    <w:rsid w:val="00F64583"/>
    <w:rsid w:val="00F65DE7"/>
    <w:rsid w:val="00F67411"/>
    <w:rsid w:val="00F67F9D"/>
    <w:rsid w:val="00F705A7"/>
    <w:rsid w:val="00FA1251"/>
    <w:rsid w:val="00FB2DEA"/>
    <w:rsid w:val="00FC4DBB"/>
    <w:rsid w:val="00FC6198"/>
    <w:rsid w:val="00FC7593"/>
    <w:rsid w:val="00FC7FB6"/>
    <w:rsid w:val="00FD1E10"/>
    <w:rsid w:val="00FE0DBB"/>
    <w:rsid w:val="00FE180B"/>
    <w:rsid w:val="00FE60B1"/>
    <w:rsid w:val="00FE7ADD"/>
    <w:rsid w:val="00FE7FA8"/>
    <w:rsid w:val="00FF0E69"/>
    <w:rsid w:val="01114ED0"/>
    <w:rsid w:val="01203FAE"/>
    <w:rsid w:val="013E0AFD"/>
    <w:rsid w:val="01417091"/>
    <w:rsid w:val="01902CB3"/>
    <w:rsid w:val="01B00680"/>
    <w:rsid w:val="01E67811"/>
    <w:rsid w:val="01E72142"/>
    <w:rsid w:val="01EE068A"/>
    <w:rsid w:val="01F5741D"/>
    <w:rsid w:val="022F4551"/>
    <w:rsid w:val="023E2261"/>
    <w:rsid w:val="02697964"/>
    <w:rsid w:val="026F1F5B"/>
    <w:rsid w:val="02A7615B"/>
    <w:rsid w:val="02BB4A6A"/>
    <w:rsid w:val="02EE4FBE"/>
    <w:rsid w:val="03030906"/>
    <w:rsid w:val="032C2B94"/>
    <w:rsid w:val="036412FD"/>
    <w:rsid w:val="03D60954"/>
    <w:rsid w:val="042B5EBC"/>
    <w:rsid w:val="04480344"/>
    <w:rsid w:val="049D397B"/>
    <w:rsid w:val="04C35D04"/>
    <w:rsid w:val="04D85410"/>
    <w:rsid w:val="04F93302"/>
    <w:rsid w:val="054E6D92"/>
    <w:rsid w:val="0558316D"/>
    <w:rsid w:val="05D865F8"/>
    <w:rsid w:val="05DC2FBD"/>
    <w:rsid w:val="05F76EA0"/>
    <w:rsid w:val="06226351"/>
    <w:rsid w:val="06325012"/>
    <w:rsid w:val="064635D5"/>
    <w:rsid w:val="069D5E27"/>
    <w:rsid w:val="06F876A2"/>
    <w:rsid w:val="071579E5"/>
    <w:rsid w:val="071D7ADD"/>
    <w:rsid w:val="07B13BB2"/>
    <w:rsid w:val="07C77499"/>
    <w:rsid w:val="07E9112E"/>
    <w:rsid w:val="07EA7730"/>
    <w:rsid w:val="08502203"/>
    <w:rsid w:val="085F7C90"/>
    <w:rsid w:val="08776FD7"/>
    <w:rsid w:val="087C5707"/>
    <w:rsid w:val="088D6EA9"/>
    <w:rsid w:val="08B13535"/>
    <w:rsid w:val="08D15B8E"/>
    <w:rsid w:val="09D7111B"/>
    <w:rsid w:val="09F71955"/>
    <w:rsid w:val="0A773F41"/>
    <w:rsid w:val="0A7C5539"/>
    <w:rsid w:val="0AB132CB"/>
    <w:rsid w:val="0B327DC8"/>
    <w:rsid w:val="0B456AA5"/>
    <w:rsid w:val="0B5605CC"/>
    <w:rsid w:val="0CCB447D"/>
    <w:rsid w:val="0D34461B"/>
    <w:rsid w:val="0D506932"/>
    <w:rsid w:val="0D7C27DB"/>
    <w:rsid w:val="0DA31637"/>
    <w:rsid w:val="0DCF17A6"/>
    <w:rsid w:val="0E0151EB"/>
    <w:rsid w:val="0E7A2D46"/>
    <w:rsid w:val="0E802022"/>
    <w:rsid w:val="0F341AFC"/>
    <w:rsid w:val="0F3E448E"/>
    <w:rsid w:val="0F66573A"/>
    <w:rsid w:val="0F6D416C"/>
    <w:rsid w:val="0F8F7EEC"/>
    <w:rsid w:val="0FC1640F"/>
    <w:rsid w:val="102651A0"/>
    <w:rsid w:val="1053344C"/>
    <w:rsid w:val="105C30B0"/>
    <w:rsid w:val="10707771"/>
    <w:rsid w:val="10DA5F85"/>
    <w:rsid w:val="111D63B8"/>
    <w:rsid w:val="11506EB5"/>
    <w:rsid w:val="11815BB8"/>
    <w:rsid w:val="11F87AE5"/>
    <w:rsid w:val="12381075"/>
    <w:rsid w:val="12490E8B"/>
    <w:rsid w:val="124E368A"/>
    <w:rsid w:val="12677404"/>
    <w:rsid w:val="12704669"/>
    <w:rsid w:val="129173C0"/>
    <w:rsid w:val="129B04FE"/>
    <w:rsid w:val="12AA7198"/>
    <w:rsid w:val="12F821AB"/>
    <w:rsid w:val="13225E3B"/>
    <w:rsid w:val="138F31C3"/>
    <w:rsid w:val="13910349"/>
    <w:rsid w:val="13C82085"/>
    <w:rsid w:val="13F56BD4"/>
    <w:rsid w:val="141D437D"/>
    <w:rsid w:val="14DC2E12"/>
    <w:rsid w:val="15195D1C"/>
    <w:rsid w:val="152D05F0"/>
    <w:rsid w:val="154E0133"/>
    <w:rsid w:val="15560482"/>
    <w:rsid w:val="15897F1C"/>
    <w:rsid w:val="15B80F2E"/>
    <w:rsid w:val="16293861"/>
    <w:rsid w:val="16306F54"/>
    <w:rsid w:val="165169E0"/>
    <w:rsid w:val="166B5A28"/>
    <w:rsid w:val="16AE1C29"/>
    <w:rsid w:val="16D40834"/>
    <w:rsid w:val="17480454"/>
    <w:rsid w:val="17694C00"/>
    <w:rsid w:val="178A26E7"/>
    <w:rsid w:val="17946704"/>
    <w:rsid w:val="17A96897"/>
    <w:rsid w:val="18412F04"/>
    <w:rsid w:val="18670093"/>
    <w:rsid w:val="18787FB3"/>
    <w:rsid w:val="1886417E"/>
    <w:rsid w:val="18A70EE1"/>
    <w:rsid w:val="18A87739"/>
    <w:rsid w:val="18AA191B"/>
    <w:rsid w:val="18C24DB9"/>
    <w:rsid w:val="191E06DC"/>
    <w:rsid w:val="192341E3"/>
    <w:rsid w:val="197A4DE9"/>
    <w:rsid w:val="19C105F4"/>
    <w:rsid w:val="19F25807"/>
    <w:rsid w:val="1A197C3F"/>
    <w:rsid w:val="1A2735AF"/>
    <w:rsid w:val="1AB83B5A"/>
    <w:rsid w:val="1AE71E0A"/>
    <w:rsid w:val="1B4E5AA9"/>
    <w:rsid w:val="1B511CAF"/>
    <w:rsid w:val="1C1921C8"/>
    <w:rsid w:val="1C60574F"/>
    <w:rsid w:val="1CE14481"/>
    <w:rsid w:val="1D270867"/>
    <w:rsid w:val="1DAF4FC5"/>
    <w:rsid w:val="1E014C93"/>
    <w:rsid w:val="1E4944DC"/>
    <w:rsid w:val="1EC30CED"/>
    <w:rsid w:val="1ECD7F6E"/>
    <w:rsid w:val="1EDA5BA1"/>
    <w:rsid w:val="1EFF541A"/>
    <w:rsid w:val="1F1F594C"/>
    <w:rsid w:val="1F3179C8"/>
    <w:rsid w:val="1FFE4568"/>
    <w:rsid w:val="2000527E"/>
    <w:rsid w:val="205B6309"/>
    <w:rsid w:val="20964CA7"/>
    <w:rsid w:val="20BC3380"/>
    <w:rsid w:val="20CD31E0"/>
    <w:rsid w:val="2109077D"/>
    <w:rsid w:val="211F4451"/>
    <w:rsid w:val="213F5933"/>
    <w:rsid w:val="221D65B8"/>
    <w:rsid w:val="224D6EA7"/>
    <w:rsid w:val="225E628C"/>
    <w:rsid w:val="22A939AB"/>
    <w:rsid w:val="22E249EA"/>
    <w:rsid w:val="22F02667"/>
    <w:rsid w:val="234C65D4"/>
    <w:rsid w:val="23BE6313"/>
    <w:rsid w:val="24180F15"/>
    <w:rsid w:val="245142FB"/>
    <w:rsid w:val="2469704F"/>
    <w:rsid w:val="24722324"/>
    <w:rsid w:val="24D776A1"/>
    <w:rsid w:val="24ED38F7"/>
    <w:rsid w:val="25311A36"/>
    <w:rsid w:val="26285D44"/>
    <w:rsid w:val="263C68E5"/>
    <w:rsid w:val="26776149"/>
    <w:rsid w:val="267C5DE3"/>
    <w:rsid w:val="26947F63"/>
    <w:rsid w:val="26BE72FA"/>
    <w:rsid w:val="26D677E7"/>
    <w:rsid w:val="275A4E22"/>
    <w:rsid w:val="27A14CF0"/>
    <w:rsid w:val="27F50BDE"/>
    <w:rsid w:val="28081242"/>
    <w:rsid w:val="28235FAE"/>
    <w:rsid w:val="28BB254B"/>
    <w:rsid w:val="28E868B0"/>
    <w:rsid w:val="295E3016"/>
    <w:rsid w:val="29B12F1C"/>
    <w:rsid w:val="29CC0BB7"/>
    <w:rsid w:val="2A0D01D5"/>
    <w:rsid w:val="2A4A4462"/>
    <w:rsid w:val="2A5B7B7F"/>
    <w:rsid w:val="2A622D69"/>
    <w:rsid w:val="2B724F9D"/>
    <w:rsid w:val="2B870602"/>
    <w:rsid w:val="2C14315F"/>
    <w:rsid w:val="2C69551C"/>
    <w:rsid w:val="2C874E55"/>
    <w:rsid w:val="2C8A7CB4"/>
    <w:rsid w:val="2C954FA0"/>
    <w:rsid w:val="2CC35400"/>
    <w:rsid w:val="2D0B213D"/>
    <w:rsid w:val="2D1129C3"/>
    <w:rsid w:val="2D3C541C"/>
    <w:rsid w:val="2D7828F8"/>
    <w:rsid w:val="2D7D7A5A"/>
    <w:rsid w:val="2D957BDB"/>
    <w:rsid w:val="2DB02DE3"/>
    <w:rsid w:val="2DB92947"/>
    <w:rsid w:val="2E076472"/>
    <w:rsid w:val="2E5802B0"/>
    <w:rsid w:val="2E644C2A"/>
    <w:rsid w:val="2E987C2B"/>
    <w:rsid w:val="2ECE1AFF"/>
    <w:rsid w:val="2ED16566"/>
    <w:rsid w:val="2ED5090E"/>
    <w:rsid w:val="2F2873AD"/>
    <w:rsid w:val="2F4620F3"/>
    <w:rsid w:val="2F7F6EC8"/>
    <w:rsid w:val="2FC86BD7"/>
    <w:rsid w:val="2FF722FC"/>
    <w:rsid w:val="303C0EF3"/>
    <w:rsid w:val="306005E3"/>
    <w:rsid w:val="30780F6B"/>
    <w:rsid w:val="30E62234"/>
    <w:rsid w:val="31195FA1"/>
    <w:rsid w:val="31B40F34"/>
    <w:rsid w:val="31C072D3"/>
    <w:rsid w:val="322D2CA6"/>
    <w:rsid w:val="32D35C07"/>
    <w:rsid w:val="32F71032"/>
    <w:rsid w:val="32F76772"/>
    <w:rsid w:val="33095BFF"/>
    <w:rsid w:val="33100D42"/>
    <w:rsid w:val="33282A03"/>
    <w:rsid w:val="33C92BFC"/>
    <w:rsid w:val="343F10D3"/>
    <w:rsid w:val="34B6406F"/>
    <w:rsid w:val="34D523DE"/>
    <w:rsid w:val="35116AF0"/>
    <w:rsid w:val="356C076F"/>
    <w:rsid w:val="356C2617"/>
    <w:rsid w:val="358F23B9"/>
    <w:rsid w:val="35987525"/>
    <w:rsid w:val="35CD7CF6"/>
    <w:rsid w:val="362D0AB7"/>
    <w:rsid w:val="364B468C"/>
    <w:rsid w:val="36590DED"/>
    <w:rsid w:val="36913491"/>
    <w:rsid w:val="36B67FED"/>
    <w:rsid w:val="36DD3FFB"/>
    <w:rsid w:val="372840E2"/>
    <w:rsid w:val="372853C4"/>
    <w:rsid w:val="37AB5C27"/>
    <w:rsid w:val="37CB2F23"/>
    <w:rsid w:val="37FD45CF"/>
    <w:rsid w:val="38327AC1"/>
    <w:rsid w:val="383B5283"/>
    <w:rsid w:val="38583310"/>
    <w:rsid w:val="38B65005"/>
    <w:rsid w:val="38BB18EB"/>
    <w:rsid w:val="38E45167"/>
    <w:rsid w:val="38ED4C38"/>
    <w:rsid w:val="39224E04"/>
    <w:rsid w:val="39231639"/>
    <w:rsid w:val="39BF6ED2"/>
    <w:rsid w:val="39EE4765"/>
    <w:rsid w:val="3A161D4E"/>
    <w:rsid w:val="3A5A3FF8"/>
    <w:rsid w:val="3B19203D"/>
    <w:rsid w:val="3B2E0471"/>
    <w:rsid w:val="3B5B306F"/>
    <w:rsid w:val="3B7D7C2E"/>
    <w:rsid w:val="3BB47700"/>
    <w:rsid w:val="3BCD29E7"/>
    <w:rsid w:val="3C280A99"/>
    <w:rsid w:val="3C317A73"/>
    <w:rsid w:val="3C5D43C4"/>
    <w:rsid w:val="3C925059"/>
    <w:rsid w:val="3CA54FAC"/>
    <w:rsid w:val="3CB82FDB"/>
    <w:rsid w:val="3D4A270A"/>
    <w:rsid w:val="3D5E4F3B"/>
    <w:rsid w:val="3E2D1BAD"/>
    <w:rsid w:val="3E391FCF"/>
    <w:rsid w:val="3E447BCD"/>
    <w:rsid w:val="3E4916D5"/>
    <w:rsid w:val="3E7C124F"/>
    <w:rsid w:val="3ECE0DFA"/>
    <w:rsid w:val="3ED026C7"/>
    <w:rsid w:val="3F002817"/>
    <w:rsid w:val="3F8729EF"/>
    <w:rsid w:val="3F9270DB"/>
    <w:rsid w:val="3FA340FF"/>
    <w:rsid w:val="3FB652F4"/>
    <w:rsid w:val="3FD12C67"/>
    <w:rsid w:val="404D27E8"/>
    <w:rsid w:val="406B0314"/>
    <w:rsid w:val="40977E02"/>
    <w:rsid w:val="40A22178"/>
    <w:rsid w:val="40B97058"/>
    <w:rsid w:val="41474505"/>
    <w:rsid w:val="418F672F"/>
    <w:rsid w:val="41B04DE3"/>
    <w:rsid w:val="42433786"/>
    <w:rsid w:val="42434432"/>
    <w:rsid w:val="42B45D29"/>
    <w:rsid w:val="42CF10D2"/>
    <w:rsid w:val="42DD6309"/>
    <w:rsid w:val="43153830"/>
    <w:rsid w:val="432E6BDB"/>
    <w:rsid w:val="436F39FE"/>
    <w:rsid w:val="43757F79"/>
    <w:rsid w:val="438549F1"/>
    <w:rsid w:val="43960ACF"/>
    <w:rsid w:val="44451961"/>
    <w:rsid w:val="447D2D74"/>
    <w:rsid w:val="44852366"/>
    <w:rsid w:val="44875AB2"/>
    <w:rsid w:val="44B02520"/>
    <w:rsid w:val="44C61F7F"/>
    <w:rsid w:val="45D33689"/>
    <w:rsid w:val="45E13FD8"/>
    <w:rsid w:val="45F62029"/>
    <w:rsid w:val="46192DDC"/>
    <w:rsid w:val="463D6469"/>
    <w:rsid w:val="466D7720"/>
    <w:rsid w:val="46C35267"/>
    <w:rsid w:val="46C626C8"/>
    <w:rsid w:val="46DA1AD6"/>
    <w:rsid w:val="471C6760"/>
    <w:rsid w:val="47807760"/>
    <w:rsid w:val="47A22B15"/>
    <w:rsid w:val="480768FB"/>
    <w:rsid w:val="48A76B24"/>
    <w:rsid w:val="48DE7532"/>
    <w:rsid w:val="49110E87"/>
    <w:rsid w:val="49191930"/>
    <w:rsid w:val="494F34B5"/>
    <w:rsid w:val="499727CC"/>
    <w:rsid w:val="4A58168F"/>
    <w:rsid w:val="4A5D6CA6"/>
    <w:rsid w:val="4A633B90"/>
    <w:rsid w:val="4A700485"/>
    <w:rsid w:val="4A9961F4"/>
    <w:rsid w:val="4A9D6407"/>
    <w:rsid w:val="4ADB5E1D"/>
    <w:rsid w:val="4AF85D75"/>
    <w:rsid w:val="4B140074"/>
    <w:rsid w:val="4B187071"/>
    <w:rsid w:val="4B4B169A"/>
    <w:rsid w:val="4B985ABC"/>
    <w:rsid w:val="4BCA28F2"/>
    <w:rsid w:val="4C5E0AB3"/>
    <w:rsid w:val="4D0201D0"/>
    <w:rsid w:val="4DA6059D"/>
    <w:rsid w:val="4EAB592A"/>
    <w:rsid w:val="4F1E5A43"/>
    <w:rsid w:val="4F74239C"/>
    <w:rsid w:val="4F744EA1"/>
    <w:rsid w:val="4F8C6237"/>
    <w:rsid w:val="4F974FBA"/>
    <w:rsid w:val="4FC05E03"/>
    <w:rsid w:val="504113E9"/>
    <w:rsid w:val="504A1A7A"/>
    <w:rsid w:val="504D633C"/>
    <w:rsid w:val="507F0013"/>
    <w:rsid w:val="50DE2243"/>
    <w:rsid w:val="510A064E"/>
    <w:rsid w:val="513E671B"/>
    <w:rsid w:val="51684408"/>
    <w:rsid w:val="519640F9"/>
    <w:rsid w:val="51C70710"/>
    <w:rsid w:val="51D452B3"/>
    <w:rsid w:val="51E22416"/>
    <w:rsid w:val="51EA2E79"/>
    <w:rsid w:val="51F817CF"/>
    <w:rsid w:val="524C64F4"/>
    <w:rsid w:val="525E6322"/>
    <w:rsid w:val="52C11D9C"/>
    <w:rsid w:val="52CF6267"/>
    <w:rsid w:val="53273664"/>
    <w:rsid w:val="53476745"/>
    <w:rsid w:val="535B54FD"/>
    <w:rsid w:val="53695333"/>
    <w:rsid w:val="537137C2"/>
    <w:rsid w:val="53AB1E8E"/>
    <w:rsid w:val="53CC1BFA"/>
    <w:rsid w:val="53EC78B0"/>
    <w:rsid w:val="54430EA5"/>
    <w:rsid w:val="54531F10"/>
    <w:rsid w:val="54A0435F"/>
    <w:rsid w:val="54D050C0"/>
    <w:rsid w:val="55FC61FC"/>
    <w:rsid w:val="56375D43"/>
    <w:rsid w:val="564C5E20"/>
    <w:rsid w:val="56A52607"/>
    <w:rsid w:val="56B56DB4"/>
    <w:rsid w:val="56E86EB7"/>
    <w:rsid w:val="57025CE8"/>
    <w:rsid w:val="57027CE0"/>
    <w:rsid w:val="57297BF4"/>
    <w:rsid w:val="57715B3F"/>
    <w:rsid w:val="5793679F"/>
    <w:rsid w:val="57B62582"/>
    <w:rsid w:val="58294CE8"/>
    <w:rsid w:val="584D0484"/>
    <w:rsid w:val="58DA02A2"/>
    <w:rsid w:val="5915449C"/>
    <w:rsid w:val="59781FA5"/>
    <w:rsid w:val="598D22F5"/>
    <w:rsid w:val="59A91B64"/>
    <w:rsid w:val="5A01364A"/>
    <w:rsid w:val="5A26212C"/>
    <w:rsid w:val="5A5955D5"/>
    <w:rsid w:val="5A806A0A"/>
    <w:rsid w:val="5B1D29B8"/>
    <w:rsid w:val="5B5E287E"/>
    <w:rsid w:val="5B7F0004"/>
    <w:rsid w:val="5C0607FD"/>
    <w:rsid w:val="5C2A31FA"/>
    <w:rsid w:val="5C380834"/>
    <w:rsid w:val="5C716E73"/>
    <w:rsid w:val="5C794888"/>
    <w:rsid w:val="5CB00ABE"/>
    <w:rsid w:val="5CFC3032"/>
    <w:rsid w:val="5D310209"/>
    <w:rsid w:val="5D3C343B"/>
    <w:rsid w:val="5D437DED"/>
    <w:rsid w:val="5D5906EC"/>
    <w:rsid w:val="5D6B3362"/>
    <w:rsid w:val="5D7D17F1"/>
    <w:rsid w:val="5D81769E"/>
    <w:rsid w:val="5DC242DC"/>
    <w:rsid w:val="5DE204E8"/>
    <w:rsid w:val="5DEB64C7"/>
    <w:rsid w:val="5E442C0E"/>
    <w:rsid w:val="5E6E2DD8"/>
    <w:rsid w:val="5E7F6CE6"/>
    <w:rsid w:val="5EB12A83"/>
    <w:rsid w:val="5EBC3097"/>
    <w:rsid w:val="5EDA182A"/>
    <w:rsid w:val="5F13397F"/>
    <w:rsid w:val="5F1E2FCC"/>
    <w:rsid w:val="5F470A9A"/>
    <w:rsid w:val="5F6B5B0B"/>
    <w:rsid w:val="5F881CA8"/>
    <w:rsid w:val="5F954394"/>
    <w:rsid w:val="5FF94B2B"/>
    <w:rsid w:val="5FFE2B32"/>
    <w:rsid w:val="60D87ACC"/>
    <w:rsid w:val="610F33A0"/>
    <w:rsid w:val="613D1D56"/>
    <w:rsid w:val="620E08A5"/>
    <w:rsid w:val="624212D6"/>
    <w:rsid w:val="62421E42"/>
    <w:rsid w:val="625B09FA"/>
    <w:rsid w:val="62906FB9"/>
    <w:rsid w:val="63332665"/>
    <w:rsid w:val="63B31C5B"/>
    <w:rsid w:val="63CF256B"/>
    <w:rsid w:val="640E5EEF"/>
    <w:rsid w:val="643B6D5C"/>
    <w:rsid w:val="6458784D"/>
    <w:rsid w:val="64966F85"/>
    <w:rsid w:val="64CB7B8C"/>
    <w:rsid w:val="64D056B7"/>
    <w:rsid w:val="65237298"/>
    <w:rsid w:val="657C4CC0"/>
    <w:rsid w:val="6606102C"/>
    <w:rsid w:val="66CD08B8"/>
    <w:rsid w:val="66D67D9F"/>
    <w:rsid w:val="670876D9"/>
    <w:rsid w:val="676807BF"/>
    <w:rsid w:val="679307D7"/>
    <w:rsid w:val="67E1286C"/>
    <w:rsid w:val="67FE6FED"/>
    <w:rsid w:val="680037B6"/>
    <w:rsid w:val="68012F0F"/>
    <w:rsid w:val="6852229A"/>
    <w:rsid w:val="68921DB9"/>
    <w:rsid w:val="690744A3"/>
    <w:rsid w:val="691C289A"/>
    <w:rsid w:val="693D2E71"/>
    <w:rsid w:val="693E784B"/>
    <w:rsid w:val="694442E9"/>
    <w:rsid w:val="697238CA"/>
    <w:rsid w:val="69E161A9"/>
    <w:rsid w:val="69E76C4B"/>
    <w:rsid w:val="6A4B0B30"/>
    <w:rsid w:val="6A531627"/>
    <w:rsid w:val="6A6665A4"/>
    <w:rsid w:val="6A8D08F9"/>
    <w:rsid w:val="6AB84BCB"/>
    <w:rsid w:val="6B160007"/>
    <w:rsid w:val="6B547EBF"/>
    <w:rsid w:val="6B8D03FB"/>
    <w:rsid w:val="6BAC10A4"/>
    <w:rsid w:val="6BCD6424"/>
    <w:rsid w:val="6BD727A1"/>
    <w:rsid w:val="6C60324B"/>
    <w:rsid w:val="6D047C43"/>
    <w:rsid w:val="6D5B34FD"/>
    <w:rsid w:val="6D962F62"/>
    <w:rsid w:val="6DD17521"/>
    <w:rsid w:val="6DF6357B"/>
    <w:rsid w:val="6E101721"/>
    <w:rsid w:val="6E3012CF"/>
    <w:rsid w:val="6F134A24"/>
    <w:rsid w:val="6F320A1F"/>
    <w:rsid w:val="6F5D0DBA"/>
    <w:rsid w:val="700049D5"/>
    <w:rsid w:val="704D3347"/>
    <w:rsid w:val="70667494"/>
    <w:rsid w:val="706E30C1"/>
    <w:rsid w:val="70714C0A"/>
    <w:rsid w:val="71211F2C"/>
    <w:rsid w:val="71BB5678"/>
    <w:rsid w:val="72113D4E"/>
    <w:rsid w:val="72366A25"/>
    <w:rsid w:val="72536115"/>
    <w:rsid w:val="725724F6"/>
    <w:rsid w:val="72AF513B"/>
    <w:rsid w:val="72B556A2"/>
    <w:rsid w:val="73A94E78"/>
    <w:rsid w:val="743113F7"/>
    <w:rsid w:val="744427D2"/>
    <w:rsid w:val="74825E96"/>
    <w:rsid w:val="74827E8F"/>
    <w:rsid w:val="75B82733"/>
    <w:rsid w:val="75DD7E04"/>
    <w:rsid w:val="760D2C07"/>
    <w:rsid w:val="7649078F"/>
    <w:rsid w:val="7682346D"/>
    <w:rsid w:val="76A154CA"/>
    <w:rsid w:val="76D71EFC"/>
    <w:rsid w:val="773724A9"/>
    <w:rsid w:val="775661B9"/>
    <w:rsid w:val="77BE0AF9"/>
    <w:rsid w:val="77F20C9D"/>
    <w:rsid w:val="783A7BA4"/>
    <w:rsid w:val="783C589D"/>
    <w:rsid w:val="78B13B95"/>
    <w:rsid w:val="790D1268"/>
    <w:rsid w:val="79206F6D"/>
    <w:rsid w:val="792749DE"/>
    <w:rsid w:val="792A4A6E"/>
    <w:rsid w:val="793C46B9"/>
    <w:rsid w:val="7944350D"/>
    <w:rsid w:val="79570BE0"/>
    <w:rsid w:val="79B00956"/>
    <w:rsid w:val="7A255D4E"/>
    <w:rsid w:val="7A732ABC"/>
    <w:rsid w:val="7A805F15"/>
    <w:rsid w:val="7A89335E"/>
    <w:rsid w:val="7AA61025"/>
    <w:rsid w:val="7B1476FA"/>
    <w:rsid w:val="7B2D3043"/>
    <w:rsid w:val="7B774DF6"/>
    <w:rsid w:val="7C23124E"/>
    <w:rsid w:val="7C563781"/>
    <w:rsid w:val="7C727709"/>
    <w:rsid w:val="7CB80723"/>
    <w:rsid w:val="7CCF6862"/>
    <w:rsid w:val="7CF24954"/>
    <w:rsid w:val="7D275B8C"/>
    <w:rsid w:val="7D2F110C"/>
    <w:rsid w:val="7D821773"/>
    <w:rsid w:val="7DD345AE"/>
    <w:rsid w:val="7DD6488A"/>
    <w:rsid w:val="7DD65E4C"/>
    <w:rsid w:val="7E21356B"/>
    <w:rsid w:val="7E4F56A7"/>
    <w:rsid w:val="7E6446CC"/>
    <w:rsid w:val="7EC46081"/>
    <w:rsid w:val="7EFA3986"/>
    <w:rsid w:val="7EFE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39" w:semiHidden="0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qFormat="1" w:uiPriority="99" w:semiHidden="0" w:name="HTML Typewriter"/>
    <w:lsdException w:qFormat="1" w:uiPriority="99" w:semiHidden="0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hAnsi="黑体"/>
      <w:kern w:val="0"/>
      <w:sz w:val="32"/>
    </w:rPr>
  </w:style>
  <w:style w:type="paragraph" w:styleId="2">
    <w:name w:val="heading 2"/>
    <w:basedOn w:val="1"/>
    <w:next w:val="3"/>
    <w:link w:val="4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50"/>
    <w:qFormat/>
    <w:uiPriority w:val="9"/>
    <w:pPr>
      <w:tabs>
        <w:tab w:val="left" w:pos="851"/>
      </w:tabs>
      <w:autoSpaceDE w:val="0"/>
      <w:autoSpaceDN w:val="0"/>
      <w:adjustRightInd w:val="0"/>
      <w:snapToGrid w:val="0"/>
      <w:spacing w:line="360" w:lineRule="auto"/>
      <w:outlineLvl w:val="2"/>
    </w:pPr>
    <w:rPr>
      <w:rFonts w:hint="eastAsia" w:ascii="宋体" w:cs="宋体"/>
      <w:kern w:val="0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link w:val="61"/>
    <w:unhideWhenUsed/>
    <w:qFormat/>
    <w:uiPriority w:val="99"/>
    <w:pPr>
      <w:ind w:firstLine="420" w:firstLineChars="200"/>
    </w:pPr>
    <w:rPr>
      <w:kern w:val="0"/>
      <w:sz w:val="20"/>
      <w:szCs w:val="24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8">
    <w:name w:val="table of authorities"/>
    <w:basedOn w:val="1"/>
    <w:next w:val="1"/>
    <w:qFormat/>
    <w:uiPriority w:val="0"/>
    <w:pPr>
      <w:adjustRightInd w:val="0"/>
      <w:ind w:left="280" w:hanging="280"/>
      <w:jc w:val="left"/>
      <w:textAlignment w:val="baseline"/>
    </w:pPr>
    <w:rPr>
      <w:kern w:val="0"/>
      <w:sz w:val="20"/>
      <w:szCs w:val="20"/>
    </w:rPr>
  </w:style>
  <w:style w:type="paragraph" w:styleId="9">
    <w:name w:val="annotation text"/>
    <w:basedOn w:val="1"/>
    <w:link w:val="72"/>
    <w:unhideWhenUsed/>
    <w:qFormat/>
    <w:uiPriority w:val="99"/>
    <w:pPr>
      <w:jc w:val="left"/>
    </w:pPr>
  </w:style>
  <w:style w:type="paragraph" w:styleId="10">
    <w:name w:val="Body Text"/>
    <w:basedOn w:val="1"/>
    <w:next w:val="11"/>
    <w:link w:val="58"/>
    <w:unhideWhenUsed/>
    <w:qFormat/>
    <w:uiPriority w:val="99"/>
    <w:pPr>
      <w:spacing w:after="120"/>
    </w:pPr>
  </w:style>
  <w:style w:type="paragraph" w:customStyle="1" w:styleId="11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宋体_x0002_ā" w:hAnsi="Times New Roman" w:eastAsia="宋体_x0002_ā" w:cs="宋体_x0002_ā"/>
      <w:color w:val="000000"/>
      <w:sz w:val="24"/>
      <w:szCs w:val="24"/>
      <w:lang w:val="en-US" w:eastAsia="zh-CN" w:bidi="ar-SA"/>
    </w:rPr>
  </w:style>
  <w:style w:type="paragraph" w:styleId="12">
    <w:name w:val="Date"/>
    <w:basedOn w:val="1"/>
    <w:next w:val="1"/>
    <w:qFormat/>
    <w:uiPriority w:val="0"/>
    <w:rPr>
      <w:sz w:val="24"/>
    </w:rPr>
  </w:style>
  <w:style w:type="paragraph" w:styleId="13">
    <w:name w:val="Body Text Indent"/>
    <w:basedOn w:val="1"/>
    <w:next w:val="14"/>
    <w:link w:val="53"/>
    <w:unhideWhenUsed/>
    <w:qFormat/>
    <w:uiPriority w:val="99"/>
    <w:pPr>
      <w:ind w:firstLine="600" w:firstLineChars="200"/>
    </w:pPr>
    <w:rPr>
      <w:rFonts w:eastAsia="楷体_GB2312"/>
      <w:sz w:val="30"/>
      <w:szCs w:val="24"/>
    </w:rPr>
  </w:style>
  <w:style w:type="paragraph" w:styleId="14">
    <w:name w:val="Body Text First Indent 2"/>
    <w:basedOn w:val="13"/>
    <w:next w:val="1"/>
    <w:qFormat/>
    <w:uiPriority w:val="0"/>
    <w:pPr>
      <w:ind w:firstLine="420"/>
    </w:pPr>
  </w:style>
  <w:style w:type="paragraph" w:styleId="15">
    <w:name w:val="Plain Text"/>
    <w:basedOn w:val="1"/>
    <w:link w:val="64"/>
    <w:qFormat/>
    <w:uiPriority w:val="0"/>
    <w:rPr>
      <w:rFonts w:ascii="宋体" w:hAnsi="Courier New" w:cstheme="minorBidi"/>
    </w:rPr>
  </w:style>
  <w:style w:type="paragraph" w:styleId="16">
    <w:name w:val="Body Text Indent 2"/>
    <w:basedOn w:val="1"/>
    <w:link w:val="55"/>
    <w:unhideWhenUsed/>
    <w:qFormat/>
    <w:uiPriority w:val="99"/>
    <w:pPr>
      <w:ind w:left="600"/>
    </w:pPr>
    <w:rPr>
      <w:rFonts w:eastAsia="楷体_GB2312"/>
      <w:sz w:val="30"/>
      <w:szCs w:val="24"/>
    </w:rPr>
  </w:style>
  <w:style w:type="paragraph" w:styleId="17">
    <w:name w:val="Balloon Text"/>
    <w:basedOn w:val="1"/>
    <w:link w:val="60"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4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rPr>
      <w:szCs w:val="24"/>
    </w:rPr>
  </w:style>
  <w:style w:type="paragraph" w:styleId="2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2">
    <w:name w:val="toc 9"/>
    <w:basedOn w:val="1"/>
    <w:next w:val="1"/>
    <w:qFormat/>
    <w:uiPriority w:val="39"/>
    <w:pPr>
      <w:ind w:left="1680"/>
      <w:jc w:val="left"/>
    </w:pPr>
    <w:rPr>
      <w:sz w:val="18"/>
      <w:szCs w:val="18"/>
    </w:rPr>
  </w:style>
  <w:style w:type="paragraph" w:styleId="2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24">
    <w:name w:val="annotation subject"/>
    <w:basedOn w:val="9"/>
    <w:next w:val="9"/>
    <w:link w:val="74"/>
    <w:unhideWhenUsed/>
    <w:qFormat/>
    <w:uiPriority w:val="99"/>
    <w:rPr>
      <w:b/>
      <w:bCs/>
    </w:rPr>
  </w:style>
  <w:style w:type="paragraph" w:styleId="25">
    <w:name w:val="Body Text First Indent"/>
    <w:basedOn w:val="10"/>
    <w:next w:val="14"/>
    <w:link w:val="59"/>
    <w:unhideWhenUsed/>
    <w:qFormat/>
    <w:uiPriority w:val="99"/>
    <w:pPr>
      <w:ind w:firstLine="420" w:firstLineChars="100"/>
    </w:pPr>
  </w:style>
  <w:style w:type="table" w:styleId="27">
    <w:name w:val="Table Grid"/>
    <w:basedOn w:val="2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qFormat/>
    <w:uiPriority w:val="0"/>
    <w:rPr>
      <w:b/>
      <w:bCs/>
    </w:rPr>
  </w:style>
  <w:style w:type="character" w:styleId="30">
    <w:name w:val="page number"/>
    <w:basedOn w:val="28"/>
    <w:qFormat/>
    <w:uiPriority w:val="0"/>
  </w:style>
  <w:style w:type="character" w:styleId="31">
    <w:name w:val="FollowedHyperlink"/>
    <w:basedOn w:val="28"/>
    <w:qFormat/>
    <w:uiPriority w:val="0"/>
    <w:rPr>
      <w:color w:val="000000"/>
      <w:u w:val="none"/>
    </w:rPr>
  </w:style>
  <w:style w:type="character" w:styleId="32">
    <w:name w:val="HTML Definition"/>
    <w:basedOn w:val="28"/>
    <w:unhideWhenUsed/>
    <w:qFormat/>
    <w:uiPriority w:val="99"/>
  </w:style>
  <w:style w:type="character" w:styleId="33">
    <w:name w:val="HTML Typewriter"/>
    <w:basedOn w:val="28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4">
    <w:name w:val="HTML Acronym"/>
    <w:basedOn w:val="28"/>
    <w:unhideWhenUsed/>
    <w:qFormat/>
    <w:uiPriority w:val="99"/>
  </w:style>
  <w:style w:type="character" w:styleId="35">
    <w:name w:val="HTML Variable"/>
    <w:basedOn w:val="28"/>
    <w:unhideWhenUsed/>
    <w:qFormat/>
    <w:uiPriority w:val="99"/>
  </w:style>
  <w:style w:type="character" w:styleId="36">
    <w:name w:val="Hyperlink"/>
    <w:basedOn w:val="28"/>
    <w:unhideWhenUsed/>
    <w:qFormat/>
    <w:uiPriority w:val="99"/>
    <w:rPr>
      <w:color w:val="000000"/>
      <w:u w:val="none"/>
    </w:rPr>
  </w:style>
  <w:style w:type="character" w:styleId="37">
    <w:name w:val="HTML Code"/>
    <w:basedOn w:val="28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8">
    <w:name w:val="annotation reference"/>
    <w:basedOn w:val="28"/>
    <w:unhideWhenUsed/>
    <w:qFormat/>
    <w:uiPriority w:val="99"/>
    <w:rPr>
      <w:sz w:val="21"/>
      <w:szCs w:val="21"/>
    </w:rPr>
  </w:style>
  <w:style w:type="character" w:styleId="39">
    <w:name w:val="HTML Cite"/>
    <w:basedOn w:val="28"/>
    <w:unhideWhenUsed/>
    <w:qFormat/>
    <w:uiPriority w:val="99"/>
  </w:style>
  <w:style w:type="character" w:styleId="40">
    <w:name w:val="HTML Keyboard"/>
    <w:basedOn w:val="28"/>
    <w:unhideWhenUsed/>
    <w:qFormat/>
    <w:uiPriority w:val="99"/>
    <w:rPr>
      <w:rFonts w:ascii="monospace" w:hAnsi="monospace" w:eastAsia="monospace" w:cs="monospace"/>
      <w:sz w:val="20"/>
    </w:rPr>
  </w:style>
  <w:style w:type="character" w:styleId="41">
    <w:name w:val="HTML Sample"/>
    <w:basedOn w:val="28"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42">
    <w:name w:val="文档正文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43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正文格式"/>
    <w:basedOn w:val="1"/>
    <w:qFormat/>
    <w:uiPriority w:val="0"/>
    <w:pPr>
      <w:widowControl/>
      <w:adjustRightInd w:val="0"/>
      <w:snapToGrid w:val="0"/>
      <w:spacing w:line="360" w:lineRule="atLeast"/>
      <w:ind w:firstLine="482"/>
      <w:textAlignment w:val="baseline"/>
    </w:pPr>
    <w:rPr>
      <w:kern w:val="0"/>
      <w:sz w:val="24"/>
    </w:rPr>
  </w:style>
  <w:style w:type="character" w:customStyle="1" w:styleId="45">
    <w:name w:val="标题 2 字符"/>
    <w:basedOn w:val="28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46">
    <w:name w:val="章节题目"/>
    <w:basedOn w:val="47"/>
    <w:next w:val="1"/>
    <w:qFormat/>
    <w:uiPriority w:val="0"/>
    <w:pPr>
      <w:spacing w:before="72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customStyle="1" w:styleId="47">
    <w:name w:val="基准标题"/>
    <w:basedOn w:val="1"/>
    <w:next w:val="10"/>
    <w:qFormat/>
    <w:uiPriority w:val="0"/>
    <w:pPr>
      <w:keepNext/>
      <w:keepLines/>
      <w:spacing w:before="140" w:line="220" w:lineRule="atLeast"/>
    </w:pPr>
    <w:rPr>
      <w:rFonts w:ascii="Arial" w:hAnsi="Arial"/>
      <w:spacing w:val="-4"/>
      <w:kern w:val="28"/>
      <w:sz w:val="22"/>
    </w:rPr>
  </w:style>
  <w:style w:type="character" w:customStyle="1" w:styleId="48">
    <w:name w:val="页眉 字符"/>
    <w:basedOn w:val="28"/>
    <w:link w:val="19"/>
    <w:qFormat/>
    <w:uiPriority w:val="0"/>
    <w:rPr>
      <w:sz w:val="18"/>
      <w:szCs w:val="18"/>
    </w:rPr>
  </w:style>
  <w:style w:type="character" w:customStyle="1" w:styleId="49">
    <w:name w:val="页脚 字符"/>
    <w:basedOn w:val="28"/>
    <w:link w:val="18"/>
    <w:qFormat/>
    <w:uiPriority w:val="0"/>
    <w:rPr>
      <w:sz w:val="18"/>
      <w:szCs w:val="18"/>
    </w:rPr>
  </w:style>
  <w:style w:type="character" w:customStyle="1" w:styleId="50">
    <w:name w:val="标题 3 字符"/>
    <w:basedOn w:val="28"/>
    <w:link w:val="6"/>
    <w:qFormat/>
    <w:uiPriority w:val="9"/>
    <w:rPr>
      <w:rFonts w:ascii="宋体" w:hAnsi="Times New Roman" w:eastAsia="宋体" w:cs="宋体"/>
      <w:kern w:val="0"/>
      <w:szCs w:val="20"/>
    </w:rPr>
  </w:style>
  <w:style w:type="character" w:customStyle="1" w:styleId="51">
    <w:name w:val="页眉 Char1"/>
    <w:basedOn w:val="28"/>
    <w:semiHidden/>
    <w:qFormat/>
    <w:uiPriority w:val="99"/>
    <w:rPr>
      <w:kern w:val="2"/>
      <w:sz w:val="18"/>
      <w:szCs w:val="18"/>
    </w:rPr>
  </w:style>
  <w:style w:type="character" w:customStyle="1" w:styleId="52">
    <w:name w:val="content4zbgg1"/>
    <w:basedOn w:val="28"/>
    <w:qFormat/>
    <w:uiPriority w:val="0"/>
    <w:rPr>
      <w:color w:val="CC0000"/>
      <w:sz w:val="18"/>
      <w:szCs w:val="18"/>
    </w:rPr>
  </w:style>
  <w:style w:type="character" w:customStyle="1" w:styleId="53">
    <w:name w:val="正文文本缩进 字符"/>
    <w:basedOn w:val="28"/>
    <w:link w:val="13"/>
    <w:qFormat/>
    <w:uiPriority w:val="99"/>
    <w:rPr>
      <w:rFonts w:ascii="Times New Roman" w:hAnsi="Times New Roman" w:eastAsia="楷体_GB2312" w:cs="Times New Roman"/>
      <w:sz w:val="30"/>
      <w:szCs w:val="24"/>
    </w:rPr>
  </w:style>
  <w:style w:type="character" w:customStyle="1" w:styleId="54">
    <w:name w:val="页脚 Char1"/>
    <w:basedOn w:val="28"/>
    <w:semiHidden/>
    <w:qFormat/>
    <w:uiPriority w:val="99"/>
    <w:rPr>
      <w:kern w:val="2"/>
      <w:sz w:val="18"/>
      <w:szCs w:val="18"/>
    </w:rPr>
  </w:style>
  <w:style w:type="character" w:customStyle="1" w:styleId="55">
    <w:name w:val="正文文本缩进 2 字符"/>
    <w:basedOn w:val="28"/>
    <w:link w:val="16"/>
    <w:qFormat/>
    <w:uiPriority w:val="99"/>
    <w:rPr>
      <w:rFonts w:ascii="Times New Roman" w:hAnsi="Times New Roman" w:eastAsia="楷体_GB2312" w:cs="Times New Roman"/>
      <w:sz w:val="30"/>
      <w:szCs w:val="24"/>
    </w:rPr>
  </w:style>
  <w:style w:type="paragraph" w:customStyle="1" w:styleId="56">
    <w:name w:val="Char"/>
    <w:basedOn w:val="1"/>
    <w:qFormat/>
    <w:uiPriority w:val="0"/>
    <w:rPr>
      <w:rFonts w:ascii="Tahoma" w:hAnsi="Tahoma"/>
      <w:sz w:val="24"/>
    </w:rPr>
  </w:style>
  <w:style w:type="paragraph" w:customStyle="1" w:styleId="57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58">
    <w:name w:val="正文文本 字符"/>
    <w:basedOn w:val="28"/>
    <w:link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59">
    <w:name w:val="正文文本首行缩进 字符"/>
    <w:basedOn w:val="58"/>
    <w:link w:val="25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60">
    <w:name w:val="批注框文本 字符"/>
    <w:basedOn w:val="28"/>
    <w:link w:val="1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正文缩进 字符"/>
    <w:basedOn w:val="28"/>
    <w:link w:val="3"/>
    <w:qFormat/>
    <w:locked/>
    <w:uiPriority w:val="99"/>
    <w:rPr>
      <w:rFonts w:ascii="Times New Roman" w:hAnsi="Times New Roman" w:eastAsia="宋体" w:cs="Times New Roman"/>
      <w:szCs w:val="24"/>
    </w:rPr>
  </w:style>
  <w:style w:type="paragraph" w:customStyle="1" w:styleId="62">
    <w:name w:val="Char1"/>
    <w:basedOn w:val="1"/>
    <w:qFormat/>
    <w:uiPriority w:val="0"/>
    <w:rPr>
      <w:rFonts w:ascii="Tahoma" w:hAnsi="Tahoma"/>
      <w:sz w:val="24"/>
    </w:rPr>
  </w:style>
  <w:style w:type="character" w:customStyle="1" w:styleId="63">
    <w:name w:val="纯文本 Char"/>
    <w:basedOn w:val="28"/>
    <w:qFormat/>
    <w:uiPriority w:val="0"/>
    <w:rPr>
      <w:rFonts w:ascii="宋体" w:hAnsi="Courier New" w:eastAsia="宋体"/>
      <w:kern w:val="2"/>
      <w:sz w:val="21"/>
    </w:rPr>
  </w:style>
  <w:style w:type="character" w:customStyle="1" w:styleId="64">
    <w:name w:val="纯文本 字符"/>
    <w:basedOn w:val="28"/>
    <w:link w:val="15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paragraph" w:customStyle="1" w:styleId="65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66">
    <w:name w:val="font_notice2"/>
    <w:basedOn w:val="28"/>
    <w:qFormat/>
    <w:uiPriority w:val="0"/>
    <w:rPr>
      <w:color w:val="CC9999"/>
    </w:rPr>
  </w:style>
  <w:style w:type="character" w:customStyle="1" w:styleId="67">
    <w:name w:val="font01"/>
    <w:basedOn w:val="2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8">
    <w:name w:val="font81"/>
    <w:basedOn w:val="2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font21"/>
    <w:basedOn w:val="2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0">
    <w:name w:val="font51"/>
    <w:basedOn w:val="2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1">
    <w:name w:val="正文文本2"/>
    <w:basedOn w:val="28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0"/>
      <w:szCs w:val="20"/>
      <w:shd w:val="clear" w:color="auto" w:fill="FFFFFF"/>
      <w:lang w:val="zh-CN"/>
    </w:rPr>
  </w:style>
  <w:style w:type="character" w:customStyle="1" w:styleId="72">
    <w:name w:val="批注文字 字符"/>
    <w:basedOn w:val="28"/>
    <w:link w:val="9"/>
    <w:qFormat/>
    <w:uiPriority w:val="99"/>
    <w:rPr>
      <w:kern w:val="2"/>
      <w:sz w:val="21"/>
    </w:rPr>
  </w:style>
  <w:style w:type="paragraph" w:customStyle="1" w:styleId="73">
    <w:name w:val="_Style 3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74">
    <w:name w:val="批注主题 字符"/>
    <w:basedOn w:val="72"/>
    <w:link w:val="24"/>
    <w:semiHidden/>
    <w:qFormat/>
    <w:uiPriority w:val="99"/>
    <w:rPr>
      <w:b/>
      <w:bCs/>
      <w:kern w:val="2"/>
      <w:sz w:val="21"/>
    </w:rPr>
  </w:style>
  <w:style w:type="character" w:customStyle="1" w:styleId="75">
    <w:name w:val="cur"/>
    <w:basedOn w:val="28"/>
    <w:qFormat/>
    <w:uiPriority w:val="0"/>
    <w:rPr>
      <w:rFonts w:hint="default" w:ascii="SourceHanSansCN-Medium" w:hAnsi="SourceHanSansCN-Medium" w:eastAsia="SourceHanSansCN-Medium" w:cs="SourceHanSansCN-Medium"/>
      <w:color w:val="BC1D22"/>
    </w:rPr>
  </w:style>
  <w:style w:type="character" w:customStyle="1" w:styleId="76">
    <w:name w:val="font31"/>
    <w:basedOn w:val="2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7">
    <w:name w:val="font11"/>
    <w:basedOn w:val="2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78">
    <w:name w:val="reader-word-layer reader-word-s3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9">
    <w:name w:val="Table Paragraph"/>
    <w:basedOn w:val="1"/>
    <w:qFormat/>
    <w:uiPriority w:val="1"/>
    <w:pPr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80">
    <w:name w:val="List Paragraph"/>
    <w:basedOn w:val="1"/>
    <w:qFormat/>
    <w:uiPriority w:val="99"/>
    <w:pPr>
      <w:ind w:firstLine="420" w:firstLineChars="200"/>
    </w:pPr>
  </w:style>
  <w:style w:type="character" w:customStyle="1" w:styleId="81">
    <w:name w:val="apple-converted-space"/>
    <w:qFormat/>
    <w:uiPriority w:val="0"/>
  </w:style>
  <w:style w:type="table" w:customStyle="1" w:styleId="82">
    <w:name w:val="网格型1"/>
    <w:basedOn w:val="26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3">
    <w:name w:val="未处理的提及1"/>
    <w:basedOn w:val="2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4">
    <w:name w:val="章"/>
    <w:basedOn w:val="5"/>
    <w:qFormat/>
    <w:uiPriority w:val="0"/>
    <w:pPr>
      <w:tabs>
        <w:tab w:val="left" w:pos="1200"/>
        <w:tab w:val="center" w:pos="4153"/>
        <w:tab w:val="clear" w:pos="432"/>
      </w:tabs>
      <w:adjustRightInd w:val="0"/>
      <w:snapToGrid w:val="0"/>
      <w:ind w:left="150" w:leftChars="150" w:hanging="720"/>
      <w:jc w:val="left"/>
    </w:pPr>
    <w:rPr>
      <w:color w:val="000000"/>
      <w:spacing w:val="-4"/>
      <w:kern w:val="2"/>
      <w:sz w:val="28"/>
      <w:szCs w:val="28"/>
    </w:rPr>
  </w:style>
  <w:style w:type="paragraph" w:customStyle="1" w:styleId="85">
    <w:name w:val="中文正文、"/>
    <w:basedOn w:val="1"/>
    <w:qFormat/>
    <w:uiPriority w:val="0"/>
    <w:pPr>
      <w:ind w:firstLine="420"/>
      <w:jc w:val="left"/>
    </w:pPr>
    <w:rPr>
      <w:szCs w:val="21"/>
    </w:rPr>
  </w:style>
  <w:style w:type="paragraph" w:customStyle="1" w:styleId="86">
    <w:name w:val="标题一、"/>
    <w:basedOn w:val="1"/>
    <w:qFormat/>
    <w:uiPriority w:val="0"/>
    <w:pPr>
      <w:spacing w:beforeLines="100" w:afterLines="100"/>
      <w:jc w:val="center"/>
      <w:outlineLvl w:val="0"/>
    </w:pPr>
    <w:rPr>
      <w:rFonts w:ascii="黑体" w:eastAsia="黑体"/>
      <w:sz w:val="32"/>
      <w:szCs w:val="32"/>
    </w:rPr>
  </w:style>
  <w:style w:type="paragraph" w:customStyle="1" w:styleId="87">
    <w:name w:val="标题二、"/>
    <w:basedOn w:val="1"/>
    <w:qFormat/>
    <w:uiPriority w:val="0"/>
    <w:pPr>
      <w:outlineLvl w:val="2"/>
    </w:pPr>
    <w:rPr>
      <w:rFonts w:ascii="宋体" w:hAnsi="宋体"/>
      <w:b/>
      <w:szCs w:val="21"/>
    </w:rPr>
  </w:style>
  <w:style w:type="paragraph" w:customStyle="1" w:styleId="8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89">
    <w:name w:val="样式 标题 2 + Times New Roman 四号 非加粗 段前: 5 磅 段后: 0 磅 行距: 固定值 20..."/>
    <w:basedOn w:val="2"/>
    <w:qFormat/>
    <w:uiPriority w:val="0"/>
    <w:pPr>
      <w:spacing w:before="100" w:line="400" w:lineRule="exact"/>
    </w:pPr>
    <w:rPr>
      <w:rFonts w:ascii="Times New Roman" w:hAnsi="Times New Roman"/>
      <w:bCs w:val="0"/>
      <w:sz w:val="28"/>
      <w:szCs w:val="20"/>
    </w:rPr>
  </w:style>
  <w:style w:type="character" w:customStyle="1" w:styleId="90">
    <w:name w:val="font121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BC828E-70C9-4A34-AAF4-C4372100DA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4485</Words>
  <Characters>4854</Characters>
  <Lines>333</Lines>
  <Paragraphs>93</Paragraphs>
  <TotalTime>2</TotalTime>
  <ScaleCrop>false</ScaleCrop>
  <LinksUpToDate>false</LinksUpToDate>
  <CharactersWithSpaces>4912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2022-06-27T07:06:00Z</dcterms:created>
  <dc:creator>郭睿</dc:creator>
  <cp:lastModifiedBy>潇湘妃子</cp:lastModifiedBy>
  <cp:lastPrinted>2023-03-21T07:03:00Z</cp:lastPrinted>
  <dcterms:modified xsi:type="dcterms:W3CDTF">2023-07-20T02:16:24Z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CE01330A560647369C7D180B0726E69F</vt:lpwstr>
  </property>
</Properties>
</file>