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line="240" w:lineRule="auto"/>
        <w:jc w:val="center"/>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lang w:eastAsia="zh-CN"/>
        </w:rPr>
        <w:t>吉林省高速公路</w:t>
      </w:r>
      <w:bookmarkStart w:id="25" w:name="_GoBack"/>
      <w:bookmarkEnd w:id="25"/>
      <w:r>
        <w:rPr>
          <w:rFonts w:hint="eastAsia" w:ascii="方正小标宋简体" w:hAnsi="方正小标宋简体" w:eastAsia="方正小标宋简体" w:cs="方正小标宋简体"/>
          <w:b w:val="0"/>
          <w:bCs w:val="0"/>
          <w:color w:val="auto"/>
          <w:sz w:val="24"/>
          <w:szCs w:val="24"/>
          <w:highlight w:val="none"/>
          <w:lang w:eastAsia="zh-CN"/>
        </w:rPr>
        <w:t>集团有限公司长春分公司永春养护工区养护设备采购项目</w:t>
      </w:r>
    </w:p>
    <w:p>
      <w:pPr>
        <w:pageBreakBefore w:val="0"/>
        <w:tabs>
          <w:tab w:val="left" w:pos="5010"/>
        </w:tabs>
        <w:kinsoku/>
        <w:wordWrap/>
        <w:overflowPunct/>
        <w:topLinePunct w:val="0"/>
        <w:autoSpaceDE w:val="0"/>
        <w:autoSpaceDN w:val="0"/>
        <w:bidi w:val="0"/>
        <w:adjustRightInd w:val="0"/>
        <w:snapToGrid w:val="0"/>
        <w:spacing w:line="240" w:lineRule="auto"/>
        <w:jc w:val="center"/>
        <w:rPr>
          <w:rFonts w:hint="eastAsia" w:ascii="方正小标宋简体" w:hAnsi="方正小标宋简体" w:eastAsia="方正小标宋简体" w:cs="方正小标宋简体"/>
          <w:b w:val="0"/>
          <w:bCs w:val="0"/>
          <w:color w:val="auto"/>
          <w:kern w:val="0"/>
          <w:sz w:val="24"/>
          <w:szCs w:val="24"/>
          <w:highlight w:val="none"/>
        </w:rPr>
      </w:pPr>
      <w:r>
        <w:rPr>
          <w:rFonts w:hint="eastAsia" w:ascii="方正小标宋简体" w:hAnsi="方正小标宋简体" w:eastAsia="方正小标宋简体" w:cs="方正小标宋简体"/>
          <w:b w:val="0"/>
          <w:bCs w:val="0"/>
          <w:color w:val="auto"/>
          <w:sz w:val="24"/>
          <w:szCs w:val="24"/>
          <w:highlight w:val="none"/>
          <w:lang w:eastAsia="zh-CN"/>
        </w:rPr>
        <w:t>招标文件</w:t>
      </w:r>
      <w:r>
        <w:rPr>
          <w:rFonts w:hint="eastAsia" w:ascii="方正小标宋简体" w:hAnsi="方正小标宋简体" w:eastAsia="方正小标宋简体" w:cs="方正小标宋简体"/>
          <w:b w:val="0"/>
          <w:bCs w:val="0"/>
          <w:color w:val="auto"/>
          <w:sz w:val="24"/>
          <w:szCs w:val="24"/>
          <w:highlight w:val="none"/>
        </w:rPr>
        <w:t>关键内容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color w:val="auto"/>
          <w:sz w:val="21"/>
          <w:szCs w:val="21"/>
          <w:highlight w:val="none"/>
        </w:rPr>
      </w:pPr>
      <w:bookmarkStart w:id="0" w:name="_Toc462671337"/>
      <w:bookmarkStart w:id="1" w:name="_Toc498955117"/>
      <w:r>
        <w:rPr>
          <w:rFonts w:hint="eastAsia" w:ascii="宋体" w:hAnsi="宋体" w:eastAsia="宋体" w:cs="宋体"/>
          <w:b w:val="0"/>
          <w:bCs w:val="0"/>
          <w:color w:val="auto"/>
          <w:sz w:val="21"/>
          <w:szCs w:val="21"/>
          <w:highlight w:val="none"/>
        </w:rPr>
        <w:t>1.招标条件</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吉林省高速公路集团有限公司长春分公司永春养护工区养护设备采购项目招标人为吉林省高速公路集团有限公司，招标项目资金来自项目法人自筹。该项目已具备招标条件，现对长春分公司永春养护工区养护设备采购项目进行公开招标。</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2.项目概况与招标范围</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2.1合同包划分：本次招标共划分为</w:t>
      </w:r>
      <w:r>
        <w:rPr>
          <w:rFonts w:hint="eastAsia" w:ascii="宋体" w:hAnsi="宋体" w:cs="宋体"/>
          <w:color w:val="000000"/>
          <w:sz w:val="21"/>
          <w:szCs w:val="21"/>
          <w:lang w:val="en-US" w:eastAsia="zh-CN"/>
        </w:rPr>
        <w:t>2</w:t>
      </w:r>
      <w:r>
        <w:rPr>
          <w:rFonts w:hint="eastAsia" w:ascii="宋体" w:hAnsi="宋体" w:cs="宋体"/>
          <w:color w:val="000000"/>
          <w:sz w:val="21"/>
          <w:szCs w:val="21"/>
        </w:rPr>
        <w:t>个合同包，具体如下：</w:t>
      </w:r>
    </w:p>
    <w:tbl>
      <w:tblPr>
        <w:tblStyle w:val="1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973"/>
        <w:gridCol w:w="5568"/>
        <w:gridCol w:w="688"/>
        <w:gridCol w:w="77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blHeader/>
          <w:jc w:val="center"/>
        </w:trPr>
        <w:tc>
          <w:tcPr>
            <w:tcW w:w="477" w:type="dxa"/>
            <w:tcBorders>
              <w:top w:val="single" w:color="auto" w:sz="4" w:space="0"/>
              <w:right w:val="single" w:color="auto" w:sz="6" w:space="0"/>
            </w:tcBorders>
            <w:noWrap w:val="0"/>
            <w:vAlign w:val="center"/>
          </w:tcPr>
          <w:p>
            <w:pPr>
              <w:pageBreakBefore w:val="0"/>
              <w:kinsoku/>
              <w:wordWrap/>
              <w:overflowPunct/>
              <w:topLinePunct w:val="0"/>
              <w:bidi w:val="0"/>
              <w:snapToGrid w:val="0"/>
              <w:spacing w:line="240" w:lineRule="auto"/>
              <w:jc w:val="center"/>
              <w:rPr>
                <w:rFonts w:ascii="宋体" w:hAnsi="宋体"/>
                <w:bCs/>
                <w:color w:val="000000"/>
                <w:kern w:val="44"/>
                <w:sz w:val="21"/>
                <w:szCs w:val="21"/>
              </w:rPr>
            </w:pPr>
            <w:r>
              <w:rPr>
                <w:rFonts w:ascii="宋体" w:hAnsi="宋体"/>
                <w:bCs/>
                <w:color w:val="000000"/>
                <w:kern w:val="44"/>
                <w:sz w:val="21"/>
                <w:szCs w:val="21"/>
              </w:rPr>
              <w:t>合同包</w:t>
            </w:r>
          </w:p>
        </w:tc>
        <w:tc>
          <w:tcPr>
            <w:tcW w:w="973" w:type="dxa"/>
            <w:tcBorders>
              <w:top w:val="single" w:color="auto" w:sz="4" w:space="0"/>
              <w:left w:val="single" w:color="auto" w:sz="6" w:space="0"/>
              <w:right w:val="single" w:color="auto" w:sz="6" w:space="0"/>
            </w:tcBorders>
            <w:noWrap w:val="0"/>
            <w:vAlign w:val="center"/>
          </w:tcPr>
          <w:p>
            <w:pPr>
              <w:pageBreakBefore w:val="0"/>
              <w:kinsoku/>
              <w:wordWrap/>
              <w:overflowPunct/>
              <w:topLinePunct w:val="0"/>
              <w:bidi w:val="0"/>
              <w:snapToGrid w:val="0"/>
              <w:spacing w:line="240" w:lineRule="auto"/>
              <w:jc w:val="center"/>
              <w:rPr>
                <w:rFonts w:ascii="宋体" w:hAnsi="宋体"/>
                <w:bCs/>
                <w:color w:val="000000"/>
                <w:kern w:val="44"/>
                <w:sz w:val="21"/>
                <w:szCs w:val="21"/>
              </w:rPr>
            </w:pPr>
            <w:r>
              <w:rPr>
                <w:rFonts w:ascii="宋体" w:hAnsi="宋体"/>
                <w:bCs/>
                <w:color w:val="000000"/>
                <w:kern w:val="44"/>
                <w:sz w:val="21"/>
                <w:szCs w:val="21"/>
              </w:rPr>
              <w:t>设备</w:t>
            </w:r>
          </w:p>
          <w:p>
            <w:pPr>
              <w:pageBreakBefore w:val="0"/>
              <w:kinsoku/>
              <w:wordWrap/>
              <w:overflowPunct/>
              <w:topLinePunct w:val="0"/>
              <w:bidi w:val="0"/>
              <w:snapToGrid w:val="0"/>
              <w:spacing w:line="240" w:lineRule="auto"/>
              <w:jc w:val="center"/>
              <w:rPr>
                <w:rFonts w:ascii="宋体" w:hAnsi="宋体"/>
                <w:bCs/>
                <w:color w:val="000000"/>
                <w:kern w:val="44"/>
                <w:sz w:val="21"/>
                <w:szCs w:val="21"/>
              </w:rPr>
            </w:pPr>
            <w:r>
              <w:rPr>
                <w:rFonts w:ascii="宋体" w:hAnsi="宋体"/>
                <w:bCs/>
                <w:color w:val="000000"/>
                <w:kern w:val="44"/>
                <w:sz w:val="21"/>
                <w:szCs w:val="21"/>
              </w:rPr>
              <w:t>名称</w:t>
            </w:r>
          </w:p>
        </w:tc>
        <w:tc>
          <w:tcPr>
            <w:tcW w:w="5568" w:type="dxa"/>
            <w:tcBorders>
              <w:top w:val="single" w:color="auto" w:sz="4" w:space="0"/>
              <w:left w:val="single" w:color="auto" w:sz="6" w:space="0"/>
              <w:right w:val="single" w:color="auto" w:sz="6" w:space="0"/>
            </w:tcBorders>
            <w:noWrap w:val="0"/>
            <w:vAlign w:val="center"/>
          </w:tcPr>
          <w:p>
            <w:pPr>
              <w:pageBreakBefore w:val="0"/>
              <w:kinsoku/>
              <w:wordWrap/>
              <w:overflowPunct/>
              <w:topLinePunct w:val="0"/>
              <w:bidi w:val="0"/>
              <w:snapToGrid w:val="0"/>
              <w:spacing w:line="240" w:lineRule="auto"/>
              <w:jc w:val="center"/>
              <w:rPr>
                <w:rFonts w:ascii="宋体" w:hAnsi="宋体"/>
                <w:bCs/>
                <w:color w:val="000000"/>
                <w:kern w:val="44"/>
                <w:sz w:val="21"/>
                <w:szCs w:val="21"/>
              </w:rPr>
            </w:pPr>
            <w:r>
              <w:rPr>
                <w:rFonts w:hint="eastAsia" w:ascii="宋体" w:hAnsi="宋体"/>
                <w:bCs/>
                <w:color w:val="000000"/>
                <w:kern w:val="0"/>
                <w:sz w:val="21"/>
                <w:szCs w:val="21"/>
              </w:rPr>
              <w:t>主要参考</w:t>
            </w:r>
            <w:r>
              <w:rPr>
                <w:rFonts w:ascii="宋体" w:hAnsi="宋体"/>
                <w:bCs/>
                <w:color w:val="000000"/>
                <w:kern w:val="0"/>
                <w:sz w:val="21"/>
                <w:szCs w:val="21"/>
              </w:rPr>
              <w:t>技术</w:t>
            </w:r>
            <w:r>
              <w:rPr>
                <w:rFonts w:hint="eastAsia" w:ascii="宋体" w:hAnsi="宋体"/>
                <w:bCs/>
                <w:color w:val="000000"/>
                <w:kern w:val="0"/>
                <w:sz w:val="21"/>
                <w:szCs w:val="21"/>
              </w:rPr>
              <w:t>性能指标</w:t>
            </w:r>
          </w:p>
        </w:tc>
        <w:tc>
          <w:tcPr>
            <w:tcW w:w="688" w:type="dxa"/>
            <w:tcBorders>
              <w:top w:val="single" w:color="auto" w:sz="4" w:space="0"/>
              <w:left w:val="single" w:color="auto" w:sz="6" w:space="0"/>
              <w:right w:val="single" w:color="auto" w:sz="6" w:space="0"/>
            </w:tcBorders>
            <w:noWrap w:val="0"/>
            <w:vAlign w:val="center"/>
          </w:tcPr>
          <w:p>
            <w:pPr>
              <w:pageBreakBefore w:val="0"/>
              <w:kinsoku/>
              <w:wordWrap/>
              <w:overflowPunct/>
              <w:topLinePunct w:val="0"/>
              <w:bidi w:val="0"/>
              <w:snapToGrid w:val="0"/>
              <w:spacing w:line="240" w:lineRule="auto"/>
              <w:jc w:val="center"/>
              <w:rPr>
                <w:rFonts w:ascii="宋体" w:hAnsi="宋体"/>
                <w:bCs/>
                <w:color w:val="000000"/>
                <w:kern w:val="44"/>
                <w:sz w:val="21"/>
                <w:szCs w:val="21"/>
              </w:rPr>
            </w:pPr>
            <w:r>
              <w:rPr>
                <w:rFonts w:ascii="宋体" w:hAnsi="宋体"/>
                <w:bCs/>
                <w:color w:val="000000"/>
                <w:kern w:val="44"/>
                <w:sz w:val="21"/>
                <w:szCs w:val="21"/>
              </w:rPr>
              <w:t>数量</w:t>
            </w:r>
            <w:r>
              <w:rPr>
                <w:rFonts w:hint="eastAsia" w:ascii="宋体" w:hAnsi="宋体"/>
                <w:bCs/>
                <w:color w:val="000000"/>
                <w:kern w:val="44"/>
                <w:sz w:val="21"/>
                <w:szCs w:val="21"/>
              </w:rPr>
              <w:t>(</w:t>
            </w:r>
            <w:r>
              <w:rPr>
                <w:rFonts w:ascii="宋体" w:hAnsi="宋体"/>
                <w:bCs/>
                <w:color w:val="000000"/>
                <w:kern w:val="44"/>
                <w:sz w:val="21"/>
                <w:szCs w:val="21"/>
              </w:rPr>
              <w:t>台</w:t>
            </w:r>
            <w:r>
              <w:rPr>
                <w:rFonts w:hint="eastAsia" w:ascii="宋体" w:hAnsi="宋体"/>
                <w:bCs/>
                <w:color w:val="000000"/>
                <w:kern w:val="44"/>
                <w:sz w:val="21"/>
                <w:szCs w:val="21"/>
              </w:rPr>
              <w:t>)</w:t>
            </w:r>
          </w:p>
        </w:tc>
        <w:tc>
          <w:tcPr>
            <w:tcW w:w="777" w:type="dxa"/>
            <w:tcBorders>
              <w:top w:val="single" w:color="auto" w:sz="4" w:space="0"/>
              <w:left w:val="single" w:color="auto" w:sz="6" w:space="0"/>
              <w:right w:val="single" w:color="auto" w:sz="6" w:space="0"/>
            </w:tcBorders>
            <w:noWrap w:val="0"/>
            <w:vAlign w:val="center"/>
          </w:tcPr>
          <w:p>
            <w:pPr>
              <w:pageBreakBefore w:val="0"/>
              <w:kinsoku/>
              <w:wordWrap/>
              <w:overflowPunct/>
              <w:topLinePunct w:val="0"/>
              <w:bidi w:val="0"/>
              <w:snapToGrid w:val="0"/>
              <w:spacing w:line="240" w:lineRule="auto"/>
              <w:jc w:val="center"/>
              <w:rPr>
                <w:rFonts w:ascii="宋体" w:hAnsi="宋体"/>
                <w:bCs/>
                <w:color w:val="000000"/>
                <w:kern w:val="44"/>
                <w:sz w:val="21"/>
                <w:szCs w:val="21"/>
              </w:rPr>
            </w:pPr>
            <w:r>
              <w:rPr>
                <w:rFonts w:hint="eastAsia" w:ascii="宋体" w:hAnsi="宋体"/>
                <w:bCs/>
                <w:color w:val="000000"/>
                <w:kern w:val="44"/>
                <w:sz w:val="21"/>
                <w:szCs w:val="21"/>
              </w:rPr>
              <w:t>单台</w:t>
            </w:r>
            <w:r>
              <w:rPr>
                <w:rFonts w:ascii="宋体" w:hAnsi="宋体"/>
                <w:bCs/>
                <w:color w:val="000000"/>
                <w:kern w:val="44"/>
                <w:sz w:val="21"/>
                <w:szCs w:val="21"/>
              </w:rPr>
              <w:t>最高投标限价</w:t>
            </w:r>
            <w:r>
              <w:rPr>
                <w:rFonts w:hint="eastAsia" w:ascii="宋体" w:hAnsi="宋体"/>
                <w:bCs/>
                <w:color w:val="000000"/>
                <w:kern w:val="44"/>
                <w:sz w:val="21"/>
                <w:szCs w:val="21"/>
              </w:rPr>
              <w:t>(</w:t>
            </w:r>
            <w:r>
              <w:rPr>
                <w:rFonts w:ascii="宋体" w:hAnsi="宋体"/>
                <w:bCs/>
                <w:color w:val="000000"/>
                <w:kern w:val="44"/>
                <w:sz w:val="21"/>
                <w:szCs w:val="21"/>
              </w:rPr>
              <w:t>万元</w:t>
            </w:r>
            <w:r>
              <w:rPr>
                <w:rFonts w:hint="eastAsia" w:ascii="宋体" w:hAnsi="宋体"/>
                <w:bCs/>
                <w:color w:val="000000"/>
                <w:kern w:val="44"/>
                <w:sz w:val="21"/>
                <w:szCs w:val="21"/>
              </w:rPr>
              <w:t>)</w:t>
            </w:r>
          </w:p>
        </w:tc>
        <w:tc>
          <w:tcPr>
            <w:tcW w:w="803" w:type="dxa"/>
            <w:tcBorders>
              <w:top w:val="single" w:color="auto" w:sz="4" w:space="0"/>
              <w:left w:val="single" w:color="auto" w:sz="6" w:space="0"/>
            </w:tcBorders>
            <w:noWrap w:val="0"/>
            <w:vAlign w:val="center"/>
          </w:tcPr>
          <w:p>
            <w:pPr>
              <w:pageBreakBefore w:val="0"/>
              <w:kinsoku/>
              <w:wordWrap/>
              <w:overflowPunct/>
              <w:topLinePunct w:val="0"/>
              <w:bidi w:val="0"/>
              <w:snapToGrid w:val="0"/>
              <w:spacing w:line="240" w:lineRule="auto"/>
              <w:jc w:val="center"/>
              <w:rPr>
                <w:rFonts w:ascii="宋体" w:hAnsi="宋体"/>
                <w:bCs/>
                <w:color w:val="000000"/>
                <w:kern w:val="44"/>
                <w:sz w:val="21"/>
                <w:szCs w:val="21"/>
              </w:rPr>
            </w:pPr>
            <w:r>
              <w:rPr>
                <w:rFonts w:ascii="宋体" w:hAnsi="宋体"/>
                <w:bCs/>
                <w:color w:val="000000"/>
                <w:kern w:val="44"/>
                <w:sz w:val="21"/>
                <w:szCs w:val="21"/>
              </w:rPr>
              <w:t>合同包最高投标限价</w:t>
            </w:r>
            <w:r>
              <w:rPr>
                <w:rFonts w:hint="eastAsia" w:ascii="宋体" w:hAnsi="宋体"/>
                <w:bCs/>
                <w:color w:val="000000"/>
                <w:kern w:val="44"/>
                <w:sz w:val="21"/>
                <w:szCs w:val="21"/>
              </w:rPr>
              <w:t>(</w:t>
            </w:r>
            <w:r>
              <w:rPr>
                <w:rFonts w:ascii="宋体" w:hAnsi="宋体"/>
                <w:bCs/>
                <w:color w:val="000000"/>
                <w:kern w:val="44"/>
                <w:sz w:val="21"/>
                <w:szCs w:val="21"/>
              </w:rPr>
              <w:t>万元</w:t>
            </w:r>
            <w:r>
              <w:rPr>
                <w:rFonts w:hint="eastAsia" w:ascii="宋体" w:hAnsi="宋体"/>
                <w:bCs/>
                <w:color w:val="000000"/>
                <w:kern w:val="4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9" w:hRule="exact"/>
          <w:jc w:val="center"/>
        </w:trPr>
        <w:tc>
          <w:tcPr>
            <w:tcW w:w="477" w:type="dxa"/>
            <w:noWrap w:val="0"/>
            <w:vAlign w:val="center"/>
          </w:tcPr>
          <w:p>
            <w:pPr>
              <w:pageBreakBefore w:val="0"/>
              <w:kinsoku/>
              <w:wordWrap/>
              <w:overflowPunct/>
              <w:topLinePunct w:val="0"/>
              <w:bidi w:val="0"/>
              <w:snapToGrid w:val="0"/>
              <w:spacing w:line="240" w:lineRule="auto"/>
              <w:jc w:val="center"/>
              <w:rPr>
                <w:rFonts w:ascii="宋体" w:hAnsi="宋体"/>
                <w:bCs/>
                <w:color w:val="000000"/>
                <w:kern w:val="44"/>
                <w:sz w:val="21"/>
                <w:szCs w:val="21"/>
              </w:rPr>
            </w:pPr>
            <w:r>
              <w:rPr>
                <w:rFonts w:ascii="宋体" w:hAnsi="宋体"/>
                <w:bCs/>
                <w:color w:val="000000"/>
                <w:kern w:val="44"/>
                <w:sz w:val="21"/>
                <w:szCs w:val="21"/>
              </w:rPr>
              <w:t>01</w:t>
            </w:r>
          </w:p>
        </w:tc>
        <w:tc>
          <w:tcPr>
            <w:tcW w:w="973" w:type="dxa"/>
            <w:noWrap w:val="0"/>
            <w:vAlign w:val="center"/>
          </w:tcPr>
          <w:p>
            <w:pPr>
              <w:pageBreakBefore w:val="0"/>
              <w:widowControl/>
              <w:kinsoku/>
              <w:wordWrap/>
              <w:overflowPunct/>
              <w:topLinePunct w:val="0"/>
              <w:bidi w:val="0"/>
              <w:snapToGrid w:val="0"/>
              <w:spacing w:line="240" w:lineRule="auto"/>
              <w:jc w:val="center"/>
              <w:textAlignment w:val="center"/>
              <w:rPr>
                <w:rFonts w:ascii="宋体" w:hAnsi="宋体"/>
                <w:color w:val="000000"/>
                <w:sz w:val="21"/>
                <w:szCs w:val="21"/>
              </w:rPr>
            </w:pPr>
            <w:r>
              <w:rPr>
                <w:rFonts w:hint="eastAsia" w:ascii="宋体" w:hAnsi="宋体"/>
                <w:color w:val="000000"/>
                <w:sz w:val="21"/>
                <w:szCs w:val="21"/>
              </w:rPr>
              <w:t>多功能除雪车（一铲一撒一滚刷）</w:t>
            </w:r>
          </w:p>
        </w:tc>
        <w:tc>
          <w:tcPr>
            <w:tcW w:w="5568" w:type="dxa"/>
            <w:noWrap w:val="0"/>
            <w:vAlign w:val="center"/>
          </w:tcPr>
          <w:p>
            <w:pPr>
              <w:pageBreakBefore w:val="0"/>
              <w:widowControl/>
              <w:kinsoku/>
              <w:wordWrap/>
              <w:overflowPunct/>
              <w:topLinePunct w:val="0"/>
              <w:bidi w:val="0"/>
              <w:snapToGrid w:val="0"/>
              <w:spacing w:line="240" w:lineRule="auto"/>
              <w:jc w:val="left"/>
              <w:textAlignment w:val="center"/>
              <w:rPr>
                <w:rFonts w:hint="eastAsia" w:ascii="宋体" w:hAnsi="宋体" w:eastAsia="宋体" w:cs="宋体"/>
                <w:color w:val="000000"/>
                <w:spacing w:val="0"/>
                <w:w w:val="100"/>
                <w:kern w:val="0"/>
                <w:sz w:val="21"/>
                <w:szCs w:val="21"/>
                <w:lang w:eastAsia="zh-CN"/>
              </w:rPr>
            </w:pPr>
            <w:r>
              <w:rPr>
                <w:rFonts w:hint="eastAsia" w:ascii="宋体" w:hAnsi="宋体" w:cs="宋体"/>
                <w:color w:val="000000"/>
                <w:spacing w:val="0"/>
                <w:w w:val="100"/>
                <w:kern w:val="0"/>
                <w:sz w:val="21"/>
                <w:szCs w:val="21"/>
              </w:rPr>
              <w:t>多功能除雪车发动机功率≥265KW；设备已列入国家工业和信息化部公布的《道路机动车辆生产企业及产品公告》；多功能除雪车排放标准符合现行车辆排放标准，并满足办理车辆牌照需要；柴油发动机；全功率取力器；多功能除雪车额定载质量≥5000kg（以整车公告页面信息为准）；多功能除雪车自卸货箱容积≥19m</w:t>
            </w:r>
            <w:r>
              <w:rPr>
                <w:rFonts w:hint="eastAsia" w:ascii="宋体" w:hAnsi="宋体" w:cs="宋体"/>
                <w:color w:val="000000"/>
                <w:spacing w:val="0"/>
                <w:w w:val="100"/>
                <w:kern w:val="0"/>
                <w:sz w:val="21"/>
                <w:szCs w:val="21"/>
                <w:vertAlign w:val="superscript"/>
              </w:rPr>
              <w:t>3</w:t>
            </w:r>
            <w:r>
              <w:rPr>
                <w:rFonts w:hint="eastAsia" w:ascii="宋体" w:hAnsi="宋体" w:cs="宋体"/>
                <w:color w:val="000000"/>
                <w:spacing w:val="0"/>
                <w:w w:val="100"/>
                <w:kern w:val="0"/>
                <w:sz w:val="21"/>
                <w:szCs w:val="21"/>
              </w:rPr>
              <w:t>，侧箱板需为一体式。液压系统为多路组合阀控制系统。高速滚刷驱动方式液压驱动系统，双侧内置马达；高速滚刷刷毛宽度≥3600mm</w:t>
            </w:r>
            <w:r>
              <w:rPr>
                <w:rFonts w:hint="eastAsia" w:ascii="宋体" w:hAnsi="宋体" w:cs="宋体"/>
                <w:color w:val="000000"/>
                <w:spacing w:val="0"/>
                <w:w w:val="100"/>
                <w:kern w:val="0"/>
                <w:sz w:val="21"/>
                <w:szCs w:val="21"/>
                <w:lang w:eastAsia="zh-CN"/>
              </w:rPr>
              <w:t>、</w:t>
            </w:r>
            <w:r>
              <w:rPr>
                <w:rFonts w:hint="eastAsia" w:ascii="宋体" w:hAnsi="宋体" w:cs="宋体"/>
                <w:color w:val="000000"/>
                <w:spacing w:val="0"/>
                <w:w w:val="100"/>
                <w:kern w:val="0"/>
                <w:sz w:val="21"/>
                <w:szCs w:val="21"/>
              </w:rPr>
              <w:t>高速滚刷整体长度≤4000mm；高速滚刷直径≥810mm；高速滚刷刷毛有效工作长度≥230mm；高速滚刷工作转速≥450rpm，最大偏转角度 30°；前置式除雪铲</w:t>
            </w:r>
            <w:r>
              <w:rPr>
                <w:rFonts w:hint="eastAsia" w:ascii="宋体" w:hAnsi="宋体" w:cs="宋体"/>
                <w:color w:val="000000"/>
                <w:spacing w:val="0"/>
                <w:w w:val="100"/>
                <w:kern w:val="0"/>
                <w:sz w:val="21"/>
                <w:szCs w:val="21"/>
                <w:lang w:eastAsia="zh-CN"/>
              </w:rPr>
              <w:t>：</w:t>
            </w:r>
            <w:r>
              <w:rPr>
                <w:rFonts w:hint="eastAsia" w:ascii="宋体" w:hAnsi="宋体" w:cs="宋体"/>
                <w:color w:val="000000"/>
                <w:spacing w:val="0"/>
                <w:w w:val="100"/>
                <w:kern w:val="0"/>
                <w:sz w:val="21"/>
                <w:szCs w:val="21"/>
              </w:rPr>
              <w:t>宽≥3600mm，重量≥1000kg；铲形是等高度；前置抛雪铲最大偏转角度30°；除雪铲铲刃为整体式，单条铲刃长度≥3600mm，铲刃尺寸≥200mm×14mm（宽×厚）；前置式抛雪铲避障功能越障高度≥260mm；铲板厚度≥4mm；前置式除雪铲其他配置雪板采用一体化弯板成型技术，板面弧形光滑，非折弯式，高速运行时，能将积雪有效抛向车体一侧，避免路侧大量积雪；除雪板与底盘车连接采用驶入式连接系统，可在五分钟内完成与底盘车的快速安装、拆卸，且连接系统可与前置滚刷互换；快速连接架与底盘连接处需做加强处理。撒布机料仓容积≥12m³；撒布宽度1.2-12m</w:t>
            </w:r>
            <w:r>
              <w:rPr>
                <w:rFonts w:hint="eastAsia" w:ascii="宋体" w:hAnsi="宋体" w:cs="宋体"/>
                <w:color w:val="000000"/>
                <w:spacing w:val="0"/>
                <w:w w:val="100"/>
                <w:kern w:val="0"/>
                <w:sz w:val="21"/>
                <w:szCs w:val="21"/>
                <w:lang w:eastAsia="zh-CN"/>
              </w:rPr>
              <w:t>、撒布量20-300g/㎡、撒布速度≥40km/h；料仓出口大小可在驾驶室内根据路况多档位自动调节；物料输送形式采用钢链条传输系统或皮带输送系统，宽度≥450mm；要求液压传动</w:t>
            </w:r>
            <w:r>
              <w:rPr>
                <w:rFonts w:hint="eastAsia" w:ascii="宋体" w:hAnsi="宋体" w:cs="宋体"/>
                <w:color w:val="000000"/>
                <w:spacing w:val="0"/>
                <w:w w:val="100"/>
                <w:kern w:val="0"/>
                <w:sz w:val="21"/>
                <w:szCs w:val="21"/>
              </w:rPr>
              <w:t>。</w:t>
            </w:r>
            <w:r>
              <w:rPr>
                <w:rFonts w:hint="eastAsia" w:ascii="宋体" w:hAnsi="宋体" w:cs="宋体"/>
                <w:color w:val="000000"/>
                <w:spacing w:val="0"/>
                <w:w w:val="100"/>
                <w:kern w:val="0"/>
                <w:sz w:val="21"/>
                <w:szCs w:val="21"/>
                <w:lang w:eastAsia="zh-CN"/>
              </w:rPr>
              <w:t>（</w:t>
            </w:r>
            <w:r>
              <w:rPr>
                <w:rFonts w:hint="eastAsia" w:ascii="宋体" w:hAnsi="宋体" w:cs="宋体"/>
                <w:color w:val="000000"/>
                <w:spacing w:val="0"/>
                <w:w w:val="100"/>
                <w:kern w:val="0"/>
                <w:sz w:val="21"/>
                <w:szCs w:val="21"/>
                <w:lang w:val="en-US" w:eastAsia="zh-CN"/>
              </w:rPr>
              <w:t>详细技术性能指标见第五章供货要求</w:t>
            </w:r>
            <w:r>
              <w:rPr>
                <w:rFonts w:hint="eastAsia" w:ascii="宋体" w:hAnsi="宋体" w:cs="宋体"/>
                <w:color w:val="000000"/>
                <w:spacing w:val="0"/>
                <w:w w:val="100"/>
                <w:kern w:val="0"/>
                <w:sz w:val="21"/>
                <w:szCs w:val="21"/>
                <w:lang w:eastAsia="zh-CN"/>
              </w:rPr>
              <w:t>）</w:t>
            </w:r>
          </w:p>
        </w:tc>
        <w:tc>
          <w:tcPr>
            <w:tcW w:w="688" w:type="dxa"/>
            <w:noWrap w:val="0"/>
            <w:vAlign w:val="center"/>
          </w:tcPr>
          <w:p>
            <w:pPr>
              <w:pageBreakBefore w:val="0"/>
              <w:widowControl/>
              <w:kinsoku/>
              <w:wordWrap/>
              <w:overflowPunct/>
              <w:topLinePunct w:val="0"/>
              <w:bidi w:val="0"/>
              <w:snapToGrid w:val="0"/>
              <w:spacing w:line="240" w:lineRule="auto"/>
              <w:jc w:val="center"/>
              <w:textAlignment w:val="center"/>
              <w:rPr>
                <w:rFonts w:hint="eastAsia" w:ascii="宋体" w:hAnsi="宋体" w:eastAsia="宋体"/>
                <w:bCs/>
                <w:color w:val="000000"/>
                <w:kern w:val="44"/>
                <w:sz w:val="21"/>
                <w:szCs w:val="21"/>
                <w:lang w:val="en-US" w:eastAsia="zh-CN"/>
              </w:rPr>
            </w:pPr>
            <w:r>
              <w:rPr>
                <w:rFonts w:hint="eastAsia" w:ascii="宋体" w:hAnsi="宋体"/>
                <w:bCs/>
                <w:color w:val="000000"/>
                <w:kern w:val="44"/>
                <w:sz w:val="21"/>
                <w:szCs w:val="21"/>
                <w:lang w:val="en-US" w:eastAsia="zh-CN"/>
              </w:rPr>
              <w:t>6</w:t>
            </w:r>
          </w:p>
        </w:tc>
        <w:tc>
          <w:tcPr>
            <w:tcW w:w="777" w:type="dxa"/>
            <w:noWrap w:val="0"/>
            <w:vAlign w:val="center"/>
          </w:tcPr>
          <w:p>
            <w:pPr>
              <w:pageBreakBefore w:val="0"/>
              <w:widowControl/>
              <w:kinsoku/>
              <w:wordWrap/>
              <w:overflowPunct/>
              <w:topLinePunct w:val="0"/>
              <w:bidi w:val="0"/>
              <w:snapToGrid w:val="0"/>
              <w:spacing w:line="240" w:lineRule="auto"/>
              <w:jc w:val="center"/>
              <w:textAlignment w:val="center"/>
              <w:rPr>
                <w:rFonts w:hint="default" w:ascii="宋体" w:hAnsi="宋体" w:eastAsia="宋体"/>
                <w:bCs/>
                <w:color w:val="000000"/>
                <w:kern w:val="44"/>
                <w:sz w:val="21"/>
                <w:szCs w:val="21"/>
                <w:lang w:val="en-US" w:eastAsia="zh-CN"/>
              </w:rPr>
            </w:pPr>
            <w:r>
              <w:rPr>
                <w:rFonts w:hint="eastAsia" w:ascii="宋体" w:hAnsi="宋体"/>
                <w:bCs/>
                <w:color w:val="000000"/>
                <w:kern w:val="44"/>
                <w:sz w:val="21"/>
                <w:szCs w:val="21"/>
                <w:lang w:val="en-US" w:eastAsia="zh-CN"/>
              </w:rPr>
              <w:t>90</w:t>
            </w:r>
          </w:p>
        </w:tc>
        <w:tc>
          <w:tcPr>
            <w:tcW w:w="803" w:type="dxa"/>
            <w:noWrap w:val="0"/>
            <w:vAlign w:val="center"/>
          </w:tcPr>
          <w:p>
            <w:pPr>
              <w:pageBreakBefore w:val="0"/>
              <w:widowControl/>
              <w:kinsoku/>
              <w:wordWrap/>
              <w:overflowPunct/>
              <w:topLinePunct w:val="0"/>
              <w:bidi w:val="0"/>
              <w:snapToGrid w:val="0"/>
              <w:spacing w:line="240" w:lineRule="auto"/>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exact"/>
          <w:jc w:val="center"/>
        </w:trPr>
        <w:tc>
          <w:tcPr>
            <w:tcW w:w="477" w:type="dxa"/>
            <w:noWrap w:val="0"/>
            <w:vAlign w:val="center"/>
          </w:tcPr>
          <w:p>
            <w:pPr>
              <w:pageBreakBefore w:val="0"/>
              <w:kinsoku/>
              <w:wordWrap/>
              <w:overflowPunct/>
              <w:topLinePunct w:val="0"/>
              <w:bidi w:val="0"/>
              <w:snapToGrid w:val="0"/>
              <w:spacing w:line="240" w:lineRule="auto"/>
              <w:jc w:val="center"/>
              <w:rPr>
                <w:rFonts w:ascii="宋体" w:hAnsi="宋体"/>
                <w:bCs/>
                <w:color w:val="000000"/>
                <w:kern w:val="44"/>
                <w:sz w:val="21"/>
                <w:szCs w:val="21"/>
              </w:rPr>
            </w:pPr>
            <w:r>
              <w:rPr>
                <w:rFonts w:ascii="宋体" w:hAnsi="宋体"/>
                <w:bCs/>
                <w:color w:val="000000"/>
                <w:kern w:val="44"/>
                <w:sz w:val="21"/>
                <w:szCs w:val="21"/>
              </w:rPr>
              <w:t>02</w:t>
            </w:r>
          </w:p>
        </w:tc>
        <w:tc>
          <w:tcPr>
            <w:tcW w:w="973" w:type="dxa"/>
            <w:noWrap w:val="0"/>
            <w:vAlign w:val="center"/>
          </w:tcPr>
          <w:p>
            <w:pPr>
              <w:pageBreakBefore w:val="0"/>
              <w:widowControl/>
              <w:kinsoku/>
              <w:wordWrap/>
              <w:overflowPunct/>
              <w:topLinePunct w:val="0"/>
              <w:bidi w:val="0"/>
              <w:snapToGrid w:val="0"/>
              <w:spacing w:line="24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皮卡车</w:t>
            </w:r>
          </w:p>
        </w:tc>
        <w:tc>
          <w:tcPr>
            <w:tcW w:w="5568" w:type="dxa"/>
            <w:noWrap w:val="0"/>
            <w:vAlign w:val="center"/>
          </w:tcPr>
          <w:p>
            <w:pPr>
              <w:pageBreakBefore w:val="0"/>
              <w:kinsoku/>
              <w:wordWrap/>
              <w:overflowPunct/>
              <w:topLinePunct w:val="0"/>
              <w:bidi w:val="0"/>
              <w:snapToGrid w:val="0"/>
              <w:spacing w:line="240" w:lineRule="auto"/>
              <w:rPr>
                <w:rFonts w:hint="eastAsia" w:ascii="宋体" w:hAnsi="宋体" w:eastAsia="宋体" w:cs="宋体"/>
                <w:color w:val="000000"/>
                <w:kern w:val="0"/>
                <w:sz w:val="21"/>
                <w:szCs w:val="21"/>
                <w:lang w:eastAsia="zh-CN"/>
              </w:rPr>
            </w:pPr>
            <w:r>
              <w:rPr>
                <w:rFonts w:hint="eastAsia"/>
                <w:sz w:val="21"/>
                <w:szCs w:val="21"/>
              </w:rPr>
              <w:t>驱动形式4*4</w:t>
            </w:r>
            <w:r>
              <w:rPr>
                <w:rFonts w:hint="eastAsia"/>
                <w:sz w:val="21"/>
                <w:szCs w:val="21"/>
                <w:lang w:eastAsia="zh-CN"/>
              </w:rPr>
              <w:t>；</w:t>
            </w:r>
            <w:r>
              <w:rPr>
                <w:rFonts w:hint="eastAsia"/>
                <w:sz w:val="21"/>
                <w:szCs w:val="21"/>
              </w:rPr>
              <w:t>柴油</w:t>
            </w:r>
            <w:r>
              <w:rPr>
                <w:rFonts w:hint="eastAsia"/>
                <w:sz w:val="21"/>
                <w:szCs w:val="21"/>
                <w:lang w:eastAsia="zh-CN"/>
              </w:rPr>
              <w:t>；</w:t>
            </w:r>
            <w:r>
              <w:rPr>
                <w:rFonts w:hint="eastAsia"/>
                <w:sz w:val="21"/>
                <w:szCs w:val="21"/>
              </w:rPr>
              <w:t>发动机功率≥105KW</w:t>
            </w:r>
            <w:r>
              <w:rPr>
                <w:rFonts w:hint="eastAsia"/>
                <w:sz w:val="21"/>
                <w:szCs w:val="21"/>
                <w:lang w:eastAsia="zh-CN"/>
              </w:rPr>
              <w:t>；</w:t>
            </w:r>
            <w:r>
              <w:rPr>
                <w:rFonts w:hint="eastAsia"/>
                <w:sz w:val="21"/>
                <w:szCs w:val="21"/>
              </w:rPr>
              <w:t>外形尺寸</w:t>
            </w:r>
            <w:r>
              <w:rPr>
                <w:rFonts w:hint="eastAsia"/>
                <w:sz w:val="21"/>
                <w:szCs w:val="21"/>
              </w:rPr>
              <w:tab/>
            </w:r>
            <w:r>
              <w:rPr>
                <w:rFonts w:hint="eastAsia"/>
                <w:sz w:val="21"/>
                <w:szCs w:val="21"/>
              </w:rPr>
              <w:t>≥4900*1600*1600</w:t>
            </w:r>
            <w:r>
              <w:rPr>
                <w:rFonts w:hint="eastAsia"/>
                <w:sz w:val="21"/>
                <w:szCs w:val="21"/>
                <w:lang w:eastAsia="zh-CN"/>
              </w:rPr>
              <w:t>；</w:t>
            </w:r>
            <w:r>
              <w:rPr>
                <w:rFonts w:hint="eastAsia"/>
                <w:sz w:val="21"/>
                <w:szCs w:val="21"/>
              </w:rPr>
              <w:t>货箱尺寸≥0450*1400*400</w:t>
            </w:r>
            <w:r>
              <w:rPr>
                <w:rFonts w:hint="eastAsia"/>
                <w:sz w:val="21"/>
                <w:szCs w:val="21"/>
                <w:lang w:eastAsia="zh-CN"/>
              </w:rPr>
              <w:t>；</w:t>
            </w:r>
            <w:r>
              <w:rPr>
                <w:rFonts w:hint="eastAsia"/>
                <w:sz w:val="21"/>
                <w:szCs w:val="21"/>
              </w:rPr>
              <w:t>符合现行车辆排放标准，并满足办理车辆牌照需要。设备已列入国家工业和信息化部公布的《道路机动车辆生产企业及产品公告》</w:t>
            </w:r>
            <w:r>
              <w:rPr>
                <w:rFonts w:hint="eastAsia"/>
                <w:sz w:val="21"/>
                <w:szCs w:val="21"/>
                <w:lang w:eastAsia="zh-CN"/>
              </w:rPr>
              <w:t>；</w:t>
            </w:r>
            <w:r>
              <w:rPr>
                <w:rFonts w:hint="eastAsia"/>
                <w:sz w:val="21"/>
                <w:szCs w:val="21"/>
              </w:rPr>
              <w:t>最大行驶速度≥120km/h</w:t>
            </w:r>
            <w:r>
              <w:rPr>
                <w:rFonts w:hint="eastAsia"/>
                <w:sz w:val="21"/>
                <w:szCs w:val="21"/>
                <w:lang w:eastAsia="zh-CN"/>
              </w:rPr>
              <w:t>；</w:t>
            </w:r>
            <w:r>
              <w:rPr>
                <w:rFonts w:hint="eastAsia"/>
                <w:sz w:val="21"/>
                <w:szCs w:val="21"/>
              </w:rPr>
              <w:t>双排座乘员数≥5人</w:t>
            </w:r>
            <w:r>
              <w:rPr>
                <w:rFonts w:hint="eastAsia"/>
                <w:sz w:val="21"/>
                <w:szCs w:val="21"/>
                <w:lang w:eastAsia="zh-CN"/>
              </w:rPr>
              <w:t>；有转向助力；</w:t>
            </w:r>
            <w:r>
              <w:rPr>
                <w:rFonts w:hint="eastAsia"/>
                <w:sz w:val="21"/>
                <w:szCs w:val="21"/>
              </w:rPr>
              <w:t>整车黄色涂装</w:t>
            </w:r>
            <w:r>
              <w:rPr>
                <w:rFonts w:hint="eastAsia"/>
                <w:sz w:val="21"/>
                <w:szCs w:val="21"/>
                <w:lang w:eastAsia="zh-CN"/>
              </w:rPr>
              <w:t>；</w:t>
            </w:r>
            <w:r>
              <w:rPr>
                <w:rFonts w:hint="eastAsia"/>
                <w:sz w:val="21"/>
                <w:szCs w:val="21"/>
              </w:rPr>
              <w:t>总质量≥2400kg</w:t>
            </w:r>
            <w:r>
              <w:rPr>
                <w:rFonts w:hint="eastAsia"/>
                <w:sz w:val="21"/>
                <w:szCs w:val="21"/>
                <w:lang w:eastAsia="zh-CN"/>
              </w:rPr>
              <w:t>；</w:t>
            </w:r>
            <w:r>
              <w:rPr>
                <w:rFonts w:hint="eastAsia"/>
                <w:sz w:val="21"/>
                <w:szCs w:val="21"/>
              </w:rPr>
              <w:t>整备质量≥1500kg</w:t>
            </w:r>
            <w:r>
              <w:rPr>
                <w:rFonts w:hint="eastAsia"/>
                <w:sz w:val="21"/>
                <w:szCs w:val="21"/>
                <w:lang w:eastAsia="zh-CN"/>
              </w:rPr>
              <w:t>；</w:t>
            </w:r>
            <w:r>
              <w:rPr>
                <w:rFonts w:hint="eastAsia"/>
                <w:sz w:val="21"/>
                <w:szCs w:val="21"/>
              </w:rPr>
              <w:t>额定载质量≥480kg</w:t>
            </w:r>
            <w:r>
              <w:rPr>
                <w:rFonts w:hint="eastAsia" w:ascii="宋体" w:hAnsi="宋体" w:cs="宋体"/>
                <w:color w:val="000000"/>
                <w:spacing w:val="0"/>
                <w:w w:val="100"/>
                <w:kern w:val="0"/>
                <w:sz w:val="21"/>
                <w:szCs w:val="21"/>
                <w:lang w:eastAsia="zh-CN"/>
              </w:rPr>
              <w:t>（</w:t>
            </w:r>
            <w:r>
              <w:rPr>
                <w:rFonts w:hint="eastAsia" w:ascii="宋体" w:hAnsi="宋体" w:cs="宋体"/>
                <w:color w:val="000000"/>
                <w:spacing w:val="0"/>
                <w:w w:val="100"/>
                <w:kern w:val="0"/>
                <w:sz w:val="21"/>
                <w:szCs w:val="21"/>
                <w:lang w:val="en-US" w:eastAsia="zh-CN"/>
              </w:rPr>
              <w:t>详细技术性能指标见第五章供货要求</w:t>
            </w:r>
            <w:r>
              <w:rPr>
                <w:rFonts w:hint="eastAsia" w:ascii="宋体" w:hAnsi="宋体" w:cs="宋体"/>
                <w:color w:val="000000"/>
                <w:spacing w:val="0"/>
                <w:w w:val="100"/>
                <w:kern w:val="0"/>
                <w:sz w:val="21"/>
                <w:szCs w:val="21"/>
                <w:lang w:eastAsia="zh-CN"/>
              </w:rPr>
              <w:t>）</w:t>
            </w:r>
          </w:p>
        </w:tc>
        <w:tc>
          <w:tcPr>
            <w:tcW w:w="688" w:type="dxa"/>
            <w:noWrap w:val="0"/>
            <w:vAlign w:val="center"/>
          </w:tcPr>
          <w:p>
            <w:pPr>
              <w:pageBreakBefore w:val="0"/>
              <w:widowControl/>
              <w:kinsoku/>
              <w:wordWrap/>
              <w:overflowPunct/>
              <w:topLinePunct w:val="0"/>
              <w:bidi w:val="0"/>
              <w:snapToGrid w:val="0"/>
              <w:spacing w:line="240" w:lineRule="auto"/>
              <w:jc w:val="center"/>
              <w:textAlignment w:val="center"/>
              <w:rPr>
                <w:rFonts w:hint="eastAsia" w:ascii="宋体" w:hAnsi="宋体" w:eastAsia="宋体"/>
                <w:bCs/>
                <w:color w:val="000000"/>
                <w:kern w:val="44"/>
                <w:sz w:val="21"/>
                <w:szCs w:val="21"/>
                <w:lang w:val="en-US" w:eastAsia="zh-CN"/>
              </w:rPr>
            </w:pPr>
            <w:r>
              <w:rPr>
                <w:rFonts w:hint="eastAsia" w:ascii="宋体" w:hAnsi="宋体"/>
                <w:bCs/>
                <w:color w:val="000000"/>
                <w:kern w:val="44"/>
                <w:sz w:val="21"/>
                <w:szCs w:val="21"/>
                <w:lang w:val="en-US" w:eastAsia="zh-CN"/>
              </w:rPr>
              <w:t>3</w:t>
            </w:r>
          </w:p>
        </w:tc>
        <w:tc>
          <w:tcPr>
            <w:tcW w:w="777" w:type="dxa"/>
            <w:noWrap w:val="0"/>
            <w:vAlign w:val="center"/>
          </w:tcPr>
          <w:p>
            <w:pPr>
              <w:pageBreakBefore w:val="0"/>
              <w:widowControl/>
              <w:kinsoku/>
              <w:wordWrap/>
              <w:overflowPunct/>
              <w:topLinePunct w:val="0"/>
              <w:bidi w:val="0"/>
              <w:snapToGrid w:val="0"/>
              <w:spacing w:line="240" w:lineRule="auto"/>
              <w:jc w:val="center"/>
              <w:textAlignment w:val="center"/>
              <w:rPr>
                <w:rFonts w:hint="default" w:ascii="宋体" w:hAnsi="宋体" w:eastAsia="宋体"/>
                <w:bCs/>
                <w:color w:val="000000"/>
                <w:kern w:val="44"/>
                <w:sz w:val="21"/>
                <w:szCs w:val="21"/>
                <w:lang w:val="en-US" w:eastAsia="zh-CN"/>
              </w:rPr>
            </w:pPr>
            <w:r>
              <w:rPr>
                <w:rFonts w:hint="eastAsia" w:ascii="宋体" w:hAnsi="宋体"/>
                <w:bCs/>
                <w:color w:val="000000"/>
                <w:kern w:val="44"/>
                <w:sz w:val="21"/>
                <w:szCs w:val="21"/>
                <w:lang w:val="en-US" w:eastAsia="zh-CN"/>
              </w:rPr>
              <w:t>15</w:t>
            </w:r>
          </w:p>
        </w:tc>
        <w:tc>
          <w:tcPr>
            <w:tcW w:w="803" w:type="dxa"/>
            <w:noWrap w:val="0"/>
            <w:vAlign w:val="center"/>
          </w:tcPr>
          <w:p>
            <w:pPr>
              <w:pageBreakBefore w:val="0"/>
              <w:widowControl/>
              <w:kinsoku/>
              <w:wordWrap/>
              <w:overflowPunct/>
              <w:topLinePunct w:val="0"/>
              <w:bidi w:val="0"/>
              <w:snapToGrid w:val="0"/>
              <w:spacing w:line="240" w:lineRule="auto"/>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45</w:t>
            </w:r>
          </w:p>
        </w:tc>
      </w:tr>
    </w:tbl>
    <w:p>
      <w:pPr>
        <w:pageBreakBefore w:val="0"/>
        <w:kinsoku/>
        <w:wordWrap/>
        <w:overflowPunct/>
        <w:topLinePunct w:val="0"/>
        <w:bidi w:val="0"/>
        <w:snapToGrid w:val="0"/>
        <w:spacing w:line="240" w:lineRule="auto"/>
        <w:ind w:firstLine="315" w:firstLineChars="150"/>
        <w:rPr>
          <w:rFonts w:hint="default" w:ascii="宋体" w:hAnsi="宋体" w:cs="宋体"/>
          <w:color w:val="000000"/>
          <w:sz w:val="21"/>
          <w:szCs w:val="21"/>
          <w:lang w:val="en-US"/>
        </w:rPr>
      </w:pPr>
      <w:r>
        <w:rPr>
          <w:rFonts w:hint="eastAsia" w:ascii="宋体" w:hAnsi="宋体" w:cs="宋体"/>
          <w:color w:val="000000"/>
          <w:sz w:val="21"/>
          <w:szCs w:val="21"/>
        </w:rPr>
        <w:t>2.2交货期：</w:t>
      </w:r>
      <w:r>
        <w:rPr>
          <w:rFonts w:hint="eastAsia" w:ascii="宋体" w:hAnsi="宋体" w:eastAsia="宋体" w:cs="宋体"/>
          <w:color w:val="000000"/>
          <w:sz w:val="21"/>
          <w:szCs w:val="21"/>
          <w:lang w:val="en-US" w:eastAsia="zh-CN"/>
        </w:rPr>
        <w:t>01合同包在中标通知书发出后20天内交付3台，45天内全部交付；02合同包在中标通知书发出后15天内全部交付。</w:t>
      </w:r>
    </w:p>
    <w:p>
      <w:pPr>
        <w:pageBreakBefore w:val="0"/>
        <w:kinsoku/>
        <w:wordWrap/>
        <w:overflowPunct/>
        <w:topLinePunct w:val="0"/>
        <w:bidi w:val="0"/>
        <w:adjustRightInd w:val="0"/>
        <w:snapToGrid w:val="0"/>
        <w:spacing w:line="240" w:lineRule="auto"/>
        <w:ind w:firstLine="210" w:firstLineChars="100"/>
        <w:rPr>
          <w:rFonts w:hint="eastAsia" w:ascii="宋体" w:hAnsi="宋体" w:eastAsia="宋体" w:cs="宋体"/>
          <w:b w:val="0"/>
          <w:bCs w:val="0"/>
          <w:color w:val="auto"/>
          <w:sz w:val="21"/>
          <w:szCs w:val="21"/>
          <w:highlight w:val="none"/>
        </w:rPr>
      </w:pPr>
      <w:r>
        <w:rPr>
          <w:rFonts w:hint="eastAsia" w:ascii="宋体" w:hAnsi="宋体" w:cs="宋体"/>
          <w:color w:val="000000"/>
          <w:sz w:val="21"/>
          <w:szCs w:val="21"/>
        </w:rPr>
        <w:t>2.3交货地点：长春市抚长高速公路</w:t>
      </w:r>
      <w:r>
        <w:rPr>
          <w:rFonts w:hint="eastAsia" w:ascii="宋体" w:hAnsi="宋体" w:cs="宋体"/>
          <w:color w:val="000000"/>
          <w:sz w:val="21"/>
          <w:szCs w:val="21"/>
          <w:lang w:eastAsia="zh-CN"/>
        </w:rPr>
        <w:t>长春分公司永春养护工区</w:t>
      </w:r>
      <w:r>
        <w:rPr>
          <w:rFonts w:hint="eastAsia" w:ascii="宋体" w:hAnsi="宋体" w:cs="宋体"/>
          <w:color w:val="000000"/>
          <w:sz w:val="21"/>
          <w:szCs w:val="21"/>
        </w:rPr>
        <w:t>。</w:t>
      </w:r>
    </w:p>
    <w:p>
      <w:pPr>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3.投标人资格最低要求</w:t>
      </w:r>
    </w:p>
    <w:p>
      <w:pPr>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本次招标要求投标人为具备独立法人资格的企业或事业单位，为设备的制造商或代理商，具有与本次招标设备相应的供货能力。</w:t>
      </w:r>
    </w:p>
    <w:p>
      <w:pPr>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本次招标不接受联合体投标。</w:t>
      </w:r>
    </w:p>
    <w:p>
      <w:pPr>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color w:val="000000"/>
          <w:sz w:val="21"/>
          <w:szCs w:val="21"/>
          <w:highlight w:val="none"/>
        </w:rPr>
        <w:t>3.3 每个投标人可同时对2个合同包投标，允许兼中。</w:t>
      </w:r>
    </w:p>
    <w:p>
      <w:pPr>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评标办法</w:t>
      </w:r>
    </w:p>
    <w:p>
      <w:pPr>
        <w:pStyle w:val="6"/>
        <w:pageBreakBefore w:val="0"/>
        <w:widowControl w:val="0"/>
        <w:kinsoku/>
        <w:wordWrap/>
        <w:overflowPunct/>
        <w:topLinePunct w:val="0"/>
        <w:autoSpaceDE/>
        <w:autoSpaceDN/>
        <w:bidi w:val="0"/>
        <w:adjustRightInd w:val="0"/>
        <w:snapToGrid w:val="0"/>
        <w:spacing w:before="0" w:after="0" w:line="240" w:lineRule="auto"/>
        <w:ind w:firstLine="422" w:firstLineChars="200"/>
        <w:textAlignment w:val="auto"/>
        <w:rPr>
          <w:rFonts w:hint="eastAsia" w:ascii="宋体" w:hAnsi="宋体" w:cs="宋体"/>
          <w:color w:val="000000"/>
          <w:sz w:val="21"/>
          <w:szCs w:val="21"/>
          <w:lang w:val="zh-CN"/>
        </w:rPr>
      </w:pPr>
      <w:bookmarkStart w:id="2" w:name="_Toc23545"/>
      <w:r>
        <w:rPr>
          <w:rFonts w:hint="eastAsia" w:ascii="宋体" w:hAnsi="宋体" w:cs="宋体"/>
          <w:color w:val="000000"/>
          <w:sz w:val="21"/>
          <w:szCs w:val="21"/>
          <w:lang w:val="zh-CN"/>
        </w:rPr>
        <w:t>评标办法前附表</w:t>
      </w:r>
      <w:bookmarkEnd w:id="2"/>
    </w:p>
    <w:tbl>
      <w:tblPr>
        <w:tblStyle w:val="1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655"/>
        <w:gridCol w:w="2476"/>
        <w:gridCol w:w="5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1" w:type="dxa"/>
            <w:gridSpan w:val="2"/>
            <w:noWrap w:val="0"/>
            <w:vAlign w:val="center"/>
          </w:tcPr>
          <w:p>
            <w:pPr>
              <w:pageBreakBefore w:val="0"/>
              <w:kinsoku/>
              <w:wordWrap/>
              <w:overflowPunct/>
              <w:topLinePunct w:val="0"/>
              <w:bidi w:val="0"/>
              <w:snapToGrid w:val="0"/>
              <w:spacing w:line="240" w:lineRule="auto"/>
              <w:jc w:val="center"/>
              <w:rPr>
                <w:rFonts w:hint="eastAsia" w:ascii="宋体" w:hAnsi="宋体" w:cs="宋体"/>
                <w:b/>
                <w:color w:val="000000"/>
                <w:sz w:val="21"/>
                <w:szCs w:val="21"/>
              </w:rPr>
            </w:pPr>
            <w:r>
              <w:rPr>
                <w:rFonts w:hint="eastAsia" w:ascii="宋体" w:hAnsi="宋体" w:cs="宋体"/>
                <w:b/>
                <w:color w:val="000000"/>
                <w:sz w:val="21"/>
                <w:szCs w:val="21"/>
              </w:rPr>
              <w:t>条款号</w:t>
            </w: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b/>
                <w:color w:val="000000"/>
                <w:sz w:val="21"/>
                <w:szCs w:val="21"/>
              </w:rPr>
            </w:pPr>
            <w:r>
              <w:rPr>
                <w:rFonts w:hint="eastAsia" w:ascii="宋体" w:hAnsi="宋体" w:cs="宋体"/>
                <w:b/>
                <w:color w:val="000000"/>
                <w:sz w:val="21"/>
                <w:szCs w:val="21"/>
              </w:rPr>
              <w:t>评审因素</w:t>
            </w:r>
          </w:p>
        </w:tc>
        <w:tc>
          <w:tcPr>
            <w:tcW w:w="5221" w:type="dxa"/>
            <w:noWrap w:val="0"/>
            <w:vAlign w:val="center"/>
          </w:tcPr>
          <w:p>
            <w:pPr>
              <w:pageBreakBefore w:val="0"/>
              <w:kinsoku/>
              <w:wordWrap/>
              <w:overflowPunct/>
              <w:topLinePunct w:val="0"/>
              <w:bidi w:val="0"/>
              <w:snapToGrid w:val="0"/>
              <w:spacing w:line="240" w:lineRule="auto"/>
              <w:jc w:val="center"/>
              <w:rPr>
                <w:rFonts w:hint="eastAsia" w:ascii="宋体" w:hAnsi="宋体" w:cs="宋体"/>
                <w:b/>
                <w:color w:val="000000"/>
                <w:sz w:val="21"/>
                <w:szCs w:val="21"/>
              </w:rPr>
            </w:pPr>
            <w:r>
              <w:rPr>
                <w:rFonts w:hint="eastAsia" w:ascii="宋体" w:hAnsi="宋体" w:cs="宋体"/>
                <w:b/>
                <w:color w:val="00000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1</w:t>
            </w:r>
          </w:p>
        </w:tc>
        <w:tc>
          <w:tcPr>
            <w:tcW w:w="655"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评标方法</w:t>
            </w: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中标候选人排序方法</w:t>
            </w:r>
          </w:p>
        </w:tc>
        <w:tc>
          <w:tcPr>
            <w:tcW w:w="5221" w:type="dxa"/>
            <w:noWrap w:val="0"/>
            <w:vAlign w:val="top"/>
          </w:tcPr>
          <w:p>
            <w:pPr>
              <w:pageBreakBefore w:val="0"/>
              <w:kinsoku/>
              <w:wordWrap/>
              <w:overflowPunct/>
              <w:topLinePunct w:val="0"/>
              <w:bidi w:val="0"/>
              <w:snapToGrid w:val="0"/>
              <w:spacing w:line="240" w:lineRule="auto"/>
              <w:jc w:val="left"/>
              <w:rPr>
                <w:rFonts w:hint="eastAsia" w:ascii="宋体" w:hAnsi="宋体" w:cs="宋体"/>
                <w:color w:val="000000"/>
                <w:sz w:val="21"/>
                <w:szCs w:val="21"/>
              </w:rPr>
            </w:pPr>
            <w:r>
              <w:rPr>
                <w:rFonts w:hint="eastAsia" w:ascii="宋体" w:hAnsi="宋体" w:cs="宋体"/>
                <w:color w:val="000000"/>
                <w:sz w:val="21"/>
                <w:szCs w:val="21"/>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技术得分高的优先；如果技术得分也相等，由评标委员会投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756" w:type="dxa"/>
            <w:vMerge w:val="restart"/>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2.1.1</w:t>
            </w:r>
          </w:p>
        </w:tc>
        <w:tc>
          <w:tcPr>
            <w:tcW w:w="655" w:type="dxa"/>
            <w:vMerge w:val="restart"/>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形式评审标准</w:t>
            </w: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投标人名称</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与营业执照（事业单位法人证书）一致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投标函签字盖章</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有法定代表人</w:t>
            </w:r>
            <w:bookmarkStart w:id="3" w:name="_Toc152042361"/>
            <w:bookmarkStart w:id="4" w:name="_Toc369531574"/>
            <w:bookmarkStart w:id="5" w:name="_Toc152045584"/>
            <w:bookmarkStart w:id="6" w:name="_Toc384308269"/>
            <w:bookmarkStart w:id="7" w:name="_Toc247514008"/>
            <w:bookmarkStart w:id="8" w:name="_Toc247527609"/>
            <w:bookmarkStart w:id="9" w:name="_Toc361508643"/>
            <w:bookmarkStart w:id="10" w:name="_Toc144974551"/>
            <w:bookmarkStart w:id="11" w:name="_Toc300835005"/>
            <w:bookmarkStart w:id="12" w:name="_Toc6546"/>
            <w:bookmarkStart w:id="13" w:name="_Toc352691530"/>
            <w:r>
              <w:rPr>
                <w:rFonts w:hint="eastAsia" w:ascii="宋体" w:hAnsi="宋体" w:cs="宋体"/>
                <w:color w:val="000000"/>
                <w:sz w:val="21"/>
                <w:szCs w:val="21"/>
              </w:rPr>
              <w:t>或其委托</w:t>
            </w:r>
            <w:bookmarkEnd w:id="3"/>
            <w:bookmarkEnd w:id="4"/>
            <w:bookmarkEnd w:id="5"/>
            <w:bookmarkEnd w:id="6"/>
            <w:bookmarkEnd w:id="7"/>
            <w:bookmarkEnd w:id="8"/>
            <w:bookmarkEnd w:id="9"/>
            <w:bookmarkEnd w:id="10"/>
            <w:bookmarkEnd w:id="11"/>
            <w:bookmarkEnd w:id="12"/>
            <w:bookmarkEnd w:id="13"/>
            <w:r>
              <w:rPr>
                <w:rFonts w:hint="eastAsia" w:ascii="宋体" w:hAnsi="宋体" w:cs="宋体"/>
                <w:color w:val="000000"/>
                <w:sz w:val="21"/>
                <w:szCs w:val="21"/>
              </w:rPr>
              <w:t>代理人签字或加盖单位章。由法定代表人签字的，应附法定代表人身份证明，由代理人签字的，应附授权委托书，身份证明或授权委托书应符合第六章“投标文件格式”的规定。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756"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投标文件格式</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756"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联合体投标人</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未以联合体形式投标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756"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ascii="宋体" w:hAnsi="宋体"/>
                <w:color w:val="000000"/>
                <w:sz w:val="21"/>
                <w:szCs w:val="21"/>
              </w:rPr>
            </w:pPr>
            <w:r>
              <w:rPr>
                <w:rFonts w:ascii="宋体" w:hAnsi="宋体"/>
                <w:color w:val="000000"/>
                <w:sz w:val="21"/>
                <w:szCs w:val="21"/>
              </w:rPr>
              <w:t>备选投标方案</w:t>
            </w:r>
          </w:p>
        </w:tc>
        <w:tc>
          <w:tcPr>
            <w:tcW w:w="5221" w:type="dxa"/>
            <w:noWrap w:val="0"/>
            <w:vAlign w:val="center"/>
          </w:tcPr>
          <w:p>
            <w:pPr>
              <w:pageBreakBefore w:val="0"/>
              <w:kinsoku/>
              <w:wordWrap/>
              <w:overflowPunct/>
              <w:topLinePunct w:val="0"/>
              <w:bidi w:val="0"/>
              <w:snapToGrid w:val="0"/>
              <w:spacing w:line="240" w:lineRule="auto"/>
              <w:rPr>
                <w:rFonts w:ascii="宋体" w:hAnsi="宋体"/>
                <w:color w:val="000000"/>
                <w:sz w:val="21"/>
                <w:szCs w:val="21"/>
              </w:rPr>
            </w:pPr>
            <w:r>
              <w:rPr>
                <w:rFonts w:ascii="宋体" w:hAnsi="宋体"/>
                <w:color w:val="000000"/>
                <w:sz w:val="21"/>
                <w:szCs w:val="21"/>
              </w:rPr>
              <w:t>除招标文件明确允许提交备选投标方案外，投标人不得提交备选投标方案</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56" w:type="dxa"/>
            <w:vMerge w:val="restart"/>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2.1.2</w:t>
            </w:r>
          </w:p>
        </w:tc>
        <w:tc>
          <w:tcPr>
            <w:tcW w:w="655" w:type="dxa"/>
            <w:vMerge w:val="restart"/>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资格评审标准</w:t>
            </w: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营业执照（事业单位法人证书）和组织机构代码证</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符合第二章“投标人须知”第3.5.1项规定，具备有效的营业执照（事业单位法人证书）和组织机构代码证。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756" w:type="dxa"/>
            <w:vMerge w:val="continue"/>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其他要求</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6"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不存在禁止投标的情形</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6" w:type="dxa"/>
            <w:vMerge w:val="restart"/>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2.1.3</w:t>
            </w:r>
          </w:p>
        </w:tc>
        <w:tc>
          <w:tcPr>
            <w:tcW w:w="655" w:type="dxa"/>
            <w:vMerge w:val="restart"/>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响应性评审标准</w:t>
            </w: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投标报价</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符合第二章“投标人须知”第3.2款规定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6" w:type="dxa"/>
            <w:vMerge w:val="continue"/>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投标内容</w:t>
            </w:r>
          </w:p>
        </w:tc>
        <w:tc>
          <w:tcPr>
            <w:tcW w:w="5221" w:type="dxa"/>
            <w:noWrap w:val="0"/>
            <w:vAlign w:val="center"/>
          </w:tcPr>
          <w:p>
            <w:pPr>
              <w:pageBreakBefore w:val="0"/>
              <w:kinsoku/>
              <w:wordWrap/>
              <w:overflowPunct/>
              <w:topLinePunct w:val="0"/>
              <w:bidi w:val="0"/>
              <w:snapToGrid w:val="0"/>
              <w:spacing w:line="240" w:lineRule="auto"/>
              <w:jc w:val="left"/>
              <w:rPr>
                <w:rFonts w:hint="eastAsia" w:ascii="宋体" w:hAnsi="宋体" w:cs="宋体"/>
                <w:color w:val="000000"/>
                <w:sz w:val="21"/>
                <w:szCs w:val="21"/>
              </w:rPr>
            </w:pPr>
            <w:r>
              <w:rPr>
                <w:rFonts w:hint="eastAsia" w:ascii="宋体" w:hAnsi="宋体" w:cs="宋体"/>
                <w:color w:val="000000"/>
                <w:sz w:val="21"/>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6" w:type="dxa"/>
            <w:vMerge w:val="continue"/>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交货期</w:t>
            </w:r>
          </w:p>
        </w:tc>
        <w:tc>
          <w:tcPr>
            <w:tcW w:w="5221" w:type="dxa"/>
            <w:noWrap w:val="0"/>
            <w:vAlign w:val="center"/>
          </w:tcPr>
          <w:p>
            <w:pPr>
              <w:pageBreakBefore w:val="0"/>
              <w:kinsoku/>
              <w:wordWrap/>
              <w:overflowPunct/>
              <w:topLinePunct w:val="0"/>
              <w:bidi w:val="0"/>
              <w:snapToGrid w:val="0"/>
              <w:spacing w:line="240" w:lineRule="auto"/>
              <w:jc w:val="left"/>
              <w:rPr>
                <w:rFonts w:hint="eastAsia" w:ascii="宋体" w:hAnsi="宋体" w:cs="宋体"/>
                <w:color w:val="000000"/>
                <w:sz w:val="21"/>
                <w:szCs w:val="21"/>
              </w:rPr>
            </w:pPr>
            <w:r>
              <w:rPr>
                <w:rFonts w:hint="eastAsia" w:ascii="宋体" w:hAnsi="宋体" w:cs="宋体"/>
                <w:color w:val="000000"/>
                <w:sz w:val="21"/>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6" w:type="dxa"/>
            <w:vMerge w:val="continue"/>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交货地点</w:t>
            </w:r>
          </w:p>
        </w:tc>
        <w:tc>
          <w:tcPr>
            <w:tcW w:w="5221" w:type="dxa"/>
            <w:noWrap w:val="0"/>
            <w:vAlign w:val="center"/>
          </w:tcPr>
          <w:p>
            <w:pPr>
              <w:pageBreakBefore w:val="0"/>
              <w:kinsoku/>
              <w:wordWrap/>
              <w:overflowPunct/>
              <w:topLinePunct w:val="0"/>
              <w:bidi w:val="0"/>
              <w:snapToGrid w:val="0"/>
              <w:spacing w:line="240" w:lineRule="auto"/>
              <w:jc w:val="left"/>
              <w:rPr>
                <w:rFonts w:hint="eastAsia" w:ascii="宋体" w:hAnsi="宋体" w:cs="宋体"/>
                <w:color w:val="000000"/>
                <w:sz w:val="21"/>
                <w:szCs w:val="21"/>
              </w:rPr>
            </w:pPr>
            <w:r>
              <w:rPr>
                <w:rFonts w:hint="eastAsia" w:ascii="宋体" w:hAnsi="宋体" w:cs="宋体"/>
                <w:color w:val="000000"/>
                <w:sz w:val="21"/>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6" w:type="dxa"/>
            <w:vMerge w:val="continue"/>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设备用途及参考技术性能指标</w:t>
            </w:r>
          </w:p>
        </w:tc>
        <w:tc>
          <w:tcPr>
            <w:tcW w:w="5221" w:type="dxa"/>
            <w:noWrap w:val="0"/>
            <w:vAlign w:val="center"/>
          </w:tcPr>
          <w:p>
            <w:pPr>
              <w:pageBreakBefore w:val="0"/>
              <w:kinsoku/>
              <w:wordWrap/>
              <w:overflowPunct/>
              <w:topLinePunct w:val="0"/>
              <w:bidi w:val="0"/>
              <w:snapToGrid w:val="0"/>
              <w:spacing w:line="240" w:lineRule="auto"/>
              <w:jc w:val="left"/>
              <w:rPr>
                <w:rFonts w:hint="eastAsia" w:ascii="宋体" w:hAnsi="宋体" w:cs="宋体"/>
                <w:color w:val="000000"/>
                <w:sz w:val="21"/>
                <w:szCs w:val="21"/>
              </w:rPr>
            </w:pPr>
            <w:r>
              <w:rPr>
                <w:rFonts w:hint="eastAsia" w:ascii="宋体" w:hAnsi="宋体" w:cs="宋体"/>
                <w:color w:val="000000"/>
                <w:sz w:val="21"/>
                <w:szCs w:val="21"/>
              </w:rPr>
              <w:t>符合第二章“投标人须知”第10.3项规定，并填报了设备承诺函。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6"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投标有效期</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6"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投标保证金</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符合第二章“投标人须知”第3.4.1款规定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6"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权利义务</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符合第二章“投标人须知”第1.11.1项规定和第四章“合同条款及格式”中的实质性要求和条件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6"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投标设备和技术服务和质保期服务</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符合第五章“供货要求”中的实质性要求和条件，设备</w:t>
            </w:r>
            <w:r>
              <w:rPr>
                <w:rFonts w:hint="eastAsia" w:ascii="宋体" w:hAnsi="宋体" w:cs="宋体"/>
                <w:color w:val="000000"/>
                <w:sz w:val="21"/>
                <w:szCs w:val="21"/>
                <w:highlight w:val="none"/>
              </w:rPr>
              <w:t>整体</w:t>
            </w:r>
            <w:r>
              <w:rPr>
                <w:rFonts w:hint="eastAsia" w:ascii="宋体" w:hAnsi="宋体"/>
                <w:color w:val="000000"/>
                <w:sz w:val="21"/>
                <w:szCs w:val="21"/>
                <w:highlight w:val="none"/>
              </w:rPr>
              <w:t>质量保证期不少于</w:t>
            </w: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年；</w:t>
            </w:r>
            <w:r>
              <w:rPr>
                <w:rFonts w:hint="eastAsia"/>
                <w:color w:val="000000"/>
                <w:sz w:val="21"/>
                <w:szCs w:val="21"/>
                <w:highlight w:val="none"/>
              </w:rPr>
              <w:t>若投标</w:t>
            </w:r>
            <w:r>
              <w:rPr>
                <w:rFonts w:hint="eastAsia"/>
                <w:color w:val="000000"/>
                <w:sz w:val="21"/>
                <w:szCs w:val="21"/>
              </w:rPr>
              <w:t>人为代理商，提供了制造商出具的</w:t>
            </w:r>
            <w:r>
              <w:rPr>
                <w:rFonts w:hint="eastAsia" w:ascii="宋体" w:hAnsi="宋体"/>
                <w:color w:val="000000"/>
                <w:sz w:val="21"/>
                <w:szCs w:val="21"/>
              </w:rPr>
              <w:t>质量保证期服务</w:t>
            </w:r>
            <w:r>
              <w:rPr>
                <w:rFonts w:hint="eastAsia"/>
                <w:color w:val="000000"/>
                <w:sz w:val="21"/>
                <w:szCs w:val="21"/>
              </w:rPr>
              <w:t>承诺函</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6"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655" w:type="dxa"/>
            <w:vMerge w:val="continue"/>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技术支持资料</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符合第二章“投标人须知”第1.11.3项规定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1" w:type="dxa"/>
            <w:gridSpan w:val="2"/>
            <w:noWrap w:val="0"/>
            <w:vAlign w:val="center"/>
          </w:tcPr>
          <w:p>
            <w:pPr>
              <w:pageBreakBefore w:val="0"/>
              <w:kinsoku/>
              <w:wordWrap/>
              <w:overflowPunct/>
              <w:topLinePunct w:val="0"/>
              <w:bidi w:val="0"/>
              <w:snapToGrid w:val="0"/>
              <w:spacing w:line="240" w:lineRule="auto"/>
              <w:jc w:val="center"/>
              <w:rPr>
                <w:rFonts w:hint="eastAsia" w:ascii="宋体" w:hAnsi="宋体" w:cs="宋体"/>
                <w:b/>
                <w:color w:val="000000"/>
                <w:sz w:val="21"/>
                <w:szCs w:val="21"/>
              </w:rPr>
            </w:pPr>
            <w:r>
              <w:rPr>
                <w:rFonts w:hint="eastAsia" w:ascii="宋体" w:hAnsi="宋体" w:cs="宋体"/>
                <w:b/>
                <w:color w:val="000000"/>
                <w:sz w:val="21"/>
                <w:szCs w:val="21"/>
              </w:rPr>
              <w:t>条款号</w:t>
            </w: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b/>
                <w:color w:val="000000"/>
                <w:sz w:val="21"/>
                <w:szCs w:val="21"/>
              </w:rPr>
            </w:pPr>
            <w:r>
              <w:rPr>
                <w:rFonts w:hint="eastAsia" w:ascii="宋体" w:hAnsi="宋体" w:cs="宋体"/>
                <w:b/>
                <w:color w:val="000000"/>
                <w:sz w:val="21"/>
                <w:szCs w:val="21"/>
              </w:rPr>
              <w:t>条款内容</w:t>
            </w:r>
          </w:p>
        </w:tc>
        <w:tc>
          <w:tcPr>
            <w:tcW w:w="5221" w:type="dxa"/>
            <w:noWrap w:val="0"/>
            <w:vAlign w:val="center"/>
          </w:tcPr>
          <w:p>
            <w:pPr>
              <w:pageBreakBefore w:val="0"/>
              <w:kinsoku/>
              <w:wordWrap/>
              <w:overflowPunct/>
              <w:topLinePunct w:val="0"/>
              <w:bidi w:val="0"/>
              <w:snapToGrid w:val="0"/>
              <w:spacing w:line="240" w:lineRule="auto"/>
              <w:jc w:val="center"/>
              <w:rPr>
                <w:rFonts w:hint="eastAsia" w:ascii="宋体" w:hAnsi="宋体" w:cs="宋体"/>
                <w:b/>
                <w:color w:val="000000"/>
                <w:sz w:val="21"/>
                <w:szCs w:val="21"/>
              </w:rPr>
            </w:pPr>
            <w:r>
              <w:rPr>
                <w:rFonts w:hint="eastAsia" w:ascii="宋体" w:hAnsi="宋体" w:cs="宋体"/>
                <w:b/>
                <w:color w:val="000000"/>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1" w:type="dxa"/>
            <w:gridSpan w:val="2"/>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2.2.1</w:t>
            </w: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分值构成</w:t>
            </w:r>
          </w:p>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(总分100分)</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商务部分：15 分</w:t>
            </w:r>
          </w:p>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技术部分：55 分</w:t>
            </w:r>
          </w:p>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投标报价：30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11" w:type="dxa"/>
            <w:gridSpan w:val="2"/>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2.2.2</w:t>
            </w: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评标基准价计算方法</w:t>
            </w:r>
          </w:p>
        </w:tc>
        <w:tc>
          <w:tcPr>
            <w:tcW w:w="5221" w:type="dxa"/>
            <w:noWrap w:val="0"/>
            <w:vAlign w:val="center"/>
          </w:tcPr>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评标基准价的计算：</w:t>
            </w:r>
          </w:p>
          <w:p>
            <w:pPr>
              <w:pageBreakBefore w:val="0"/>
              <w:kinsoku/>
              <w:wordWrap/>
              <w:overflowPunct/>
              <w:topLinePunct w:val="0"/>
              <w:bidi w:val="0"/>
              <w:snapToGrid w:val="0"/>
              <w:spacing w:line="240" w:lineRule="auto"/>
              <w:rPr>
                <w:rFonts w:ascii="宋体" w:hAnsi="宋体" w:cs="宋体"/>
                <w:color w:val="000000"/>
                <w:sz w:val="21"/>
                <w:szCs w:val="21"/>
              </w:rPr>
            </w:pPr>
            <w:r>
              <w:rPr>
                <w:rFonts w:hint="eastAsia" w:ascii="宋体" w:hAnsi="宋体" w:cs="宋体"/>
                <w:color w:val="000000"/>
                <w:sz w:val="21"/>
                <w:szCs w:val="21"/>
              </w:rPr>
              <w:t>（1）评标价的确定：</w:t>
            </w:r>
          </w:p>
          <w:p>
            <w:pPr>
              <w:pageBreakBefore w:val="0"/>
              <w:kinsoku/>
              <w:wordWrap/>
              <w:overflowPunct/>
              <w:topLinePunct w:val="0"/>
              <w:bidi w:val="0"/>
              <w:snapToGrid w:val="0"/>
              <w:spacing w:line="240" w:lineRule="auto"/>
              <w:rPr>
                <w:rFonts w:ascii="宋体" w:hAnsi="宋体" w:cs="宋体"/>
                <w:color w:val="000000"/>
                <w:sz w:val="21"/>
                <w:szCs w:val="21"/>
              </w:rPr>
            </w:pPr>
            <w:r>
              <w:rPr>
                <w:rFonts w:hint="eastAsia" w:ascii="宋体" w:hAnsi="宋体" w:cs="宋体"/>
                <w:color w:val="000000"/>
                <w:sz w:val="21"/>
                <w:szCs w:val="21"/>
              </w:rPr>
              <w:t>评标价=投标函文字报价</w:t>
            </w:r>
          </w:p>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（2）评标价平均值的确定：</w:t>
            </w:r>
          </w:p>
          <w:p>
            <w:pPr>
              <w:pageBreakBefore w:val="0"/>
              <w:kinsoku/>
              <w:wordWrap/>
              <w:overflowPunct/>
              <w:topLinePunct w:val="0"/>
              <w:bidi w:val="0"/>
              <w:snapToGrid w:val="0"/>
              <w:spacing w:line="240" w:lineRule="auto"/>
              <w:rPr>
                <w:rFonts w:ascii="宋体" w:hAnsi="宋体" w:cs="宋体"/>
                <w:color w:val="000000"/>
                <w:sz w:val="21"/>
                <w:szCs w:val="21"/>
              </w:rPr>
            </w:pPr>
            <w:r>
              <w:rPr>
                <w:rFonts w:hint="eastAsia" w:ascii="宋体" w:hAnsi="宋体" w:cs="宋体"/>
                <w:color w:val="000000"/>
                <w:sz w:val="21"/>
                <w:szCs w:val="21"/>
              </w:rPr>
              <w:t>以所有通过初步评审的投标人评标价去掉一个最高值和一个最低值后的算术平均值即为评标价平均值（如果通过初步评审的投标人数量少于5家时，则计算评标价平均值时不去掉最高值和最低值）。</w:t>
            </w:r>
          </w:p>
          <w:p>
            <w:pPr>
              <w:pageBreakBefore w:val="0"/>
              <w:kinsoku/>
              <w:wordWrap/>
              <w:overflowPunct/>
              <w:topLinePunct w:val="0"/>
              <w:bidi w:val="0"/>
              <w:snapToGrid w:val="0"/>
              <w:spacing w:line="240" w:lineRule="auto"/>
              <w:rPr>
                <w:rFonts w:ascii="宋体" w:hAnsi="宋体" w:cs="宋体"/>
                <w:color w:val="000000"/>
                <w:sz w:val="21"/>
                <w:szCs w:val="21"/>
              </w:rPr>
            </w:pPr>
            <w:r>
              <w:rPr>
                <w:rFonts w:hint="eastAsia" w:ascii="宋体" w:hAnsi="宋体" w:cs="宋体"/>
                <w:color w:val="000000"/>
                <w:sz w:val="21"/>
                <w:szCs w:val="21"/>
              </w:rPr>
              <w:t>（3）评标基准价的确定：</w:t>
            </w:r>
          </w:p>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s="宋体"/>
                <w:color w:val="000000"/>
                <w:sz w:val="21"/>
                <w:szCs w:val="21"/>
              </w:rPr>
              <w:t>将评标价平均值直接作为评标基准价。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1411" w:type="dxa"/>
            <w:gridSpan w:val="2"/>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2.2.3</w:t>
            </w:r>
          </w:p>
        </w:tc>
        <w:tc>
          <w:tcPr>
            <w:tcW w:w="2476" w:type="dxa"/>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投标报价的偏差率</w:t>
            </w:r>
          </w:p>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计算公式</w:t>
            </w:r>
          </w:p>
        </w:tc>
        <w:tc>
          <w:tcPr>
            <w:tcW w:w="5221" w:type="dxa"/>
            <w:noWrap w:val="0"/>
            <w:vAlign w:val="center"/>
          </w:tcPr>
          <w:p>
            <w:pPr>
              <w:pageBreakBefore w:val="0"/>
              <w:kinsoku/>
              <w:wordWrap/>
              <w:overflowPunct/>
              <w:topLinePunct w:val="0"/>
              <w:bidi w:val="0"/>
              <w:snapToGrid w:val="0"/>
              <w:spacing w:line="240" w:lineRule="auto"/>
              <w:jc w:val="left"/>
              <w:rPr>
                <w:rFonts w:hint="eastAsia" w:ascii="宋体" w:hAnsi="宋体"/>
                <w:color w:val="000000"/>
                <w:sz w:val="21"/>
                <w:szCs w:val="21"/>
              </w:rPr>
            </w:pPr>
            <w:r>
              <w:rPr>
                <w:rFonts w:hint="eastAsia" w:ascii="宋体" w:hAnsi="宋体"/>
                <w:color w:val="000000"/>
                <w:sz w:val="21"/>
                <w:szCs w:val="21"/>
              </w:rPr>
              <w:t>偏差率=100%×（投标人评标价-评标基准价）/评标基准价</w:t>
            </w:r>
          </w:p>
          <w:p>
            <w:pPr>
              <w:pageBreakBefore w:val="0"/>
              <w:kinsoku/>
              <w:wordWrap/>
              <w:overflowPunct/>
              <w:topLinePunct w:val="0"/>
              <w:bidi w:val="0"/>
              <w:snapToGrid w:val="0"/>
              <w:spacing w:line="240" w:lineRule="auto"/>
              <w:rPr>
                <w:rFonts w:hint="eastAsia" w:ascii="宋体" w:hAnsi="宋体" w:cs="宋体"/>
                <w:color w:val="000000"/>
                <w:sz w:val="21"/>
                <w:szCs w:val="21"/>
              </w:rPr>
            </w:pPr>
            <w:r>
              <w:rPr>
                <w:rFonts w:hint="eastAsia" w:ascii="宋体" w:hAnsi="宋体"/>
                <w:color w:val="000000"/>
                <w:sz w:val="21"/>
                <w:szCs w:val="21"/>
              </w:rPr>
              <w:t>偏差率保留2位小数，例如：**.**%</w:t>
            </w:r>
          </w:p>
        </w:tc>
      </w:tr>
    </w:tbl>
    <w:p>
      <w:pPr>
        <w:pageBreakBefore w:val="0"/>
        <w:kinsoku/>
        <w:wordWrap/>
        <w:overflowPunct/>
        <w:topLinePunct w:val="0"/>
        <w:bidi w:val="0"/>
        <w:snapToGrid w:val="0"/>
        <w:spacing w:line="240" w:lineRule="auto"/>
        <w:jc w:val="center"/>
        <w:rPr>
          <w:rFonts w:ascii="宋体" w:hAnsi="宋体" w:cs="宋体"/>
          <w:b/>
          <w:color w:val="000000"/>
          <w:sz w:val="21"/>
          <w:szCs w:val="21"/>
        </w:rPr>
        <w:sectPr>
          <w:pgSz w:w="11906" w:h="16838"/>
          <w:pgMar w:top="1418" w:right="1701" w:bottom="1588" w:left="1701" w:header="851" w:footer="992" w:gutter="0"/>
          <w:cols w:space="720" w:num="1"/>
          <w:docGrid w:linePitch="312" w:charSpace="0"/>
        </w:sectPr>
      </w:pPr>
    </w:p>
    <w:tbl>
      <w:tblPr>
        <w:tblStyle w:val="16"/>
        <w:tblW w:w="942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1210"/>
        <w:gridCol w:w="2476"/>
        <w:gridCol w:w="50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941" w:type="dxa"/>
            <w:gridSpan w:val="2"/>
            <w:tcBorders>
              <w:top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b/>
                <w:color w:val="000000"/>
                <w:sz w:val="21"/>
                <w:szCs w:val="21"/>
              </w:rPr>
            </w:pPr>
            <w:r>
              <w:rPr>
                <w:rFonts w:hint="eastAsia" w:ascii="宋体" w:hAnsi="宋体" w:cs="宋体"/>
                <w:b/>
                <w:color w:val="000000"/>
                <w:sz w:val="21"/>
                <w:szCs w:val="21"/>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b/>
                <w:color w:val="000000"/>
                <w:sz w:val="21"/>
                <w:szCs w:val="21"/>
              </w:rPr>
            </w:pPr>
            <w:r>
              <w:rPr>
                <w:rFonts w:hint="eastAsia" w:ascii="宋体" w:hAnsi="宋体" w:cs="宋体"/>
                <w:b/>
                <w:color w:val="000000"/>
                <w:sz w:val="21"/>
                <w:szCs w:val="21"/>
              </w:rPr>
              <w:t>评分因素</w:t>
            </w:r>
            <w:r>
              <w:rPr>
                <w:rStyle w:val="20"/>
                <w:rFonts w:ascii="宋体" w:hAnsi="宋体"/>
                <w:b/>
                <w:color w:val="000000"/>
                <w:sz w:val="21"/>
                <w:szCs w:val="21"/>
              </w:rPr>
              <w:footnoteReference w:id="0"/>
            </w:r>
          </w:p>
        </w:tc>
        <w:tc>
          <w:tcPr>
            <w:tcW w:w="501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b/>
                <w:color w:val="000000"/>
                <w:sz w:val="21"/>
                <w:szCs w:val="21"/>
              </w:rPr>
            </w:pPr>
            <w:r>
              <w:rPr>
                <w:rFonts w:hint="eastAsia" w:ascii="宋体" w:hAnsi="宋体" w:cs="宋体"/>
                <w:b/>
                <w:color w:val="000000"/>
                <w:sz w:val="21"/>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2" w:hRule="atLeast"/>
          <w:jc w:val="center"/>
        </w:trPr>
        <w:tc>
          <w:tcPr>
            <w:tcW w:w="731" w:type="dxa"/>
            <w:tcBorders>
              <w:top w:val="single" w:color="auto"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2.2.4（1）</w:t>
            </w:r>
          </w:p>
        </w:tc>
        <w:tc>
          <w:tcPr>
            <w:tcW w:w="1210" w:type="dxa"/>
            <w:tcBorders>
              <w:top w:val="single" w:color="auto"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商务评分标准（15分）</w:t>
            </w:r>
          </w:p>
        </w:tc>
        <w:tc>
          <w:tcPr>
            <w:tcW w:w="2476"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240" w:lineRule="auto"/>
              <w:ind w:left="-4" w:leftChars="-2" w:right="-20" w:firstLine="33" w:firstLineChars="16"/>
              <w:jc w:val="center"/>
              <w:rPr>
                <w:rFonts w:hint="eastAsia" w:ascii="宋体" w:hAnsi="宋体" w:cs="宋体"/>
                <w:color w:val="000000"/>
                <w:sz w:val="21"/>
                <w:szCs w:val="21"/>
              </w:rPr>
            </w:pPr>
            <w:r>
              <w:rPr>
                <w:rFonts w:hint="eastAsia" w:ascii="宋体" w:hAnsi="宋体" w:cs="宋体"/>
                <w:color w:val="000000"/>
                <w:sz w:val="21"/>
                <w:szCs w:val="21"/>
              </w:rPr>
              <w:t>投标设备的市场评价</w:t>
            </w:r>
          </w:p>
          <w:p>
            <w:pPr>
              <w:pageBreakBefore w:val="0"/>
              <w:kinsoku/>
              <w:wordWrap/>
              <w:overflowPunct/>
              <w:topLinePunct w:val="0"/>
              <w:bidi w:val="0"/>
              <w:snapToGrid w:val="0"/>
              <w:spacing w:line="240" w:lineRule="auto"/>
              <w:ind w:left="-4" w:leftChars="-2" w:right="-20" w:firstLine="33" w:firstLineChars="16"/>
              <w:jc w:val="center"/>
              <w:rPr>
                <w:rFonts w:hint="eastAsia" w:ascii="宋体" w:hAnsi="宋体" w:cs="宋体"/>
                <w:color w:val="000000"/>
                <w:sz w:val="21"/>
                <w:szCs w:val="21"/>
              </w:rPr>
            </w:pPr>
            <w:r>
              <w:rPr>
                <w:rFonts w:hint="eastAsia" w:ascii="宋体" w:hAnsi="宋体" w:cs="宋体"/>
                <w:color w:val="000000"/>
                <w:sz w:val="21"/>
                <w:szCs w:val="21"/>
              </w:rPr>
              <w:t>（15分）</w:t>
            </w:r>
          </w:p>
        </w:tc>
        <w:tc>
          <w:tcPr>
            <w:tcW w:w="501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240" w:lineRule="auto"/>
              <w:jc w:val="left"/>
              <w:rPr>
                <w:rFonts w:hint="eastAsia" w:ascii="宋体" w:hAnsi="宋体" w:cs="宋体"/>
                <w:color w:val="000000"/>
                <w:kern w:val="0"/>
                <w:sz w:val="21"/>
                <w:szCs w:val="21"/>
              </w:rPr>
            </w:pPr>
            <w:r>
              <w:rPr>
                <w:rFonts w:hint="eastAsia" w:ascii="宋体" w:hAnsi="宋体" w:cs="宋体"/>
                <w:color w:val="000000"/>
                <w:sz w:val="21"/>
                <w:szCs w:val="21"/>
              </w:rPr>
              <w:t>市场评价一般得9分，市场评价较好得10～12分，市场评价优良得13～15分。</w:t>
            </w:r>
          </w:p>
        </w:tc>
        <w:bookmarkStart w:id="14" w:name="_Toc247527611"/>
        <w:bookmarkStart w:id="15" w:name="_Toc361508645"/>
        <w:bookmarkStart w:id="16" w:name="_Toc152045586"/>
        <w:bookmarkStart w:id="17" w:name="_Toc144974553"/>
        <w:bookmarkStart w:id="18" w:name="_Toc152042363"/>
        <w:bookmarkStart w:id="19" w:name="_Toc369531576"/>
        <w:bookmarkStart w:id="20" w:name="_Toc12369"/>
        <w:bookmarkStart w:id="21" w:name="_Toc352691532"/>
        <w:bookmarkStart w:id="22" w:name="_Toc384308271"/>
        <w:bookmarkStart w:id="23" w:name="_Toc247514010"/>
        <w:bookmarkStart w:id="24" w:name="_Toc300835007"/>
      </w:tr>
      <w:bookmarkEnd w:id="14"/>
      <w:bookmarkEnd w:id="15"/>
      <w:bookmarkEnd w:id="16"/>
      <w:bookmarkEnd w:id="17"/>
      <w:bookmarkEnd w:id="18"/>
      <w:bookmarkEnd w:id="19"/>
      <w:bookmarkEnd w:id="20"/>
      <w:bookmarkEnd w:id="21"/>
      <w:bookmarkEnd w:id="22"/>
      <w:bookmarkEnd w:id="23"/>
      <w:bookmarkEnd w:id="2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jc w:val="center"/>
        </w:trPr>
        <w:tc>
          <w:tcPr>
            <w:tcW w:w="731" w:type="dxa"/>
            <w:vMerge w:val="restart"/>
            <w:tcBorders>
              <w:top w:val="single" w:color="000000"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2.2.4（2）</w:t>
            </w:r>
          </w:p>
        </w:tc>
        <w:tc>
          <w:tcPr>
            <w:tcW w:w="1210" w:type="dxa"/>
            <w:vMerge w:val="restart"/>
            <w:tcBorders>
              <w:top w:val="single" w:color="000000"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技术评分标准（55分）</w:t>
            </w:r>
          </w:p>
        </w:tc>
        <w:tc>
          <w:tcPr>
            <w:tcW w:w="2476"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对投标设备的</w:t>
            </w:r>
          </w:p>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技术质量评价</w:t>
            </w:r>
          </w:p>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（15分）</w:t>
            </w:r>
          </w:p>
        </w:tc>
        <w:tc>
          <w:tcPr>
            <w:tcW w:w="501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240" w:lineRule="auto"/>
              <w:rPr>
                <w:rFonts w:hint="eastAsia" w:ascii="宋体" w:hAnsi="宋体" w:cs="宋体"/>
                <w:color w:val="000000"/>
                <w:kern w:val="0"/>
                <w:sz w:val="21"/>
                <w:szCs w:val="21"/>
              </w:rPr>
            </w:pPr>
            <w:r>
              <w:rPr>
                <w:rFonts w:hint="eastAsia" w:ascii="宋体" w:hAnsi="宋体" w:cs="宋体"/>
                <w:color w:val="000000"/>
                <w:kern w:val="0"/>
                <w:sz w:val="21"/>
                <w:szCs w:val="21"/>
              </w:rPr>
              <w:t>能够满足本次招标设备用途的，得9分，能够较好满足本次招标设备用途的，得10</w:t>
            </w:r>
            <w:r>
              <w:rPr>
                <w:rFonts w:hint="eastAsia" w:ascii="宋体" w:hAnsi="宋体" w:cs="宋体"/>
                <w:color w:val="000000"/>
                <w:sz w:val="21"/>
                <w:szCs w:val="21"/>
              </w:rPr>
              <w:t>～12</w:t>
            </w:r>
            <w:r>
              <w:rPr>
                <w:rFonts w:hint="eastAsia" w:ascii="宋体" w:hAnsi="宋体" w:cs="宋体"/>
                <w:color w:val="000000"/>
                <w:kern w:val="0"/>
                <w:sz w:val="21"/>
                <w:szCs w:val="21"/>
              </w:rPr>
              <w:t>分，能够充分满足本次招标设备用途的，得13</w:t>
            </w:r>
            <w:r>
              <w:rPr>
                <w:rFonts w:hint="eastAsia" w:ascii="宋体" w:hAnsi="宋体" w:cs="宋体"/>
                <w:color w:val="000000"/>
                <w:sz w:val="21"/>
                <w:szCs w:val="21"/>
              </w:rPr>
              <w:t>～15</w:t>
            </w:r>
            <w:r>
              <w:rPr>
                <w:rFonts w:hint="eastAsia" w:ascii="宋体" w:hAnsi="宋体" w:cs="宋体"/>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jc w:val="center"/>
        </w:trPr>
        <w:tc>
          <w:tcPr>
            <w:tcW w:w="731" w:type="dxa"/>
            <w:vMerge w:val="continue"/>
            <w:tcBorders>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1210" w:type="dxa"/>
            <w:vMerge w:val="continue"/>
            <w:tcBorders>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2476"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对投标设备的</w:t>
            </w:r>
          </w:p>
          <w:p>
            <w:pPr>
              <w:pageBreakBefore w:val="0"/>
              <w:kinsoku/>
              <w:wordWrap/>
              <w:overflowPunct/>
              <w:topLinePunct w:val="0"/>
              <w:bidi w:val="0"/>
              <w:snapToGrid w:val="0"/>
              <w:spacing w:line="240" w:lineRule="auto"/>
              <w:jc w:val="center"/>
              <w:rPr>
                <w:rFonts w:ascii="宋体" w:hAnsi="宋体" w:cs="宋体"/>
                <w:color w:val="000000"/>
                <w:sz w:val="21"/>
                <w:szCs w:val="21"/>
              </w:rPr>
            </w:pPr>
            <w:r>
              <w:rPr>
                <w:rFonts w:hint="eastAsia" w:ascii="宋体" w:hAnsi="宋体" w:cs="宋体"/>
                <w:color w:val="000000"/>
                <w:sz w:val="21"/>
                <w:szCs w:val="21"/>
              </w:rPr>
              <w:t>经济耐久性评价（20分）</w:t>
            </w:r>
          </w:p>
        </w:tc>
        <w:tc>
          <w:tcPr>
            <w:tcW w:w="501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240" w:lineRule="auto"/>
              <w:rPr>
                <w:rFonts w:ascii="宋体" w:hAnsi="宋体" w:cs="宋体"/>
                <w:color w:val="000000"/>
                <w:kern w:val="0"/>
                <w:sz w:val="21"/>
                <w:szCs w:val="21"/>
              </w:rPr>
            </w:pPr>
            <w:r>
              <w:rPr>
                <w:rFonts w:hint="eastAsia" w:ascii="宋体" w:hAnsi="宋体" w:cs="宋体"/>
                <w:color w:val="000000"/>
                <w:kern w:val="0"/>
                <w:sz w:val="21"/>
                <w:szCs w:val="21"/>
              </w:rPr>
              <w:t>对设备的使用经济性和使用</w:t>
            </w:r>
            <w:r>
              <w:rPr>
                <w:rFonts w:hint="eastAsia" w:ascii="宋体" w:hAnsi="宋体" w:cs="宋体"/>
                <w:color w:val="000000"/>
                <w:sz w:val="21"/>
                <w:szCs w:val="21"/>
              </w:rPr>
              <w:t>耐久</w:t>
            </w:r>
            <w:r>
              <w:rPr>
                <w:rFonts w:hint="eastAsia" w:ascii="宋体" w:hAnsi="宋体" w:cs="宋体"/>
                <w:color w:val="000000"/>
                <w:kern w:val="0"/>
                <w:sz w:val="21"/>
                <w:szCs w:val="21"/>
              </w:rPr>
              <w:t>性进行评价，一般得12分，较好得13-16分，满意得17-20分。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7" w:hRule="atLeast"/>
          <w:jc w:val="center"/>
        </w:trPr>
        <w:tc>
          <w:tcPr>
            <w:tcW w:w="731" w:type="dxa"/>
            <w:vMerge w:val="continue"/>
            <w:tcBorders>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1210" w:type="dxa"/>
            <w:vMerge w:val="continue"/>
            <w:tcBorders>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对投标人技术服务和质保期服务能力的评价</w:t>
            </w:r>
          </w:p>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（15分）</w:t>
            </w:r>
          </w:p>
        </w:tc>
        <w:tc>
          <w:tcPr>
            <w:tcW w:w="501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240" w:lineRule="auto"/>
              <w:rPr>
                <w:rFonts w:hint="eastAsia" w:ascii="宋体" w:hAnsi="宋体" w:cs="宋体"/>
                <w:color w:val="000000"/>
                <w:kern w:val="0"/>
                <w:sz w:val="21"/>
                <w:szCs w:val="21"/>
              </w:rPr>
            </w:pPr>
            <w:r>
              <w:rPr>
                <w:rFonts w:hint="eastAsia" w:ascii="宋体" w:hAnsi="宋体" w:cs="宋体"/>
                <w:color w:val="000000"/>
                <w:kern w:val="0"/>
                <w:sz w:val="21"/>
                <w:szCs w:val="21"/>
              </w:rPr>
              <w:t>售后服务体系良好、售后服务计划合理可行得9分，针对本项目售后服务措施考虑周全、售后服务及时且可行的予以加分，最多加6分。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46" w:hRule="atLeast"/>
          <w:jc w:val="center"/>
        </w:trPr>
        <w:tc>
          <w:tcPr>
            <w:tcW w:w="731" w:type="dxa"/>
            <w:vMerge w:val="continue"/>
            <w:tcBorders>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1210" w:type="dxa"/>
            <w:vMerge w:val="continue"/>
            <w:tcBorders>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kern w:val="0"/>
                <w:sz w:val="21"/>
                <w:szCs w:val="21"/>
              </w:rPr>
              <w:t>质量保证期（5分）</w:t>
            </w:r>
          </w:p>
        </w:tc>
        <w:tc>
          <w:tcPr>
            <w:tcW w:w="501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240" w:lineRule="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rPr>
              <w:t>质量保证期</w:t>
            </w: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年得3分，每增加1年加0.5分，最高得5分</w:t>
            </w:r>
            <w:r>
              <w:rPr>
                <w:rFonts w:hint="eastAsia" w:ascii="宋体" w:hAnsi="宋体" w:cs="宋体"/>
                <w:color w:val="000000"/>
                <w:kern w:val="0"/>
                <w:sz w:val="21"/>
                <w:szCs w:val="21"/>
                <w:highlight w:val="none"/>
                <w:lang w:eastAsia="zh-CN"/>
              </w:rPr>
              <w:t>。</w:t>
            </w:r>
          </w:p>
          <w:p>
            <w:pPr>
              <w:pageBreakBefore w:val="0"/>
              <w:kinsoku/>
              <w:wordWrap/>
              <w:overflowPunct/>
              <w:topLinePunct w:val="0"/>
              <w:bidi w:val="0"/>
              <w:snapToGrid w:val="0"/>
              <w:spacing w:line="240" w:lineRule="auto"/>
              <w:rPr>
                <w:rFonts w:ascii="宋体" w:hAnsi="宋体" w:cs="宋体"/>
                <w:color w:val="000000"/>
                <w:kern w:val="0"/>
                <w:sz w:val="21"/>
                <w:szCs w:val="21"/>
              </w:rPr>
            </w:pPr>
            <w:r>
              <w:rPr>
                <w:rFonts w:hint="eastAsia" w:ascii="楷体" w:hAnsi="楷体" w:eastAsia="楷体" w:cs="楷体"/>
                <w:color w:val="000000"/>
                <w:kern w:val="0"/>
                <w:sz w:val="21"/>
                <w:szCs w:val="21"/>
                <w:highlight w:val="none"/>
              </w:rPr>
              <w:t>注：</w:t>
            </w:r>
            <w:r>
              <w:rPr>
                <w:rFonts w:hint="eastAsia" w:ascii="楷体" w:hAnsi="楷体" w:eastAsia="楷体"/>
                <w:color w:val="000000"/>
                <w:sz w:val="21"/>
                <w:szCs w:val="21"/>
                <w:highlight w:val="none"/>
              </w:rPr>
              <w:t>若投标人为代理商，</w:t>
            </w:r>
            <w:r>
              <w:rPr>
                <w:rFonts w:hint="eastAsia" w:ascii="楷体" w:hAnsi="楷体" w:eastAsia="楷体"/>
                <w:color w:val="000000"/>
                <w:sz w:val="21"/>
                <w:szCs w:val="21"/>
              </w:rPr>
              <w:t>质量保证期以制造商出具的承诺函为准；若投标人为制造商，质量保证期以投标函中填报的时间为准。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59" w:hRule="atLeast"/>
          <w:jc w:val="center"/>
        </w:trPr>
        <w:tc>
          <w:tcPr>
            <w:tcW w:w="731"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2.2.4（3）</w:t>
            </w:r>
          </w:p>
        </w:tc>
        <w:tc>
          <w:tcPr>
            <w:tcW w:w="1210"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sz w:val="21"/>
                <w:szCs w:val="21"/>
              </w:rPr>
            </w:pPr>
            <w:r>
              <w:rPr>
                <w:rFonts w:hint="eastAsia" w:ascii="宋体" w:hAnsi="宋体" w:cs="宋体"/>
                <w:color w:val="000000"/>
                <w:sz w:val="21"/>
                <w:szCs w:val="21"/>
              </w:rPr>
              <w:t>投标报价评分标准（30分）</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val="0"/>
              <w:spacing w:line="240" w:lineRule="auto"/>
              <w:jc w:val="center"/>
              <w:rPr>
                <w:rFonts w:hint="eastAsia" w:ascii="宋体" w:hAnsi="宋体" w:cs="宋体"/>
                <w:color w:val="000000"/>
                <w:kern w:val="0"/>
                <w:sz w:val="21"/>
                <w:szCs w:val="21"/>
              </w:rPr>
            </w:pPr>
            <w:r>
              <w:rPr>
                <w:rFonts w:hint="eastAsia" w:ascii="宋体" w:hAnsi="宋体" w:cs="宋体"/>
                <w:color w:val="000000"/>
                <w:kern w:val="0"/>
                <w:sz w:val="21"/>
                <w:szCs w:val="21"/>
              </w:rPr>
              <w:t>投标报价（30分）</w:t>
            </w:r>
          </w:p>
        </w:tc>
        <w:tc>
          <w:tcPr>
            <w:tcW w:w="5012"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1"/>
              </w:numPr>
              <w:kinsoku/>
              <w:wordWrap/>
              <w:overflowPunct/>
              <w:topLinePunct w:val="0"/>
              <w:bidi w:val="0"/>
              <w:snapToGrid w:val="0"/>
              <w:spacing w:line="24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如果投标人的评标价＞评标基准价，则评标价得分=30-｜偏差率｜×100×0.2；</w:t>
            </w:r>
          </w:p>
          <w:p>
            <w:pPr>
              <w:pageBreakBefore w:val="0"/>
              <w:numPr>
                <w:ilvl w:val="0"/>
                <w:numId w:val="1"/>
              </w:numPr>
              <w:kinsoku/>
              <w:wordWrap/>
              <w:overflowPunct/>
              <w:topLinePunct w:val="0"/>
              <w:bidi w:val="0"/>
              <w:snapToGrid w:val="0"/>
              <w:spacing w:line="24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如果投标人的评标价≤评标基准价，则评标价得分=30-｜偏差率｜×100×0.1</w:t>
            </w:r>
          </w:p>
          <w:p>
            <w:pPr>
              <w:pageBreakBefore w:val="0"/>
              <w:kinsoku/>
              <w:wordWrap/>
              <w:overflowPunct/>
              <w:topLinePunct w:val="0"/>
              <w:bidi w:val="0"/>
              <w:snapToGrid w:val="0"/>
              <w:spacing w:line="24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注：｜偏差率｜为偏差率的绝对值，评标价得分最低得0分。</w:t>
            </w:r>
          </w:p>
        </w:tc>
      </w:tr>
    </w:tbl>
    <w:p>
      <w:pPr>
        <w:pageBreakBefore w:val="0"/>
        <w:kinsoku/>
        <w:wordWrap/>
        <w:overflowPunct/>
        <w:topLinePunct w:val="0"/>
        <w:bidi w:val="0"/>
        <w:snapToGrid w:val="0"/>
        <w:spacing w:line="240" w:lineRule="auto"/>
        <w:rPr>
          <w:rFonts w:hint="eastAsia" w:ascii="宋体" w:hAnsi="宋体" w:eastAsia="宋体" w:cs="宋体"/>
          <w:color w:val="auto"/>
          <w:sz w:val="21"/>
          <w:szCs w:val="21"/>
          <w:highlight w:val="none"/>
        </w:rPr>
      </w:pPr>
    </w:p>
    <w:p>
      <w:pPr>
        <w:pageBreakBefore w:val="0"/>
        <w:widowControl/>
        <w:kinsoku/>
        <w:wordWrap/>
        <w:overflowPunct/>
        <w:topLinePunct w:val="0"/>
        <w:bidi w:val="0"/>
        <w:snapToGrid w:val="0"/>
        <w:spacing w:line="240" w:lineRule="auto"/>
        <w:jc w:val="left"/>
        <w:rPr>
          <w:rFonts w:hint="eastAsia" w:ascii="宋体" w:hAnsi="宋体" w:eastAsia="宋体" w:cs="宋体"/>
          <w:color w:val="auto"/>
          <w:sz w:val="21"/>
          <w:szCs w:val="21"/>
          <w:highlight w:val="none"/>
        </w:rPr>
      </w:pPr>
    </w:p>
    <w:p>
      <w:pPr>
        <w:pageBreakBefore w:val="0"/>
        <w:widowControl/>
        <w:kinsoku/>
        <w:wordWrap/>
        <w:overflowPunct/>
        <w:topLinePunct w:val="0"/>
        <w:bidi w:val="0"/>
        <w:snapToGrid w:val="0"/>
        <w:spacing w:line="240" w:lineRule="auto"/>
        <w:jc w:val="left"/>
        <w:rPr>
          <w:rFonts w:hint="eastAsia" w:ascii="宋体" w:hAnsi="宋体" w:eastAsia="宋体" w:cs="宋体"/>
          <w:b w:val="0"/>
          <w:bCs w:val="0"/>
          <w:color w:val="auto"/>
          <w:kern w:val="44"/>
          <w:sz w:val="21"/>
          <w:szCs w:val="21"/>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kern w:val="44"/>
          <w:sz w:val="21"/>
          <w:szCs w:val="21"/>
        </w:rPr>
        <w:t>公开时间</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44"/>
          <w:sz w:val="21"/>
          <w:szCs w:val="21"/>
        </w:rPr>
        <w:t>本次</w:t>
      </w:r>
      <w:r>
        <w:rPr>
          <w:rFonts w:hint="eastAsia" w:ascii="宋体" w:hAnsi="宋体" w:eastAsia="宋体" w:cs="宋体"/>
          <w:b w:val="0"/>
          <w:bCs w:val="0"/>
          <w:color w:val="auto"/>
          <w:kern w:val="44"/>
          <w:sz w:val="21"/>
          <w:szCs w:val="21"/>
          <w:lang w:val="en-US" w:eastAsia="zh-CN"/>
        </w:rPr>
        <w:t>招标</w:t>
      </w:r>
      <w:r>
        <w:rPr>
          <w:rFonts w:hint="eastAsia" w:ascii="宋体" w:hAnsi="宋体" w:eastAsia="宋体" w:cs="宋体"/>
          <w:b w:val="0"/>
          <w:bCs w:val="0"/>
          <w:color w:val="auto"/>
          <w:kern w:val="44"/>
          <w:sz w:val="21"/>
          <w:szCs w:val="21"/>
        </w:rPr>
        <w:t>文件关键内容信息公开时间至</w:t>
      </w:r>
      <w:r>
        <w:rPr>
          <w:rFonts w:hint="eastAsia" w:ascii="宋体" w:hAnsi="宋体" w:cs="宋体"/>
          <w:b w:val="0"/>
          <w:bCs w:val="0"/>
          <w:color w:val="auto"/>
          <w:kern w:val="44"/>
          <w:sz w:val="21"/>
          <w:szCs w:val="21"/>
          <w:lang w:val="en-US" w:eastAsia="zh-CN"/>
        </w:rPr>
        <w:t>2022</w:t>
      </w:r>
      <w:r>
        <w:rPr>
          <w:rFonts w:hint="eastAsia" w:ascii="宋体" w:hAnsi="宋体" w:eastAsia="宋体" w:cs="宋体"/>
          <w:b w:val="0"/>
          <w:bCs w:val="0"/>
          <w:color w:val="auto"/>
          <w:kern w:val="44"/>
          <w:sz w:val="21"/>
          <w:szCs w:val="21"/>
        </w:rPr>
        <w:t>年</w:t>
      </w:r>
      <w:r>
        <w:rPr>
          <w:rFonts w:hint="eastAsia" w:ascii="宋体" w:hAnsi="宋体" w:cs="宋体"/>
          <w:b w:val="0"/>
          <w:bCs w:val="0"/>
          <w:color w:val="auto"/>
          <w:kern w:val="44"/>
          <w:sz w:val="21"/>
          <w:szCs w:val="21"/>
          <w:lang w:val="en-US" w:eastAsia="zh-CN"/>
        </w:rPr>
        <w:t>10</w:t>
      </w:r>
      <w:r>
        <w:rPr>
          <w:rFonts w:hint="eastAsia" w:ascii="宋体" w:hAnsi="宋体" w:eastAsia="宋体" w:cs="宋体"/>
          <w:b w:val="0"/>
          <w:bCs w:val="0"/>
          <w:color w:val="auto"/>
          <w:kern w:val="44"/>
          <w:sz w:val="21"/>
          <w:szCs w:val="21"/>
        </w:rPr>
        <w:t>月</w:t>
      </w:r>
      <w:r>
        <w:rPr>
          <w:rFonts w:hint="eastAsia" w:ascii="宋体" w:hAnsi="宋体" w:cs="宋体"/>
          <w:b w:val="0"/>
          <w:bCs w:val="0"/>
          <w:color w:val="auto"/>
          <w:kern w:val="44"/>
          <w:sz w:val="21"/>
          <w:szCs w:val="21"/>
          <w:lang w:val="en-US" w:eastAsia="zh-CN"/>
        </w:rPr>
        <w:t>20</w:t>
      </w:r>
      <w:r>
        <w:rPr>
          <w:rFonts w:hint="eastAsia" w:ascii="宋体" w:hAnsi="宋体" w:eastAsia="宋体" w:cs="宋体"/>
          <w:b w:val="0"/>
          <w:bCs w:val="0"/>
          <w:color w:val="auto"/>
          <w:kern w:val="44"/>
          <w:sz w:val="21"/>
          <w:szCs w:val="21"/>
        </w:rPr>
        <w:t>日24时00分结束</w:t>
      </w:r>
    </w:p>
    <w:p>
      <w:pPr>
        <w:pageBreakBefore w:val="0"/>
        <w:numPr>
          <w:ilvl w:val="0"/>
          <w:numId w:val="0"/>
        </w:numPr>
        <w:kinsoku/>
        <w:wordWrap/>
        <w:overflowPunct/>
        <w:topLinePunct w:val="0"/>
        <w:bidi w:val="0"/>
        <w:snapToGrid w:val="0"/>
        <w:spacing w:line="240" w:lineRule="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联系方式</w:t>
      </w:r>
    </w:p>
    <w:p>
      <w:pPr>
        <w:pageBreakBefore w:val="0"/>
        <w:numPr>
          <w:ilvl w:val="0"/>
          <w:numId w:val="0"/>
        </w:numPr>
        <w:kinsoku/>
        <w:wordWrap/>
        <w:overflowPunct/>
        <w:topLinePunct w:val="0"/>
        <w:bidi w:val="0"/>
        <w:snapToGrid w:val="0"/>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 标 人：吉林省高速公路集团有限公司</w:t>
      </w:r>
    </w:p>
    <w:p>
      <w:pPr>
        <w:pageBreakBefore w:val="0"/>
        <w:numPr>
          <w:ilvl w:val="0"/>
          <w:numId w:val="0"/>
        </w:numPr>
        <w:kinsoku/>
        <w:wordWrap/>
        <w:overflowPunct/>
        <w:topLinePunct w:val="0"/>
        <w:bidi w:val="0"/>
        <w:snapToGrid w:val="0"/>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　　址：吉林省长春市南关区人民大街11511号</w:t>
      </w:r>
    </w:p>
    <w:p>
      <w:pPr>
        <w:pageBreakBefore w:val="0"/>
        <w:numPr>
          <w:ilvl w:val="0"/>
          <w:numId w:val="0"/>
        </w:numPr>
        <w:kinsoku/>
        <w:wordWrap/>
        <w:overflowPunct/>
        <w:topLinePunct w:val="0"/>
        <w:bidi w:val="0"/>
        <w:snapToGrid w:val="0"/>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邮政编码：130028</w:t>
      </w:r>
    </w:p>
    <w:p>
      <w:pPr>
        <w:pageBreakBefore w:val="0"/>
        <w:numPr>
          <w:ilvl w:val="0"/>
          <w:numId w:val="0"/>
        </w:numPr>
        <w:kinsoku/>
        <w:wordWrap/>
        <w:overflowPunct/>
        <w:topLinePunct w:val="0"/>
        <w:bidi w:val="0"/>
        <w:snapToGrid w:val="0"/>
        <w:spacing w:line="24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联 系 人：</w:t>
      </w:r>
      <w:r>
        <w:rPr>
          <w:rFonts w:hint="eastAsia" w:ascii="宋体" w:hAnsi="宋体" w:cs="宋体"/>
          <w:b w:val="0"/>
          <w:bCs w:val="0"/>
          <w:color w:val="auto"/>
          <w:sz w:val="21"/>
          <w:szCs w:val="21"/>
          <w:highlight w:val="none"/>
          <w:lang w:val="en-US" w:eastAsia="zh-CN"/>
        </w:rPr>
        <w:t>张振东</w:t>
      </w:r>
    </w:p>
    <w:p>
      <w:pPr>
        <w:pageBreakBefore w:val="0"/>
        <w:numPr>
          <w:ilvl w:val="0"/>
          <w:numId w:val="0"/>
        </w:numPr>
        <w:kinsoku/>
        <w:wordWrap/>
        <w:overflowPunct/>
        <w:topLinePunct w:val="0"/>
        <w:bidi w:val="0"/>
        <w:snapToGrid w:val="0"/>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    话：0431-85254020</w:t>
      </w:r>
    </w:p>
    <w:p>
      <w:pPr>
        <w:pageBreakBefore w:val="0"/>
        <w:numPr>
          <w:ilvl w:val="0"/>
          <w:numId w:val="0"/>
        </w:numPr>
        <w:kinsoku/>
        <w:wordWrap/>
        <w:overflowPunct/>
        <w:topLinePunct w:val="0"/>
        <w:bidi w:val="0"/>
        <w:snapToGrid w:val="0"/>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招标代理机构：国信招标集团股份有限公司</w:t>
      </w:r>
    </w:p>
    <w:p>
      <w:pPr>
        <w:pageBreakBefore w:val="0"/>
        <w:numPr>
          <w:ilvl w:val="0"/>
          <w:numId w:val="0"/>
        </w:numPr>
        <w:kinsoku/>
        <w:wordWrap/>
        <w:overflowPunct/>
        <w:topLinePunct w:val="0"/>
        <w:bidi w:val="0"/>
        <w:snapToGrid w:val="0"/>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执行机构：国信招标集团股份有限公司吉林省分公司</w:t>
      </w:r>
    </w:p>
    <w:p>
      <w:pPr>
        <w:pageBreakBefore w:val="0"/>
        <w:numPr>
          <w:ilvl w:val="0"/>
          <w:numId w:val="0"/>
        </w:numPr>
        <w:kinsoku/>
        <w:wordWrap/>
        <w:overflowPunct/>
        <w:topLinePunct w:val="0"/>
        <w:bidi w:val="0"/>
        <w:snapToGrid w:val="0"/>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地址：长春市净月旅游开发区生态大街3777号明宇广场A4栋32层招标部</w:t>
      </w:r>
    </w:p>
    <w:p>
      <w:pPr>
        <w:pageBreakBefore w:val="0"/>
        <w:numPr>
          <w:ilvl w:val="0"/>
          <w:numId w:val="0"/>
        </w:numPr>
        <w:kinsoku/>
        <w:wordWrap/>
        <w:overflowPunct/>
        <w:topLinePunct w:val="0"/>
        <w:bidi w:val="0"/>
        <w:snapToGrid w:val="0"/>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联系人：</w:t>
      </w:r>
      <w:r>
        <w:rPr>
          <w:rFonts w:ascii="宋体" w:hAnsi="宋体"/>
          <w:sz w:val="21"/>
          <w:szCs w:val="21"/>
        </w:rPr>
        <w:t>张娉婷、于越、赵宁</w:t>
      </w:r>
    </w:p>
    <w:p>
      <w:pPr>
        <w:pageBreakBefore w:val="0"/>
        <w:numPr>
          <w:ilvl w:val="0"/>
          <w:numId w:val="0"/>
        </w:numPr>
        <w:kinsoku/>
        <w:wordWrap/>
        <w:overflowPunct/>
        <w:topLinePunct w:val="0"/>
        <w:bidi w:val="0"/>
        <w:snapToGrid w:val="0"/>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电话：0431-81852896</w:t>
      </w:r>
    </w:p>
    <w:p>
      <w:pPr>
        <w:pageBreakBefore w:val="0"/>
        <w:numPr>
          <w:ilvl w:val="0"/>
          <w:numId w:val="0"/>
        </w:numPr>
        <w:kinsoku/>
        <w:wordWrap/>
        <w:overflowPunct/>
        <w:topLinePunct w:val="0"/>
        <w:bidi w:val="0"/>
        <w:snapToGrid w:val="0"/>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邮箱：2232574732@qq.com</w:t>
      </w:r>
    </w:p>
    <w:p>
      <w:pPr>
        <w:pageBreakBefore w:val="0"/>
        <w:numPr>
          <w:ilvl w:val="0"/>
          <w:numId w:val="0"/>
        </w:numPr>
        <w:kinsoku/>
        <w:wordWrap/>
        <w:overflowPunct/>
        <w:topLinePunct w:val="0"/>
        <w:bidi w:val="0"/>
        <w:snapToGrid w:val="0"/>
        <w:spacing w:line="240" w:lineRule="auto"/>
        <w:rPr>
          <w:rFonts w:hint="eastAsia" w:ascii="宋体" w:hAnsi="宋体" w:eastAsia="宋体" w:cs="宋体"/>
          <w:b w:val="0"/>
          <w:bCs w:val="0"/>
          <w:color w:val="auto"/>
          <w:sz w:val="21"/>
          <w:szCs w:val="21"/>
          <w:highlight w:val="none"/>
        </w:rPr>
      </w:pPr>
    </w:p>
    <w:bookmarkEnd w:id="0"/>
    <w:bookmarkEnd w:id="1"/>
    <w:p>
      <w:pPr>
        <w:pageBreakBefore w:val="0"/>
        <w:kinsoku/>
        <w:wordWrap/>
        <w:overflowPunct/>
        <w:topLinePunct w:val="0"/>
        <w:bidi w:val="0"/>
        <w:snapToGrid w:val="0"/>
        <w:spacing w:line="240" w:lineRule="auto"/>
        <w:jc w:val="right"/>
        <w:rPr>
          <w:rFonts w:hint="eastAsia" w:ascii="宋体" w:hAnsi="宋体" w:eastAsia="宋体" w:cs="宋体"/>
          <w:b w:val="0"/>
          <w:bCs w:val="0"/>
          <w:color w:val="auto"/>
          <w:sz w:val="21"/>
          <w:szCs w:val="21"/>
          <w:highlight w:val="none"/>
        </w:rPr>
      </w:pPr>
    </w:p>
    <w:sectPr>
      <w:footnotePr>
        <w:numFmt w:val="decimalEnclosedCircleChinese"/>
        <w:numRestart w:val="eachPage"/>
      </w:footnote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rPr>
          <w:rFonts w:hint="eastAsia" w:ascii="楷体" w:hAnsi="楷体" w:eastAsia="楷体"/>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B6A8A"/>
    <w:multiLevelType w:val="multilevel"/>
    <w:tmpl w:val="576B6A8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YWVmMmE1MGYwZDE0ODVhMTA2NzNmYWE3NzRkM2UifQ=="/>
  </w:docVars>
  <w:rsids>
    <w:rsidRoot w:val="00976577"/>
    <w:rsid w:val="0005335B"/>
    <w:rsid w:val="001B2F15"/>
    <w:rsid w:val="001E7FD4"/>
    <w:rsid w:val="0021703D"/>
    <w:rsid w:val="002252DC"/>
    <w:rsid w:val="00231F0D"/>
    <w:rsid w:val="00233745"/>
    <w:rsid w:val="00282745"/>
    <w:rsid w:val="002B7B92"/>
    <w:rsid w:val="002D768F"/>
    <w:rsid w:val="002E465D"/>
    <w:rsid w:val="003B019A"/>
    <w:rsid w:val="004C5613"/>
    <w:rsid w:val="004F05E3"/>
    <w:rsid w:val="00502E88"/>
    <w:rsid w:val="00532828"/>
    <w:rsid w:val="005514D3"/>
    <w:rsid w:val="005972CD"/>
    <w:rsid w:val="005B2A43"/>
    <w:rsid w:val="005C21E4"/>
    <w:rsid w:val="005D37F2"/>
    <w:rsid w:val="00641857"/>
    <w:rsid w:val="006C38E4"/>
    <w:rsid w:val="007118D4"/>
    <w:rsid w:val="00791974"/>
    <w:rsid w:val="00812F23"/>
    <w:rsid w:val="00861859"/>
    <w:rsid w:val="00871362"/>
    <w:rsid w:val="008746CD"/>
    <w:rsid w:val="00916D20"/>
    <w:rsid w:val="00923518"/>
    <w:rsid w:val="00976577"/>
    <w:rsid w:val="009C3EDE"/>
    <w:rsid w:val="009E021E"/>
    <w:rsid w:val="00A7342F"/>
    <w:rsid w:val="00A806E0"/>
    <w:rsid w:val="00AE752B"/>
    <w:rsid w:val="00B06859"/>
    <w:rsid w:val="00B608ED"/>
    <w:rsid w:val="00B834AC"/>
    <w:rsid w:val="00B94549"/>
    <w:rsid w:val="00BD06B8"/>
    <w:rsid w:val="00BE0A41"/>
    <w:rsid w:val="00C55B37"/>
    <w:rsid w:val="00D94845"/>
    <w:rsid w:val="00E2099B"/>
    <w:rsid w:val="00E34D0C"/>
    <w:rsid w:val="00E87CC6"/>
    <w:rsid w:val="00EE2448"/>
    <w:rsid w:val="00F66AB9"/>
    <w:rsid w:val="0BAD6041"/>
    <w:rsid w:val="0E4E4614"/>
    <w:rsid w:val="105F2860"/>
    <w:rsid w:val="116E4B1F"/>
    <w:rsid w:val="17BD58E8"/>
    <w:rsid w:val="1D4047D7"/>
    <w:rsid w:val="234D3A9E"/>
    <w:rsid w:val="255E1D76"/>
    <w:rsid w:val="2A412370"/>
    <w:rsid w:val="2ADD1B61"/>
    <w:rsid w:val="2AFE685E"/>
    <w:rsid w:val="2B1F15AC"/>
    <w:rsid w:val="2B2D3677"/>
    <w:rsid w:val="2B7F4518"/>
    <w:rsid w:val="2D507A58"/>
    <w:rsid w:val="2E3013F8"/>
    <w:rsid w:val="2EEC3FD8"/>
    <w:rsid w:val="365B52C2"/>
    <w:rsid w:val="36FB4B70"/>
    <w:rsid w:val="39B75D73"/>
    <w:rsid w:val="3A9245FF"/>
    <w:rsid w:val="465D2588"/>
    <w:rsid w:val="4867249E"/>
    <w:rsid w:val="4A55428B"/>
    <w:rsid w:val="4C5A6CE5"/>
    <w:rsid w:val="4CDA1B40"/>
    <w:rsid w:val="50A20A2A"/>
    <w:rsid w:val="56AD55FE"/>
    <w:rsid w:val="56C90FDE"/>
    <w:rsid w:val="57D92928"/>
    <w:rsid w:val="583B6264"/>
    <w:rsid w:val="5E006468"/>
    <w:rsid w:val="6A685578"/>
    <w:rsid w:val="6D636416"/>
    <w:rsid w:val="72384C87"/>
    <w:rsid w:val="76DB4496"/>
    <w:rsid w:val="7B324843"/>
    <w:rsid w:val="7D11161D"/>
    <w:rsid w:val="7D561B59"/>
    <w:rsid w:val="7F5A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5"/>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8"/>
    <w:qFormat/>
    <w:uiPriority w:val="99"/>
    <w:pPr>
      <w:keepNext/>
      <w:keepLines/>
      <w:spacing w:before="260" w:after="260" w:line="416" w:lineRule="auto"/>
      <w:outlineLvl w:val="2"/>
    </w:pPr>
    <w:rPr>
      <w:rFonts w:ascii="Calibri" w:hAnsi="Calibri"/>
      <w:b/>
      <w:bCs/>
      <w:kern w:val="0"/>
      <w:sz w:val="32"/>
      <w:szCs w:val="32"/>
    </w:rPr>
  </w:style>
  <w:style w:type="paragraph" w:styleId="7">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文档正文"/>
    <w:basedOn w:val="1"/>
    <w:qFormat/>
    <w:uiPriority w:val="0"/>
    <w:pPr>
      <w:spacing w:line="360" w:lineRule="auto"/>
      <w:ind w:firstLine="200" w:firstLineChars="200"/>
    </w:pPr>
    <w:rPr>
      <w:rFonts w:ascii="宋体" w:hAnsi="宋体"/>
      <w:sz w:val="24"/>
    </w:rPr>
  </w:style>
  <w:style w:type="paragraph" w:styleId="5">
    <w:name w:val="Normal Indent"/>
    <w:basedOn w:val="1"/>
    <w:qFormat/>
    <w:uiPriority w:val="0"/>
    <w:pPr>
      <w:ind w:firstLine="420" w:firstLineChars="200"/>
    </w:pPr>
  </w:style>
  <w:style w:type="paragraph" w:styleId="8">
    <w:name w:val="annotation text"/>
    <w:basedOn w:val="1"/>
    <w:link w:val="31"/>
    <w:qFormat/>
    <w:uiPriority w:val="0"/>
    <w:pPr>
      <w:jc w:val="left"/>
    </w:pPr>
    <w:rPr>
      <w:rFonts w:ascii="Calibri" w:hAnsi="Calibri"/>
      <w:szCs w:val="22"/>
    </w:rPr>
  </w:style>
  <w:style w:type="paragraph" w:styleId="9">
    <w:name w:val="Balloon Text"/>
    <w:basedOn w:val="1"/>
    <w:link w:val="25"/>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22"/>
    <w:unhideWhenUsed/>
    <w:qFormat/>
    <w:uiPriority w:val="0"/>
    <w:pPr>
      <w:snapToGrid w:val="0"/>
      <w:jc w:val="left"/>
    </w:pPr>
    <w:rPr>
      <w:rFonts w:ascii="Calibri" w:hAnsi="Calibri"/>
      <w:kern w:val="0"/>
      <w:sz w:val="18"/>
      <w:szCs w:val="18"/>
    </w:rPr>
  </w:style>
  <w:style w:type="paragraph" w:styleId="13">
    <w:name w:val="Body Text Indent 3"/>
    <w:basedOn w:val="1"/>
    <w:link w:val="21"/>
    <w:qFormat/>
    <w:uiPriority w:val="0"/>
    <w:pPr>
      <w:spacing w:after="120"/>
      <w:ind w:left="420" w:leftChars="200"/>
    </w:pPr>
    <w:rPr>
      <w:sz w:val="16"/>
      <w:szCs w:val="16"/>
    </w:rPr>
  </w:style>
  <w:style w:type="paragraph" w:styleId="14">
    <w:name w:val="Normal (Web)"/>
    <w:basedOn w:val="1"/>
    <w:unhideWhenUsed/>
    <w:qFormat/>
    <w:uiPriority w:val="0"/>
    <w:pPr>
      <w:widowControl/>
      <w:spacing w:before="100" w:beforeAutospacing="1" w:after="100" w:afterAutospacing="1" w:line="320" w:lineRule="atLeast"/>
      <w:jc w:val="left"/>
    </w:pPr>
    <w:rPr>
      <w:rFonts w:ascii="宋体" w:hAnsi="宋体"/>
      <w:kern w:val="0"/>
      <w:sz w:val="18"/>
      <w:szCs w:val="18"/>
    </w:rPr>
  </w:style>
  <w:style w:type="paragraph" w:styleId="15">
    <w:name w:val="Title"/>
    <w:basedOn w:val="1"/>
    <w:next w:val="1"/>
    <w:link w:val="24"/>
    <w:qFormat/>
    <w:uiPriority w:val="0"/>
    <w:pPr>
      <w:spacing w:before="240" w:after="60"/>
      <w:jc w:val="center"/>
      <w:outlineLvl w:val="0"/>
    </w:pPr>
    <w:rPr>
      <w:rFonts w:ascii="Cambria" w:hAnsi="Cambria"/>
      <w:b/>
      <w:bCs/>
      <w:sz w:val="32"/>
      <w:szCs w:val="32"/>
    </w:rPr>
  </w:style>
  <w:style w:type="table" w:styleId="17">
    <w:name w:val="Table Grid"/>
    <w:basedOn w:val="1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Hyperlink"/>
    <w:unhideWhenUsed/>
    <w:qFormat/>
    <w:uiPriority w:val="99"/>
    <w:rPr>
      <w:color w:val="0000FF"/>
      <w:u w:val="single"/>
    </w:rPr>
  </w:style>
  <w:style w:type="character" w:styleId="20">
    <w:name w:val="footnote reference"/>
    <w:qFormat/>
    <w:uiPriority w:val="0"/>
    <w:rPr>
      <w:vertAlign w:val="superscript"/>
    </w:rPr>
  </w:style>
  <w:style w:type="character" w:customStyle="1" w:styleId="21">
    <w:name w:val="正文文本缩进 3 Char"/>
    <w:basedOn w:val="18"/>
    <w:link w:val="13"/>
    <w:qFormat/>
    <w:uiPriority w:val="0"/>
    <w:rPr>
      <w:rFonts w:ascii="Times New Roman" w:hAnsi="Times New Roman" w:eastAsia="宋体" w:cs="Times New Roman"/>
      <w:sz w:val="16"/>
      <w:szCs w:val="16"/>
    </w:rPr>
  </w:style>
  <w:style w:type="character" w:customStyle="1" w:styleId="22">
    <w:name w:val="脚注文本 Char"/>
    <w:basedOn w:val="18"/>
    <w:link w:val="12"/>
    <w:qFormat/>
    <w:uiPriority w:val="0"/>
    <w:rPr>
      <w:rFonts w:ascii="Calibri" w:hAnsi="Calibri" w:eastAsia="宋体" w:cs="Times New Roman"/>
      <w:kern w:val="0"/>
      <w:sz w:val="18"/>
      <w:szCs w:val="18"/>
    </w:rPr>
  </w:style>
  <w:style w:type="character" w:customStyle="1" w:styleId="23">
    <w:name w:val="页眉 Char"/>
    <w:basedOn w:val="18"/>
    <w:link w:val="11"/>
    <w:qFormat/>
    <w:uiPriority w:val="99"/>
    <w:rPr>
      <w:rFonts w:ascii="Times New Roman" w:hAnsi="Times New Roman" w:eastAsia="宋体" w:cs="Times New Roman"/>
      <w:sz w:val="18"/>
      <w:szCs w:val="18"/>
    </w:rPr>
  </w:style>
  <w:style w:type="character" w:customStyle="1" w:styleId="24">
    <w:name w:val="标题 Char"/>
    <w:basedOn w:val="18"/>
    <w:link w:val="15"/>
    <w:qFormat/>
    <w:uiPriority w:val="0"/>
    <w:rPr>
      <w:rFonts w:ascii="Cambria" w:hAnsi="Cambria" w:eastAsia="宋体" w:cs="Times New Roman"/>
      <w:b/>
      <w:bCs/>
      <w:sz w:val="32"/>
      <w:szCs w:val="32"/>
    </w:rPr>
  </w:style>
  <w:style w:type="character" w:customStyle="1" w:styleId="25">
    <w:name w:val="批注框文本 Char"/>
    <w:basedOn w:val="18"/>
    <w:link w:val="9"/>
    <w:semiHidden/>
    <w:qFormat/>
    <w:uiPriority w:val="99"/>
    <w:rPr>
      <w:rFonts w:ascii="Times New Roman" w:hAnsi="Times New Roman" w:eastAsia="宋体" w:cs="Times New Roman"/>
      <w:sz w:val="18"/>
      <w:szCs w:val="18"/>
    </w:rPr>
  </w:style>
  <w:style w:type="character" w:customStyle="1" w:styleId="26">
    <w:name w:val="页脚 Char"/>
    <w:basedOn w:val="18"/>
    <w:link w:val="10"/>
    <w:qFormat/>
    <w:uiPriority w:val="99"/>
    <w:rPr>
      <w:rFonts w:ascii="Times New Roman" w:hAnsi="Times New Roman" w:eastAsia="宋体" w:cs="Times New Roman"/>
      <w:sz w:val="18"/>
      <w:szCs w:val="18"/>
    </w:rPr>
  </w:style>
  <w:style w:type="character" w:customStyle="1" w:styleId="27">
    <w:name w:val="标题 1 Char"/>
    <w:basedOn w:val="18"/>
    <w:link w:val="3"/>
    <w:qFormat/>
    <w:uiPriority w:val="9"/>
    <w:rPr>
      <w:rFonts w:ascii="Calibri" w:hAnsi="Calibri" w:eastAsia="宋体" w:cs="Times New Roman"/>
      <w:b/>
      <w:bCs/>
      <w:kern w:val="44"/>
      <w:sz w:val="44"/>
      <w:szCs w:val="44"/>
    </w:rPr>
  </w:style>
  <w:style w:type="character" w:customStyle="1" w:styleId="28">
    <w:name w:val="标题 3 Char"/>
    <w:basedOn w:val="18"/>
    <w:link w:val="6"/>
    <w:qFormat/>
    <w:uiPriority w:val="99"/>
    <w:rPr>
      <w:rFonts w:ascii="Calibri" w:hAnsi="Calibri" w:eastAsia="宋体" w:cs="Times New Roman"/>
      <w:b/>
      <w:bCs/>
      <w:kern w:val="0"/>
      <w:sz w:val="32"/>
      <w:szCs w:val="32"/>
    </w:rPr>
  </w:style>
  <w:style w:type="character" w:customStyle="1" w:styleId="29">
    <w:name w:val="标题 2 Char"/>
    <w:basedOn w:val="18"/>
    <w:link w:val="4"/>
    <w:semiHidden/>
    <w:qFormat/>
    <w:uiPriority w:val="9"/>
    <w:rPr>
      <w:rFonts w:asciiTheme="majorHAnsi" w:hAnsiTheme="majorHAnsi" w:eastAsiaTheme="majorEastAsia" w:cstheme="majorBidi"/>
      <w:b/>
      <w:bCs/>
      <w:sz w:val="32"/>
      <w:szCs w:val="32"/>
    </w:rPr>
  </w:style>
  <w:style w:type="character" w:customStyle="1" w:styleId="30">
    <w:name w:val="标题 4 Char"/>
    <w:basedOn w:val="18"/>
    <w:link w:val="7"/>
    <w:semiHidden/>
    <w:qFormat/>
    <w:uiPriority w:val="9"/>
    <w:rPr>
      <w:rFonts w:asciiTheme="majorHAnsi" w:hAnsiTheme="majorHAnsi" w:eastAsiaTheme="majorEastAsia" w:cstheme="majorBidi"/>
      <w:b/>
      <w:bCs/>
      <w:sz w:val="28"/>
      <w:szCs w:val="28"/>
    </w:rPr>
  </w:style>
  <w:style w:type="character" w:customStyle="1" w:styleId="31">
    <w:name w:val="批注文字 Char"/>
    <w:basedOn w:val="18"/>
    <w:link w:val="8"/>
    <w:qFormat/>
    <w:uiPriority w:val="0"/>
    <w:rPr>
      <w:rFonts w:ascii="Calibri" w:hAnsi="Calibri" w:eastAsia="宋体" w:cs="Times New Roman"/>
    </w:rPr>
  </w:style>
  <w:style w:type="paragraph" w:customStyle="1" w:styleId="32">
    <w:name w:val="Table Paragraph"/>
    <w:basedOn w:val="1"/>
    <w:qFormat/>
    <w:uiPriority w:val="99"/>
    <w:pPr>
      <w:autoSpaceDE w:val="0"/>
      <w:autoSpaceDN w:val="0"/>
      <w:jc w:val="left"/>
    </w:pPr>
    <w:rPr>
      <w:rFonts w:ascii="宋体" w:hAnsi="宋体" w:cs="宋体"/>
      <w:kern w:val="0"/>
      <w:sz w:val="22"/>
      <w:szCs w:val="22"/>
      <w:lang w:val="zh-CN" w:bidi="zh-CN"/>
    </w:rPr>
  </w:style>
  <w:style w:type="paragraph" w:customStyle="1" w:styleId="3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文本 (2)"/>
    <w:basedOn w:val="1"/>
    <w:qFormat/>
    <w:uiPriority w:val="0"/>
    <w:pPr>
      <w:shd w:val="clear" w:color="auto" w:fill="FFFFFF"/>
      <w:spacing w:before="300" w:line="439" w:lineRule="exact"/>
      <w:jc w:val="distribute"/>
    </w:pPr>
    <w:rPr>
      <w:rFonts w:ascii="宋体" w:hAnsi="宋体"/>
      <w:kern w:val="0"/>
      <w:sz w:val="22"/>
      <w:szCs w:val="2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95994B-1DCD-4FE7-9366-FFE67A0888A1}">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2969</Words>
  <Characters>3341</Characters>
  <Lines>38</Lines>
  <Paragraphs>10</Paragraphs>
  <TotalTime>1</TotalTime>
  <ScaleCrop>false</ScaleCrop>
  <LinksUpToDate>false</LinksUpToDate>
  <CharactersWithSpaces>3433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2018-05-08T11:13:00Z</dcterms:created>
  <dc:creator>Administrator</dc:creator>
  <cp:lastModifiedBy>张振东</cp:lastModifiedBy>
  <dcterms:modified xsi:type="dcterms:W3CDTF">2022-10-14T02:48:19Z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B4831ED20F964451896ACAD56CF91635</vt:lpwstr>
  </property>
</Properties>
</file>