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F814" w14:textId="77777777" w:rsidR="00AF1936" w:rsidRPr="00AF1936" w:rsidRDefault="00AF1936" w:rsidP="00AF1936">
      <w:pPr>
        <w:snapToGrid w:val="0"/>
        <w:jc w:val="center"/>
        <w:rPr>
          <w:rFonts w:ascii="黑体" w:eastAsia="黑体" w:hAnsi="黑体" w:cs="Times New Roman"/>
          <w:sz w:val="28"/>
          <w:szCs w:val="28"/>
        </w:rPr>
      </w:pPr>
      <w:r w:rsidRPr="00AF1936">
        <w:rPr>
          <w:rFonts w:ascii="黑体" w:eastAsia="黑体" w:hAnsi="黑体" w:cs="Times New Roman" w:hint="eastAsia"/>
          <w:sz w:val="28"/>
          <w:szCs w:val="28"/>
        </w:rPr>
        <w:t>吉林省路桥工程（集团）有限公司</w:t>
      </w:r>
    </w:p>
    <w:p w14:paraId="39C759DE" w14:textId="6B0007F5" w:rsidR="00AF1936" w:rsidRPr="006A26B1" w:rsidRDefault="00AF1936" w:rsidP="00AF1936">
      <w:pPr>
        <w:snapToGrid w:val="0"/>
        <w:jc w:val="center"/>
        <w:rPr>
          <w:rFonts w:ascii="黑体" w:eastAsia="黑体" w:hAnsi="黑体" w:cs="Times New Roman"/>
          <w:sz w:val="28"/>
          <w:szCs w:val="28"/>
        </w:rPr>
      </w:pPr>
      <w:r w:rsidRPr="00AF1936">
        <w:rPr>
          <w:rFonts w:ascii="黑体" w:eastAsia="黑体" w:hAnsi="黑体" w:cs="Times New Roman"/>
          <w:sz w:val="28"/>
          <w:szCs w:val="28"/>
        </w:rPr>
        <w:t>2022年5000环保型沥青搅拌站扩容改造设备采购招标</w:t>
      </w:r>
      <w:r w:rsidRPr="006A26B1">
        <w:rPr>
          <w:rFonts w:ascii="黑体" w:eastAsia="黑体" w:hAnsi="黑体" w:cs="Times New Roman" w:hint="eastAsia"/>
          <w:sz w:val="28"/>
          <w:szCs w:val="28"/>
        </w:rPr>
        <w:t>文件关键内容</w:t>
      </w:r>
    </w:p>
    <w:p w14:paraId="2FCF73DD" w14:textId="77777777" w:rsidR="00AF1936" w:rsidRPr="006A26B1" w:rsidRDefault="00AF1936" w:rsidP="00AF1936">
      <w:pPr>
        <w:snapToGrid w:val="0"/>
        <w:rPr>
          <w:rFonts w:ascii="宋体" w:eastAsia="宋体" w:hAnsi="宋体"/>
        </w:rPr>
      </w:pPr>
    </w:p>
    <w:p w14:paraId="449CB36F" w14:textId="77777777" w:rsidR="00AF1936" w:rsidRDefault="00AF1936" w:rsidP="00AF1936">
      <w:pPr>
        <w:snapToGrid w:val="0"/>
        <w:rPr>
          <w:rFonts w:ascii="宋体" w:eastAsia="宋体" w:hAnsi="宋体"/>
        </w:rPr>
      </w:pPr>
      <w:r>
        <w:rPr>
          <w:rFonts w:ascii="宋体" w:eastAsia="宋体" w:hAnsi="宋体" w:hint="eastAsia"/>
        </w:rPr>
        <w:t>一、</w:t>
      </w:r>
      <w:r w:rsidRPr="006A26B1">
        <w:rPr>
          <w:rFonts w:ascii="宋体" w:eastAsia="宋体" w:hAnsi="宋体" w:hint="eastAsia"/>
        </w:rPr>
        <w:t>项目概况详见本招标项目招标公告</w:t>
      </w:r>
      <w:r w:rsidRPr="006A26B1">
        <w:rPr>
          <w:rFonts w:ascii="宋体" w:eastAsia="宋体" w:hAnsi="宋体"/>
        </w:rPr>
        <w:t>。</w:t>
      </w:r>
    </w:p>
    <w:p w14:paraId="4A9C9479" w14:textId="77777777" w:rsidR="00AF1936" w:rsidRDefault="00AF1936" w:rsidP="00AF1936">
      <w:pPr>
        <w:snapToGrid w:val="0"/>
        <w:rPr>
          <w:rFonts w:ascii="宋体" w:eastAsia="宋体" w:hAnsi="宋体"/>
        </w:rPr>
      </w:pPr>
    </w:p>
    <w:p w14:paraId="73F8B60D" w14:textId="77777777" w:rsidR="00AF1936" w:rsidRPr="006A26B1" w:rsidRDefault="00AF1936" w:rsidP="00AF1936">
      <w:pPr>
        <w:snapToGrid w:val="0"/>
        <w:rPr>
          <w:rFonts w:ascii="宋体" w:eastAsia="宋体" w:hAnsi="宋体"/>
        </w:rPr>
      </w:pPr>
      <w:bookmarkStart w:id="0" w:name="_Toc56074585"/>
      <w:bookmarkStart w:id="1" w:name="_Toc462671352"/>
      <w:r>
        <w:rPr>
          <w:rFonts w:ascii="宋体" w:eastAsia="宋体" w:hAnsi="宋体" w:hint="eastAsia"/>
        </w:rPr>
        <w:t>二、</w:t>
      </w:r>
      <w:r w:rsidRPr="006A26B1">
        <w:rPr>
          <w:rFonts w:ascii="宋体" w:eastAsia="宋体" w:hAnsi="宋体" w:hint="eastAsia"/>
        </w:rPr>
        <w:t>评标办法（综合评估法）</w:t>
      </w:r>
      <w:bookmarkEnd w:id="0"/>
      <w:bookmarkEnd w:id="1"/>
    </w:p>
    <w:p w14:paraId="276D1798" w14:textId="77777777" w:rsidR="00AF1936" w:rsidRPr="006A26B1" w:rsidRDefault="00AF1936" w:rsidP="00AF1936">
      <w:pPr>
        <w:snapToGrid w:val="0"/>
        <w:rPr>
          <w:rFonts w:ascii="宋体" w:eastAsia="宋体" w:hAnsi="宋体"/>
        </w:rPr>
      </w:pPr>
      <w:bookmarkStart w:id="2" w:name="_Toc462671353"/>
      <w:r w:rsidRPr="006A26B1">
        <w:rPr>
          <w:rFonts w:ascii="宋体" w:eastAsia="宋体" w:hAnsi="宋体" w:hint="eastAsia"/>
        </w:rPr>
        <w:t>评标办法前附表</w:t>
      </w:r>
      <w:bookmarkEnd w:id="2"/>
    </w:p>
    <w:tbl>
      <w:tblPr>
        <w:tblW w:w="9631"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12"/>
        <w:gridCol w:w="598"/>
        <w:gridCol w:w="2268"/>
        <w:gridCol w:w="5953"/>
      </w:tblGrid>
      <w:tr w:rsidR="00AF1936" w:rsidRPr="00AF1936" w14:paraId="0B9BB4B5" w14:textId="77777777" w:rsidTr="00AF1936">
        <w:trPr>
          <w:trHeight w:val="340"/>
        </w:trPr>
        <w:tc>
          <w:tcPr>
            <w:tcW w:w="1410" w:type="dxa"/>
            <w:gridSpan w:val="2"/>
            <w:tcBorders>
              <w:top w:val="outset" w:sz="6" w:space="0" w:color="auto"/>
              <w:left w:val="outset" w:sz="6" w:space="0" w:color="auto"/>
              <w:bottom w:val="outset" w:sz="6" w:space="0" w:color="auto"/>
              <w:right w:val="outset" w:sz="6" w:space="0" w:color="auto"/>
            </w:tcBorders>
            <w:vAlign w:val="center"/>
          </w:tcPr>
          <w:p w14:paraId="49016FB7"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条款号</w:t>
            </w:r>
          </w:p>
        </w:tc>
        <w:tc>
          <w:tcPr>
            <w:tcW w:w="2268" w:type="dxa"/>
            <w:tcBorders>
              <w:top w:val="outset" w:sz="6" w:space="0" w:color="auto"/>
              <w:left w:val="outset" w:sz="6" w:space="0" w:color="auto"/>
              <w:bottom w:val="outset" w:sz="6" w:space="0" w:color="auto"/>
              <w:right w:val="outset" w:sz="6" w:space="0" w:color="auto"/>
            </w:tcBorders>
            <w:vAlign w:val="center"/>
          </w:tcPr>
          <w:p w14:paraId="5727AC33"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评审因素</w:t>
            </w:r>
          </w:p>
        </w:tc>
        <w:tc>
          <w:tcPr>
            <w:tcW w:w="5953" w:type="dxa"/>
            <w:tcBorders>
              <w:top w:val="outset" w:sz="6" w:space="0" w:color="auto"/>
              <w:left w:val="outset" w:sz="6" w:space="0" w:color="auto"/>
              <w:bottom w:val="outset" w:sz="6" w:space="0" w:color="auto"/>
              <w:right w:val="outset" w:sz="6" w:space="0" w:color="auto"/>
            </w:tcBorders>
            <w:vAlign w:val="center"/>
          </w:tcPr>
          <w:p w14:paraId="28060FDF"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评审标准</w:t>
            </w:r>
          </w:p>
        </w:tc>
      </w:tr>
      <w:tr w:rsidR="00AF1936" w:rsidRPr="00AF1936" w14:paraId="5534B1CB" w14:textId="77777777" w:rsidTr="00AF1936">
        <w:trPr>
          <w:trHeight w:val="340"/>
        </w:trPr>
        <w:tc>
          <w:tcPr>
            <w:tcW w:w="812" w:type="dxa"/>
            <w:tcBorders>
              <w:top w:val="outset" w:sz="6" w:space="0" w:color="auto"/>
              <w:left w:val="outset" w:sz="6" w:space="0" w:color="auto"/>
              <w:bottom w:val="outset" w:sz="6" w:space="0" w:color="auto"/>
              <w:right w:val="outset" w:sz="6" w:space="0" w:color="auto"/>
            </w:tcBorders>
            <w:vAlign w:val="center"/>
          </w:tcPr>
          <w:p w14:paraId="6F703D4C"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hint="eastAsia"/>
              </w:rPr>
              <w:t>1</w:t>
            </w:r>
          </w:p>
        </w:tc>
        <w:tc>
          <w:tcPr>
            <w:tcW w:w="598" w:type="dxa"/>
            <w:tcBorders>
              <w:top w:val="outset" w:sz="6" w:space="0" w:color="auto"/>
              <w:left w:val="outset" w:sz="6" w:space="0" w:color="auto"/>
              <w:bottom w:val="outset" w:sz="6" w:space="0" w:color="auto"/>
              <w:right w:val="outset" w:sz="6" w:space="0" w:color="auto"/>
            </w:tcBorders>
            <w:vAlign w:val="center"/>
          </w:tcPr>
          <w:p w14:paraId="3FEC79A1"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hint="eastAsia"/>
              </w:rPr>
              <w:t>评标办法</w:t>
            </w:r>
          </w:p>
        </w:tc>
        <w:tc>
          <w:tcPr>
            <w:tcW w:w="2268" w:type="dxa"/>
            <w:tcBorders>
              <w:top w:val="outset" w:sz="6" w:space="0" w:color="auto"/>
              <w:left w:val="outset" w:sz="6" w:space="0" w:color="auto"/>
              <w:bottom w:val="outset" w:sz="6" w:space="0" w:color="auto"/>
              <w:right w:val="outset" w:sz="6" w:space="0" w:color="auto"/>
            </w:tcBorders>
            <w:vAlign w:val="center"/>
          </w:tcPr>
          <w:p w14:paraId="6E02FA6A"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中标候选人排序方法</w:t>
            </w:r>
          </w:p>
        </w:tc>
        <w:tc>
          <w:tcPr>
            <w:tcW w:w="5953" w:type="dxa"/>
            <w:tcBorders>
              <w:top w:val="outset" w:sz="6" w:space="0" w:color="auto"/>
              <w:left w:val="outset" w:sz="6" w:space="0" w:color="auto"/>
              <w:bottom w:val="outset" w:sz="6" w:space="0" w:color="auto"/>
              <w:right w:val="outset" w:sz="6" w:space="0" w:color="auto"/>
            </w:tcBorders>
            <w:vAlign w:val="center"/>
          </w:tcPr>
          <w:p w14:paraId="034DA80D"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szCs w:val="21"/>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w:t>
            </w:r>
            <w:r w:rsidRPr="00AF1936">
              <w:rPr>
                <w:rFonts w:ascii="宋体" w:eastAsia="宋体" w:hAnsi="宋体" w:cs="Times New Roman" w:hint="eastAsia"/>
              </w:rPr>
              <w:t>由评标委员会投票确定。</w:t>
            </w:r>
          </w:p>
        </w:tc>
      </w:tr>
      <w:tr w:rsidR="00AF1936" w:rsidRPr="00AF1936" w14:paraId="76C6C8EB" w14:textId="77777777" w:rsidTr="00AF1936">
        <w:trPr>
          <w:trHeight w:val="340"/>
        </w:trPr>
        <w:tc>
          <w:tcPr>
            <w:tcW w:w="812" w:type="dxa"/>
            <w:vMerge w:val="restart"/>
            <w:tcBorders>
              <w:top w:val="outset" w:sz="6" w:space="0" w:color="auto"/>
              <w:left w:val="outset" w:sz="6" w:space="0" w:color="auto"/>
              <w:right w:val="outset" w:sz="6" w:space="0" w:color="auto"/>
            </w:tcBorders>
            <w:vAlign w:val="center"/>
          </w:tcPr>
          <w:p w14:paraId="6195A5FE"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2.1.1</w:t>
            </w:r>
          </w:p>
        </w:tc>
        <w:tc>
          <w:tcPr>
            <w:tcW w:w="598" w:type="dxa"/>
            <w:vMerge w:val="restart"/>
            <w:tcBorders>
              <w:top w:val="outset" w:sz="6" w:space="0" w:color="auto"/>
              <w:left w:val="outset" w:sz="6" w:space="0" w:color="auto"/>
              <w:right w:val="outset" w:sz="6" w:space="0" w:color="auto"/>
            </w:tcBorders>
            <w:vAlign w:val="center"/>
          </w:tcPr>
          <w:p w14:paraId="450DEBAC"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形式评审</w:t>
            </w:r>
          </w:p>
          <w:p w14:paraId="4216FCA0"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标准</w:t>
            </w:r>
          </w:p>
        </w:tc>
        <w:tc>
          <w:tcPr>
            <w:tcW w:w="2268" w:type="dxa"/>
            <w:tcBorders>
              <w:top w:val="outset" w:sz="6" w:space="0" w:color="auto"/>
              <w:left w:val="outset" w:sz="6" w:space="0" w:color="auto"/>
              <w:bottom w:val="outset" w:sz="6" w:space="0" w:color="auto"/>
              <w:right w:val="outset" w:sz="6" w:space="0" w:color="auto"/>
            </w:tcBorders>
            <w:vAlign w:val="center"/>
          </w:tcPr>
          <w:p w14:paraId="06E6697C"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投标人名称</w:t>
            </w:r>
          </w:p>
        </w:tc>
        <w:tc>
          <w:tcPr>
            <w:tcW w:w="5953" w:type="dxa"/>
            <w:tcBorders>
              <w:top w:val="outset" w:sz="6" w:space="0" w:color="auto"/>
              <w:left w:val="outset" w:sz="6" w:space="0" w:color="auto"/>
              <w:bottom w:val="outset" w:sz="6" w:space="0" w:color="auto"/>
              <w:right w:val="outset" w:sz="6" w:space="0" w:color="auto"/>
            </w:tcBorders>
            <w:vAlign w:val="center"/>
          </w:tcPr>
          <w:p w14:paraId="506967FA"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与营业执照、资质证书</w:t>
            </w:r>
            <w:r w:rsidRPr="00AF1936">
              <w:rPr>
                <w:rFonts w:ascii="宋体" w:eastAsia="宋体" w:hAnsi="宋体" w:cs="Times New Roman" w:hint="eastAsia"/>
              </w:rPr>
              <w:t>（如有）</w:t>
            </w:r>
            <w:r w:rsidRPr="00AF1936">
              <w:rPr>
                <w:rFonts w:ascii="宋体" w:eastAsia="宋体" w:hAnsi="宋体" w:cs="Times New Roman"/>
              </w:rPr>
              <w:t>一致</w:t>
            </w:r>
          </w:p>
        </w:tc>
      </w:tr>
      <w:tr w:rsidR="00AF1936" w:rsidRPr="00AF1936" w14:paraId="4D065F1B" w14:textId="77777777" w:rsidTr="00AF1936">
        <w:trPr>
          <w:trHeight w:val="340"/>
        </w:trPr>
        <w:tc>
          <w:tcPr>
            <w:tcW w:w="812" w:type="dxa"/>
            <w:vMerge/>
            <w:tcBorders>
              <w:left w:val="outset" w:sz="6" w:space="0" w:color="auto"/>
              <w:right w:val="outset" w:sz="6" w:space="0" w:color="auto"/>
            </w:tcBorders>
            <w:vAlign w:val="center"/>
          </w:tcPr>
          <w:p w14:paraId="4316DD2D"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5F2FE049"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4ABC41A9"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投标函签字盖章</w:t>
            </w:r>
          </w:p>
        </w:tc>
        <w:tc>
          <w:tcPr>
            <w:tcW w:w="5953" w:type="dxa"/>
            <w:tcBorders>
              <w:top w:val="outset" w:sz="6" w:space="0" w:color="auto"/>
              <w:left w:val="outset" w:sz="6" w:space="0" w:color="auto"/>
              <w:bottom w:val="outset" w:sz="6" w:space="0" w:color="auto"/>
              <w:right w:val="outset" w:sz="6" w:space="0" w:color="auto"/>
            </w:tcBorders>
            <w:vAlign w:val="center"/>
          </w:tcPr>
          <w:p w14:paraId="332FD4E0"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有法定代表人</w:t>
            </w:r>
            <w:r w:rsidRPr="00AF1936">
              <w:rPr>
                <w:rFonts w:ascii="宋体" w:eastAsia="宋体" w:hAnsi="宋体" w:cs="Times New Roman" w:hint="eastAsia"/>
              </w:rPr>
              <w:t>（单位负责人）</w:t>
            </w:r>
            <w:r w:rsidRPr="00AF1936">
              <w:rPr>
                <w:rFonts w:ascii="宋体" w:eastAsia="宋体" w:hAnsi="宋体" w:cs="Times New Roman"/>
              </w:rPr>
              <w:t>或其委托代理人签字</w:t>
            </w:r>
            <w:r w:rsidRPr="00AF1936">
              <w:rPr>
                <w:rFonts w:ascii="宋体" w:eastAsia="宋体" w:hAnsi="宋体" w:cs="Times New Roman" w:hint="eastAsia"/>
              </w:rPr>
              <w:t>或</w:t>
            </w:r>
            <w:r w:rsidRPr="00AF1936">
              <w:rPr>
                <w:rFonts w:ascii="宋体" w:eastAsia="宋体" w:hAnsi="宋体" w:cs="Times New Roman"/>
              </w:rPr>
              <w:t>加盖单位章。</w:t>
            </w:r>
            <w:r w:rsidRPr="00AF1936">
              <w:rPr>
                <w:rFonts w:ascii="宋体" w:eastAsia="宋体" w:hAnsi="宋体" w:cs="Times New Roman" w:hint="eastAsia"/>
              </w:rPr>
              <w:t>由法定代表人（单位负责人）签字的，应附法定代表人（单位负责人）身份证明，由代理人签字的，应附授权委托书，身份证明或授权委托书应符合第六章“投标文件格式”的规定。</w:t>
            </w:r>
          </w:p>
        </w:tc>
      </w:tr>
      <w:tr w:rsidR="00AF1936" w:rsidRPr="00AF1936" w14:paraId="267FFDE9" w14:textId="77777777" w:rsidTr="00AF1936">
        <w:trPr>
          <w:trHeight w:val="340"/>
        </w:trPr>
        <w:tc>
          <w:tcPr>
            <w:tcW w:w="812" w:type="dxa"/>
            <w:vMerge/>
            <w:tcBorders>
              <w:left w:val="outset" w:sz="6" w:space="0" w:color="auto"/>
              <w:right w:val="outset" w:sz="6" w:space="0" w:color="auto"/>
            </w:tcBorders>
            <w:vAlign w:val="center"/>
          </w:tcPr>
          <w:p w14:paraId="087B5E76"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7FE38B90"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576E0414"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投标文件格式</w:t>
            </w:r>
          </w:p>
        </w:tc>
        <w:tc>
          <w:tcPr>
            <w:tcW w:w="5953" w:type="dxa"/>
            <w:tcBorders>
              <w:top w:val="outset" w:sz="6" w:space="0" w:color="auto"/>
              <w:left w:val="outset" w:sz="6" w:space="0" w:color="auto"/>
              <w:bottom w:val="outset" w:sz="6" w:space="0" w:color="auto"/>
              <w:right w:val="outset" w:sz="6" w:space="0" w:color="auto"/>
            </w:tcBorders>
            <w:vAlign w:val="center"/>
          </w:tcPr>
          <w:p w14:paraId="329F5B58"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w:t>
            </w:r>
            <w:r w:rsidRPr="00AF1936">
              <w:rPr>
                <w:rFonts w:ascii="宋体" w:eastAsia="宋体" w:hAnsi="宋体" w:cs="Times New Roman" w:hint="eastAsia"/>
              </w:rPr>
              <w:t>六</w:t>
            </w:r>
            <w:r w:rsidRPr="00AF1936">
              <w:rPr>
                <w:rFonts w:ascii="宋体" w:eastAsia="宋体" w:hAnsi="宋体" w:cs="Times New Roman"/>
              </w:rPr>
              <w:t>章“投标文件格式”的要求</w:t>
            </w:r>
          </w:p>
        </w:tc>
      </w:tr>
      <w:tr w:rsidR="00AF1936" w:rsidRPr="00AF1936" w14:paraId="78751D3A" w14:textId="77777777" w:rsidTr="00AF1936">
        <w:trPr>
          <w:trHeight w:val="340"/>
        </w:trPr>
        <w:tc>
          <w:tcPr>
            <w:tcW w:w="812" w:type="dxa"/>
            <w:vMerge/>
            <w:tcBorders>
              <w:left w:val="outset" w:sz="6" w:space="0" w:color="auto"/>
              <w:right w:val="outset" w:sz="6" w:space="0" w:color="auto"/>
            </w:tcBorders>
            <w:vAlign w:val="center"/>
          </w:tcPr>
          <w:p w14:paraId="173C9D4D"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0B6B5BA8"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30A7F6DA"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联合体投标人</w:t>
            </w:r>
          </w:p>
        </w:tc>
        <w:tc>
          <w:tcPr>
            <w:tcW w:w="5953" w:type="dxa"/>
            <w:tcBorders>
              <w:top w:val="outset" w:sz="6" w:space="0" w:color="auto"/>
              <w:left w:val="outset" w:sz="6" w:space="0" w:color="auto"/>
              <w:bottom w:val="outset" w:sz="6" w:space="0" w:color="auto"/>
              <w:right w:val="outset" w:sz="6" w:space="0" w:color="auto"/>
            </w:tcBorders>
            <w:vAlign w:val="center"/>
          </w:tcPr>
          <w:p w14:paraId="36B5D33A"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投标人未以联合体方式投标</w:t>
            </w:r>
          </w:p>
        </w:tc>
      </w:tr>
      <w:tr w:rsidR="00AF1936" w:rsidRPr="00AF1936" w14:paraId="0038C3F2" w14:textId="77777777" w:rsidTr="00AF1936">
        <w:trPr>
          <w:trHeight w:val="340"/>
        </w:trPr>
        <w:tc>
          <w:tcPr>
            <w:tcW w:w="812" w:type="dxa"/>
            <w:vMerge/>
            <w:tcBorders>
              <w:left w:val="outset" w:sz="6" w:space="0" w:color="auto"/>
              <w:bottom w:val="outset" w:sz="6" w:space="0" w:color="auto"/>
              <w:right w:val="outset" w:sz="6" w:space="0" w:color="auto"/>
            </w:tcBorders>
            <w:vAlign w:val="center"/>
          </w:tcPr>
          <w:p w14:paraId="3FEF2D03"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bottom w:val="outset" w:sz="6" w:space="0" w:color="auto"/>
              <w:right w:val="outset" w:sz="6" w:space="0" w:color="auto"/>
            </w:tcBorders>
            <w:vAlign w:val="center"/>
          </w:tcPr>
          <w:p w14:paraId="559E9824"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403F84EE"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备选投标方案</w:t>
            </w:r>
          </w:p>
        </w:tc>
        <w:tc>
          <w:tcPr>
            <w:tcW w:w="5953" w:type="dxa"/>
            <w:tcBorders>
              <w:top w:val="outset" w:sz="6" w:space="0" w:color="auto"/>
              <w:left w:val="outset" w:sz="6" w:space="0" w:color="auto"/>
              <w:bottom w:val="outset" w:sz="6" w:space="0" w:color="auto"/>
              <w:right w:val="outset" w:sz="6" w:space="0" w:color="auto"/>
            </w:tcBorders>
            <w:vAlign w:val="center"/>
          </w:tcPr>
          <w:p w14:paraId="5FDB6EDB"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投标人不得提交备选投标方案</w:t>
            </w:r>
          </w:p>
        </w:tc>
      </w:tr>
      <w:tr w:rsidR="00AF1936" w:rsidRPr="00AF1936" w14:paraId="7415D96A" w14:textId="77777777" w:rsidTr="00AF1936">
        <w:trPr>
          <w:trHeight w:val="340"/>
        </w:trPr>
        <w:tc>
          <w:tcPr>
            <w:tcW w:w="812" w:type="dxa"/>
            <w:vMerge w:val="restart"/>
            <w:tcBorders>
              <w:top w:val="outset" w:sz="6" w:space="0" w:color="auto"/>
              <w:left w:val="outset" w:sz="6" w:space="0" w:color="auto"/>
              <w:right w:val="outset" w:sz="6" w:space="0" w:color="auto"/>
            </w:tcBorders>
            <w:vAlign w:val="center"/>
          </w:tcPr>
          <w:p w14:paraId="1CC1BC1C"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2.1.2</w:t>
            </w:r>
          </w:p>
        </w:tc>
        <w:tc>
          <w:tcPr>
            <w:tcW w:w="598" w:type="dxa"/>
            <w:vMerge w:val="restart"/>
            <w:tcBorders>
              <w:top w:val="outset" w:sz="6" w:space="0" w:color="auto"/>
              <w:left w:val="outset" w:sz="6" w:space="0" w:color="auto"/>
              <w:right w:val="outset" w:sz="6" w:space="0" w:color="auto"/>
            </w:tcBorders>
            <w:vAlign w:val="center"/>
          </w:tcPr>
          <w:p w14:paraId="4F5A438E"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资格评审</w:t>
            </w:r>
          </w:p>
          <w:p w14:paraId="54DE8E74"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标准</w:t>
            </w:r>
          </w:p>
        </w:tc>
        <w:tc>
          <w:tcPr>
            <w:tcW w:w="2268" w:type="dxa"/>
            <w:tcBorders>
              <w:top w:val="outset" w:sz="6" w:space="0" w:color="auto"/>
              <w:left w:val="outset" w:sz="6" w:space="0" w:color="auto"/>
              <w:bottom w:val="outset" w:sz="6" w:space="0" w:color="auto"/>
              <w:right w:val="outset" w:sz="6" w:space="0" w:color="auto"/>
            </w:tcBorders>
            <w:vAlign w:val="center"/>
          </w:tcPr>
          <w:p w14:paraId="790BD93F"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营业执照</w:t>
            </w:r>
          </w:p>
        </w:tc>
        <w:tc>
          <w:tcPr>
            <w:tcW w:w="5953" w:type="dxa"/>
            <w:tcBorders>
              <w:top w:val="outset" w:sz="6" w:space="0" w:color="auto"/>
              <w:left w:val="outset" w:sz="6" w:space="0" w:color="auto"/>
              <w:bottom w:val="outset" w:sz="6" w:space="0" w:color="auto"/>
              <w:right w:val="outset" w:sz="6" w:space="0" w:color="auto"/>
            </w:tcBorders>
            <w:vAlign w:val="center"/>
          </w:tcPr>
          <w:p w14:paraId="569A2F4F"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符合第二章“投标人须知” 第3.5.1项规定，</w:t>
            </w:r>
            <w:r w:rsidRPr="00AF1936">
              <w:rPr>
                <w:rFonts w:ascii="宋体" w:eastAsia="宋体" w:hAnsi="宋体" w:cs="Times New Roman"/>
              </w:rPr>
              <w:t>具备有效的营业执照</w:t>
            </w:r>
          </w:p>
        </w:tc>
      </w:tr>
      <w:tr w:rsidR="00AF1936" w:rsidRPr="00AF1936" w14:paraId="5E2444D9" w14:textId="77777777" w:rsidTr="00AF1936">
        <w:trPr>
          <w:trHeight w:val="340"/>
        </w:trPr>
        <w:tc>
          <w:tcPr>
            <w:tcW w:w="812" w:type="dxa"/>
            <w:vMerge/>
            <w:tcBorders>
              <w:left w:val="outset" w:sz="6" w:space="0" w:color="auto"/>
              <w:right w:val="outset" w:sz="6" w:space="0" w:color="auto"/>
            </w:tcBorders>
            <w:vAlign w:val="center"/>
          </w:tcPr>
          <w:p w14:paraId="0542B10C"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6A8EBE72"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012D1840"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资质</w:t>
            </w:r>
            <w:r w:rsidRPr="00AF1936">
              <w:rPr>
                <w:rFonts w:ascii="宋体" w:eastAsia="宋体" w:hAnsi="宋体" w:cs="Times New Roman" w:hint="eastAsia"/>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3A07F3E4"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符合第二章“投标人须知”第1.4.1项规定</w:t>
            </w:r>
          </w:p>
        </w:tc>
      </w:tr>
      <w:tr w:rsidR="00AF1936" w:rsidRPr="00AF1936" w14:paraId="3F888549" w14:textId="77777777" w:rsidTr="00AF1936">
        <w:trPr>
          <w:trHeight w:val="340"/>
        </w:trPr>
        <w:tc>
          <w:tcPr>
            <w:tcW w:w="812" w:type="dxa"/>
            <w:vMerge/>
            <w:tcBorders>
              <w:left w:val="outset" w:sz="6" w:space="0" w:color="auto"/>
              <w:right w:val="outset" w:sz="6" w:space="0" w:color="auto"/>
            </w:tcBorders>
            <w:vAlign w:val="center"/>
          </w:tcPr>
          <w:p w14:paraId="30722807"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26765D4D"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25E614C3"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财务</w:t>
            </w:r>
            <w:r w:rsidRPr="00AF1936">
              <w:rPr>
                <w:rFonts w:ascii="宋体" w:eastAsia="宋体" w:hAnsi="宋体" w:cs="Times New Roman" w:hint="eastAsia"/>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06B742C0"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符合第二章“投标人须知”第1.4.1项规定</w:t>
            </w:r>
          </w:p>
        </w:tc>
      </w:tr>
      <w:tr w:rsidR="00AF1936" w:rsidRPr="00AF1936" w14:paraId="738B0A15" w14:textId="77777777" w:rsidTr="00AF1936">
        <w:trPr>
          <w:trHeight w:val="340"/>
        </w:trPr>
        <w:tc>
          <w:tcPr>
            <w:tcW w:w="812" w:type="dxa"/>
            <w:vMerge/>
            <w:tcBorders>
              <w:left w:val="outset" w:sz="6" w:space="0" w:color="auto"/>
              <w:right w:val="outset" w:sz="6" w:space="0" w:color="auto"/>
            </w:tcBorders>
            <w:vAlign w:val="center"/>
          </w:tcPr>
          <w:p w14:paraId="736E0A92"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5F988710"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79824CBF"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业绩</w:t>
            </w:r>
            <w:r w:rsidRPr="00AF1936">
              <w:rPr>
                <w:rFonts w:ascii="宋体" w:eastAsia="宋体" w:hAnsi="宋体" w:cs="Times New Roman" w:hint="eastAsia"/>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16C736B9"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符合第二章“投标人须知”第1.4.1项规定</w:t>
            </w:r>
          </w:p>
        </w:tc>
      </w:tr>
      <w:tr w:rsidR="00AF1936" w:rsidRPr="00AF1936" w14:paraId="6645E62B" w14:textId="77777777" w:rsidTr="00AF1936">
        <w:trPr>
          <w:trHeight w:val="340"/>
        </w:trPr>
        <w:tc>
          <w:tcPr>
            <w:tcW w:w="812" w:type="dxa"/>
            <w:vMerge/>
            <w:tcBorders>
              <w:left w:val="outset" w:sz="6" w:space="0" w:color="auto"/>
              <w:right w:val="outset" w:sz="6" w:space="0" w:color="auto"/>
            </w:tcBorders>
            <w:vAlign w:val="center"/>
          </w:tcPr>
          <w:p w14:paraId="380EAE48"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2640D44D"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201D6724"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信誉</w:t>
            </w:r>
            <w:r w:rsidRPr="00AF1936">
              <w:rPr>
                <w:rFonts w:ascii="宋体" w:eastAsia="宋体" w:hAnsi="宋体" w:cs="Times New Roman" w:hint="eastAsia"/>
              </w:rPr>
              <w:t>要求</w:t>
            </w:r>
          </w:p>
        </w:tc>
        <w:tc>
          <w:tcPr>
            <w:tcW w:w="5953" w:type="dxa"/>
            <w:tcBorders>
              <w:top w:val="outset" w:sz="6" w:space="0" w:color="auto"/>
              <w:left w:val="outset" w:sz="6" w:space="0" w:color="auto"/>
              <w:bottom w:val="outset" w:sz="6" w:space="0" w:color="auto"/>
              <w:right w:val="outset" w:sz="6" w:space="0" w:color="auto"/>
            </w:tcBorders>
            <w:vAlign w:val="center"/>
          </w:tcPr>
          <w:p w14:paraId="230A8966"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符合第二章“投标人须知”第1.4.1项规定</w:t>
            </w:r>
          </w:p>
        </w:tc>
      </w:tr>
      <w:tr w:rsidR="00AF1936" w:rsidRPr="00AF1936" w14:paraId="23D5CD2A" w14:textId="77777777" w:rsidTr="00AF1936">
        <w:trPr>
          <w:trHeight w:val="340"/>
        </w:trPr>
        <w:tc>
          <w:tcPr>
            <w:tcW w:w="812" w:type="dxa"/>
            <w:vMerge/>
            <w:tcBorders>
              <w:left w:val="outset" w:sz="6" w:space="0" w:color="auto"/>
              <w:right w:val="outset" w:sz="6" w:space="0" w:color="auto"/>
            </w:tcBorders>
            <w:vAlign w:val="center"/>
          </w:tcPr>
          <w:p w14:paraId="229BF0D7"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53732D30"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0499766A"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其他要求</w:t>
            </w:r>
          </w:p>
        </w:tc>
        <w:tc>
          <w:tcPr>
            <w:tcW w:w="5953" w:type="dxa"/>
            <w:tcBorders>
              <w:top w:val="outset" w:sz="6" w:space="0" w:color="auto"/>
              <w:left w:val="outset" w:sz="6" w:space="0" w:color="auto"/>
              <w:bottom w:val="outset" w:sz="6" w:space="0" w:color="auto"/>
              <w:right w:val="outset" w:sz="6" w:space="0" w:color="auto"/>
            </w:tcBorders>
            <w:vAlign w:val="center"/>
          </w:tcPr>
          <w:p w14:paraId="0E606A2C"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符合第二章“投标人须知”第1.4.1项规定</w:t>
            </w:r>
          </w:p>
        </w:tc>
      </w:tr>
      <w:tr w:rsidR="00AF1936" w:rsidRPr="00AF1936" w14:paraId="07C8C7A0" w14:textId="77777777" w:rsidTr="00AF1936">
        <w:trPr>
          <w:trHeight w:val="340"/>
        </w:trPr>
        <w:tc>
          <w:tcPr>
            <w:tcW w:w="812" w:type="dxa"/>
            <w:vMerge/>
            <w:tcBorders>
              <w:left w:val="outset" w:sz="6" w:space="0" w:color="auto"/>
              <w:right w:val="outset" w:sz="6" w:space="0" w:color="auto"/>
            </w:tcBorders>
            <w:vAlign w:val="center"/>
          </w:tcPr>
          <w:p w14:paraId="5C2C7A0E"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315354F6"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64EF2E18"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不存在禁止投标的情形</w:t>
            </w:r>
          </w:p>
        </w:tc>
        <w:tc>
          <w:tcPr>
            <w:tcW w:w="5953" w:type="dxa"/>
            <w:tcBorders>
              <w:top w:val="outset" w:sz="6" w:space="0" w:color="auto"/>
              <w:left w:val="outset" w:sz="6" w:space="0" w:color="auto"/>
              <w:bottom w:val="outset" w:sz="6" w:space="0" w:color="auto"/>
              <w:right w:val="outset" w:sz="6" w:space="0" w:color="auto"/>
            </w:tcBorders>
            <w:vAlign w:val="center"/>
          </w:tcPr>
          <w:p w14:paraId="46C8288F"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不存在</w:t>
            </w:r>
            <w:r w:rsidRPr="00AF1936">
              <w:rPr>
                <w:rFonts w:ascii="宋体" w:eastAsia="宋体" w:hAnsi="宋体" w:cs="Times New Roman"/>
              </w:rPr>
              <w:t>第二章“投标人须知”第1.4.</w:t>
            </w:r>
            <w:r w:rsidRPr="00AF1936">
              <w:rPr>
                <w:rFonts w:ascii="宋体" w:eastAsia="宋体" w:hAnsi="宋体" w:cs="Times New Roman" w:hint="eastAsia"/>
              </w:rPr>
              <w:t>3</w:t>
            </w:r>
            <w:r w:rsidRPr="00AF1936">
              <w:rPr>
                <w:rFonts w:ascii="宋体" w:eastAsia="宋体" w:hAnsi="宋体" w:cs="Times New Roman"/>
              </w:rPr>
              <w:t>项规定</w:t>
            </w:r>
            <w:r w:rsidRPr="00AF1936">
              <w:rPr>
                <w:rFonts w:ascii="宋体" w:eastAsia="宋体" w:hAnsi="宋体" w:cs="Times New Roman" w:hint="eastAsia"/>
              </w:rPr>
              <w:t>的任何一种情形</w:t>
            </w:r>
          </w:p>
        </w:tc>
      </w:tr>
      <w:tr w:rsidR="00AF1936" w:rsidRPr="00AF1936" w14:paraId="3C9E2E36" w14:textId="77777777" w:rsidTr="00AF1936">
        <w:trPr>
          <w:trHeight w:val="340"/>
        </w:trPr>
        <w:tc>
          <w:tcPr>
            <w:tcW w:w="812" w:type="dxa"/>
            <w:vMerge/>
            <w:tcBorders>
              <w:left w:val="outset" w:sz="6" w:space="0" w:color="auto"/>
              <w:right w:val="outset" w:sz="6" w:space="0" w:color="auto"/>
            </w:tcBorders>
            <w:vAlign w:val="center"/>
          </w:tcPr>
          <w:p w14:paraId="3C9EF827"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39A2BE65"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336EF472"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投标设备制造商的资质要求（如有）</w:t>
            </w:r>
          </w:p>
        </w:tc>
        <w:tc>
          <w:tcPr>
            <w:tcW w:w="5953" w:type="dxa"/>
            <w:tcBorders>
              <w:top w:val="outset" w:sz="6" w:space="0" w:color="auto"/>
              <w:left w:val="outset" w:sz="6" w:space="0" w:color="auto"/>
              <w:bottom w:val="outset" w:sz="6" w:space="0" w:color="auto"/>
              <w:right w:val="outset" w:sz="6" w:space="0" w:color="auto"/>
            </w:tcBorders>
            <w:vAlign w:val="center"/>
          </w:tcPr>
          <w:p w14:paraId="42A48564"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符合第二章“投标人须知”第1.4.1项规定</w:t>
            </w:r>
          </w:p>
        </w:tc>
      </w:tr>
      <w:tr w:rsidR="00AF1936" w:rsidRPr="00AF1936" w14:paraId="40505D05" w14:textId="77777777" w:rsidTr="00AF1936">
        <w:trPr>
          <w:trHeight w:val="340"/>
        </w:trPr>
        <w:tc>
          <w:tcPr>
            <w:tcW w:w="812" w:type="dxa"/>
            <w:vMerge/>
            <w:tcBorders>
              <w:left w:val="outset" w:sz="6" w:space="0" w:color="auto"/>
              <w:right w:val="outset" w:sz="6" w:space="0" w:color="auto"/>
            </w:tcBorders>
            <w:vAlign w:val="center"/>
          </w:tcPr>
          <w:p w14:paraId="1B5FA224" w14:textId="77777777" w:rsidR="00AF1936" w:rsidRPr="00AF1936" w:rsidRDefault="00AF1936" w:rsidP="00AF1936">
            <w:pPr>
              <w:snapToGrid w:val="0"/>
              <w:jc w:val="center"/>
              <w:rPr>
                <w:rFonts w:ascii="宋体" w:eastAsia="宋体" w:hAnsi="宋体" w:cs="Times New Roman"/>
              </w:rPr>
            </w:pPr>
          </w:p>
        </w:tc>
        <w:tc>
          <w:tcPr>
            <w:tcW w:w="598" w:type="dxa"/>
            <w:vMerge/>
            <w:tcBorders>
              <w:left w:val="outset" w:sz="6" w:space="0" w:color="auto"/>
              <w:right w:val="outset" w:sz="6" w:space="0" w:color="auto"/>
            </w:tcBorders>
            <w:vAlign w:val="center"/>
          </w:tcPr>
          <w:p w14:paraId="3EDBEE5C"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16540A81"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制造商授权书（适用于代理经销商投标的情形）</w:t>
            </w:r>
          </w:p>
        </w:tc>
        <w:tc>
          <w:tcPr>
            <w:tcW w:w="5953" w:type="dxa"/>
            <w:tcBorders>
              <w:top w:val="outset" w:sz="6" w:space="0" w:color="auto"/>
              <w:left w:val="outset" w:sz="6" w:space="0" w:color="auto"/>
              <w:bottom w:val="outset" w:sz="6" w:space="0" w:color="auto"/>
              <w:right w:val="outset" w:sz="6" w:space="0" w:color="auto"/>
            </w:tcBorders>
            <w:vAlign w:val="center"/>
          </w:tcPr>
          <w:p w14:paraId="3123AA7D"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制造商、投标人按照招标文件提供的格式签订了制造商授权书，明确投标设备和各方责任，并提供了制造商授权书原件。</w:t>
            </w:r>
          </w:p>
        </w:tc>
      </w:tr>
      <w:tr w:rsidR="00AF1936" w:rsidRPr="00AF1936" w14:paraId="3C11DB0D" w14:textId="77777777" w:rsidTr="00AF1936">
        <w:trPr>
          <w:trHeight w:val="340"/>
        </w:trPr>
        <w:tc>
          <w:tcPr>
            <w:tcW w:w="812" w:type="dxa"/>
            <w:vMerge w:val="restart"/>
            <w:tcBorders>
              <w:top w:val="outset" w:sz="6" w:space="0" w:color="auto"/>
              <w:left w:val="outset" w:sz="6" w:space="0" w:color="auto"/>
              <w:bottom w:val="outset" w:sz="6" w:space="0" w:color="auto"/>
              <w:right w:val="outset" w:sz="6" w:space="0" w:color="auto"/>
            </w:tcBorders>
            <w:vAlign w:val="center"/>
          </w:tcPr>
          <w:p w14:paraId="660D59F6"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2.1.3</w:t>
            </w:r>
          </w:p>
        </w:tc>
        <w:tc>
          <w:tcPr>
            <w:tcW w:w="598" w:type="dxa"/>
            <w:vMerge w:val="restart"/>
            <w:tcBorders>
              <w:top w:val="outset" w:sz="6" w:space="0" w:color="auto"/>
              <w:left w:val="outset" w:sz="6" w:space="0" w:color="auto"/>
              <w:bottom w:val="outset" w:sz="6" w:space="0" w:color="auto"/>
              <w:right w:val="outset" w:sz="6" w:space="0" w:color="auto"/>
            </w:tcBorders>
            <w:vAlign w:val="center"/>
          </w:tcPr>
          <w:p w14:paraId="294127B5"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响应性评审标准</w:t>
            </w:r>
          </w:p>
        </w:tc>
        <w:tc>
          <w:tcPr>
            <w:tcW w:w="2268" w:type="dxa"/>
            <w:tcBorders>
              <w:top w:val="outset" w:sz="6" w:space="0" w:color="auto"/>
              <w:left w:val="outset" w:sz="6" w:space="0" w:color="auto"/>
              <w:bottom w:val="outset" w:sz="6" w:space="0" w:color="auto"/>
              <w:right w:val="outset" w:sz="6" w:space="0" w:color="auto"/>
            </w:tcBorders>
            <w:vAlign w:val="center"/>
          </w:tcPr>
          <w:p w14:paraId="439D0F77"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投标报价</w:t>
            </w:r>
          </w:p>
        </w:tc>
        <w:tc>
          <w:tcPr>
            <w:tcW w:w="5953" w:type="dxa"/>
            <w:tcBorders>
              <w:top w:val="outset" w:sz="6" w:space="0" w:color="auto"/>
              <w:left w:val="outset" w:sz="6" w:space="0" w:color="auto"/>
              <w:bottom w:val="outset" w:sz="6" w:space="0" w:color="auto"/>
              <w:right w:val="outset" w:sz="6" w:space="0" w:color="auto"/>
            </w:tcBorders>
            <w:vAlign w:val="center"/>
          </w:tcPr>
          <w:p w14:paraId="7B67115B"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符合第二</w:t>
            </w:r>
            <w:r w:rsidRPr="00AF1936">
              <w:rPr>
                <w:rFonts w:ascii="宋体" w:eastAsia="宋体" w:hAnsi="宋体" w:cs="Times New Roman"/>
              </w:rPr>
              <w:t>章“投标人须知”第</w:t>
            </w:r>
            <w:r w:rsidRPr="00AF1936">
              <w:rPr>
                <w:rFonts w:ascii="宋体" w:eastAsia="宋体" w:hAnsi="宋体" w:cs="Times New Roman" w:hint="eastAsia"/>
              </w:rPr>
              <w:t>3.2款</w:t>
            </w:r>
            <w:r w:rsidRPr="00AF1936">
              <w:rPr>
                <w:rFonts w:ascii="宋体" w:eastAsia="宋体" w:hAnsi="宋体" w:cs="Times New Roman"/>
              </w:rPr>
              <w:t>规定</w:t>
            </w:r>
          </w:p>
        </w:tc>
      </w:tr>
      <w:tr w:rsidR="00AF1936" w:rsidRPr="00AF1936" w14:paraId="5F7B70EE"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140D5977"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5F2DF89B"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01A72C00"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投标内容</w:t>
            </w:r>
          </w:p>
        </w:tc>
        <w:tc>
          <w:tcPr>
            <w:tcW w:w="5953" w:type="dxa"/>
            <w:tcBorders>
              <w:top w:val="outset" w:sz="6" w:space="0" w:color="auto"/>
              <w:left w:val="outset" w:sz="6" w:space="0" w:color="auto"/>
              <w:bottom w:val="outset" w:sz="6" w:space="0" w:color="auto"/>
              <w:right w:val="outset" w:sz="6" w:space="0" w:color="auto"/>
            </w:tcBorders>
            <w:vAlign w:val="center"/>
          </w:tcPr>
          <w:p w14:paraId="054FBFBD"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符合第二章“投标人须知”第1.3.1项规定</w:t>
            </w:r>
          </w:p>
        </w:tc>
      </w:tr>
      <w:tr w:rsidR="00AF1936" w:rsidRPr="00AF1936" w14:paraId="78361B6B"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1DA83370"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58CA0329"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58E833EE"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交货期</w:t>
            </w:r>
          </w:p>
        </w:tc>
        <w:tc>
          <w:tcPr>
            <w:tcW w:w="5953" w:type="dxa"/>
            <w:tcBorders>
              <w:top w:val="outset" w:sz="6" w:space="0" w:color="auto"/>
              <w:left w:val="outset" w:sz="6" w:space="0" w:color="auto"/>
              <w:bottom w:val="outset" w:sz="6" w:space="0" w:color="auto"/>
              <w:right w:val="outset" w:sz="6" w:space="0" w:color="auto"/>
            </w:tcBorders>
            <w:vAlign w:val="center"/>
          </w:tcPr>
          <w:p w14:paraId="5F1D0AD9"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符合第二章“投标人须知”第1.3.</w:t>
            </w:r>
            <w:r w:rsidRPr="00AF1936">
              <w:rPr>
                <w:rFonts w:ascii="宋体" w:eastAsia="宋体" w:hAnsi="宋体" w:cs="Times New Roman" w:hint="eastAsia"/>
              </w:rPr>
              <w:t>2</w:t>
            </w:r>
            <w:r w:rsidRPr="00AF1936">
              <w:rPr>
                <w:rFonts w:ascii="宋体" w:eastAsia="宋体" w:hAnsi="宋体" w:cs="Times New Roman"/>
              </w:rPr>
              <w:t>项规定</w:t>
            </w:r>
          </w:p>
        </w:tc>
      </w:tr>
      <w:tr w:rsidR="00AF1936" w:rsidRPr="00AF1936" w14:paraId="6AA8820A"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4EC6C9FC"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3B3FBAF7"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16F45738"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交货地点</w:t>
            </w:r>
          </w:p>
        </w:tc>
        <w:tc>
          <w:tcPr>
            <w:tcW w:w="5953" w:type="dxa"/>
            <w:tcBorders>
              <w:top w:val="outset" w:sz="6" w:space="0" w:color="auto"/>
              <w:left w:val="outset" w:sz="6" w:space="0" w:color="auto"/>
              <w:bottom w:val="outset" w:sz="6" w:space="0" w:color="auto"/>
              <w:right w:val="outset" w:sz="6" w:space="0" w:color="auto"/>
            </w:tcBorders>
            <w:vAlign w:val="center"/>
          </w:tcPr>
          <w:p w14:paraId="36C2CFBE"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符合第二章“投标人须知”第1.3.</w:t>
            </w:r>
            <w:r w:rsidRPr="00AF1936">
              <w:rPr>
                <w:rFonts w:ascii="宋体" w:eastAsia="宋体" w:hAnsi="宋体" w:cs="Times New Roman" w:hint="eastAsia"/>
              </w:rPr>
              <w:t>3</w:t>
            </w:r>
            <w:r w:rsidRPr="00AF1936">
              <w:rPr>
                <w:rFonts w:ascii="宋体" w:eastAsia="宋体" w:hAnsi="宋体" w:cs="Times New Roman"/>
              </w:rPr>
              <w:t>项规定</w:t>
            </w:r>
          </w:p>
        </w:tc>
      </w:tr>
      <w:tr w:rsidR="00AF1936" w:rsidRPr="00AF1936" w14:paraId="0A84DA61"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5D91A78D"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37D5B7F8"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1CFF8694"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技术性能指标</w:t>
            </w:r>
          </w:p>
        </w:tc>
        <w:tc>
          <w:tcPr>
            <w:tcW w:w="5953" w:type="dxa"/>
            <w:tcBorders>
              <w:top w:val="outset" w:sz="6" w:space="0" w:color="auto"/>
              <w:left w:val="outset" w:sz="6" w:space="0" w:color="auto"/>
              <w:bottom w:val="outset" w:sz="6" w:space="0" w:color="auto"/>
              <w:right w:val="outset" w:sz="6" w:space="0" w:color="auto"/>
            </w:tcBorders>
            <w:vAlign w:val="center"/>
          </w:tcPr>
          <w:p w14:paraId="11DA9B4F"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符合第二章“投标人须知”第1.3.</w:t>
            </w:r>
            <w:r w:rsidRPr="00AF1936">
              <w:rPr>
                <w:rFonts w:ascii="宋体" w:eastAsia="宋体" w:hAnsi="宋体" w:cs="Times New Roman" w:hint="eastAsia"/>
              </w:rPr>
              <w:t>4</w:t>
            </w:r>
            <w:r w:rsidRPr="00AF1936">
              <w:rPr>
                <w:rFonts w:ascii="宋体" w:eastAsia="宋体" w:hAnsi="宋体" w:cs="Times New Roman"/>
              </w:rPr>
              <w:t>项规定</w:t>
            </w:r>
          </w:p>
        </w:tc>
      </w:tr>
      <w:tr w:rsidR="00AF1936" w:rsidRPr="00AF1936" w14:paraId="39D03E2B"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25BA62F4"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7A72E874"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254CA4BA"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投标有效期</w:t>
            </w:r>
          </w:p>
        </w:tc>
        <w:tc>
          <w:tcPr>
            <w:tcW w:w="5953" w:type="dxa"/>
            <w:tcBorders>
              <w:top w:val="outset" w:sz="6" w:space="0" w:color="auto"/>
              <w:left w:val="outset" w:sz="6" w:space="0" w:color="auto"/>
              <w:bottom w:val="outset" w:sz="6" w:space="0" w:color="auto"/>
              <w:right w:val="outset" w:sz="6" w:space="0" w:color="auto"/>
            </w:tcBorders>
            <w:vAlign w:val="center"/>
          </w:tcPr>
          <w:p w14:paraId="08582D58"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符合第二章“投标人须知”第3.3.1项规定</w:t>
            </w:r>
          </w:p>
        </w:tc>
      </w:tr>
      <w:tr w:rsidR="00AF1936" w:rsidRPr="00AF1936" w14:paraId="5833A564"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04EDD01E"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3255AFDE"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1C48AE7E"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投标保证金</w:t>
            </w:r>
          </w:p>
        </w:tc>
        <w:tc>
          <w:tcPr>
            <w:tcW w:w="5953" w:type="dxa"/>
            <w:tcBorders>
              <w:top w:val="outset" w:sz="6" w:space="0" w:color="auto"/>
              <w:left w:val="outset" w:sz="6" w:space="0" w:color="auto"/>
              <w:bottom w:val="outset" w:sz="6" w:space="0" w:color="auto"/>
              <w:right w:val="outset" w:sz="6" w:space="0" w:color="auto"/>
            </w:tcBorders>
            <w:vAlign w:val="center"/>
          </w:tcPr>
          <w:p w14:paraId="2B5ADF42"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符合第二章“投标人须知”第3.4.1项规定</w:t>
            </w:r>
          </w:p>
        </w:tc>
      </w:tr>
      <w:tr w:rsidR="00AF1936" w:rsidRPr="00AF1936" w14:paraId="23B94AD0"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505CD2EE"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1414D9FE"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7EFB9D77"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权利义务</w:t>
            </w:r>
          </w:p>
        </w:tc>
        <w:tc>
          <w:tcPr>
            <w:tcW w:w="5953" w:type="dxa"/>
            <w:tcBorders>
              <w:top w:val="outset" w:sz="6" w:space="0" w:color="auto"/>
              <w:left w:val="outset" w:sz="6" w:space="0" w:color="auto"/>
              <w:bottom w:val="outset" w:sz="6" w:space="0" w:color="auto"/>
              <w:right w:val="outset" w:sz="6" w:space="0" w:color="auto"/>
            </w:tcBorders>
            <w:vAlign w:val="center"/>
          </w:tcPr>
          <w:p w14:paraId="15D4E747"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w:t>
            </w:r>
            <w:r w:rsidRPr="00AF1936">
              <w:rPr>
                <w:rFonts w:ascii="宋体" w:eastAsia="宋体" w:hAnsi="宋体" w:cs="Times New Roman" w:hint="eastAsia"/>
              </w:rPr>
              <w:t>1.11.1</w:t>
            </w:r>
            <w:r w:rsidRPr="00AF1936">
              <w:rPr>
                <w:rFonts w:ascii="宋体" w:eastAsia="宋体" w:hAnsi="宋体" w:cs="Times New Roman"/>
              </w:rPr>
              <w:t>项规定</w:t>
            </w:r>
            <w:r w:rsidRPr="00AF1936">
              <w:rPr>
                <w:rFonts w:ascii="宋体" w:eastAsia="宋体" w:hAnsi="宋体" w:cs="Times New Roman" w:hint="eastAsia"/>
              </w:rPr>
              <w:t>和第四章“合同条款及格式”中的实质性要求和条件</w:t>
            </w:r>
          </w:p>
        </w:tc>
      </w:tr>
      <w:tr w:rsidR="00AF1936" w:rsidRPr="00AF1936" w14:paraId="49F8C638"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1677D3FF"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0E0CAD97"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176C2611"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hint="eastAsia"/>
              </w:rPr>
              <w:t>投标设备及技术服务和质保期服务</w:t>
            </w:r>
          </w:p>
        </w:tc>
        <w:tc>
          <w:tcPr>
            <w:tcW w:w="5953" w:type="dxa"/>
            <w:tcBorders>
              <w:top w:val="outset" w:sz="6" w:space="0" w:color="auto"/>
              <w:left w:val="outset" w:sz="6" w:space="0" w:color="auto"/>
              <w:bottom w:val="outset" w:sz="6" w:space="0" w:color="auto"/>
              <w:right w:val="outset" w:sz="6" w:space="0" w:color="auto"/>
            </w:tcBorders>
            <w:vAlign w:val="center"/>
          </w:tcPr>
          <w:p w14:paraId="2AFD1419"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w:t>
            </w:r>
            <w:r w:rsidRPr="00AF1936">
              <w:rPr>
                <w:rFonts w:ascii="宋体" w:eastAsia="宋体" w:hAnsi="宋体" w:cs="Times New Roman" w:hint="eastAsia"/>
              </w:rPr>
              <w:t>五</w:t>
            </w:r>
            <w:r w:rsidRPr="00AF1936">
              <w:rPr>
                <w:rFonts w:ascii="宋体" w:eastAsia="宋体" w:hAnsi="宋体" w:cs="Times New Roman"/>
              </w:rPr>
              <w:t>章“</w:t>
            </w:r>
            <w:r w:rsidRPr="00AF1936">
              <w:rPr>
                <w:rFonts w:ascii="宋体" w:eastAsia="宋体" w:hAnsi="宋体" w:cs="Times New Roman" w:hint="eastAsia"/>
              </w:rPr>
              <w:t>供货要求</w:t>
            </w:r>
            <w:r w:rsidRPr="00AF1936">
              <w:rPr>
                <w:rFonts w:ascii="宋体" w:eastAsia="宋体" w:hAnsi="宋体" w:cs="Times New Roman"/>
              </w:rPr>
              <w:t>”</w:t>
            </w:r>
            <w:r w:rsidRPr="00AF1936">
              <w:rPr>
                <w:rFonts w:ascii="宋体" w:eastAsia="宋体" w:hAnsi="宋体" w:cs="Times New Roman" w:hint="eastAsia"/>
              </w:rPr>
              <w:t>中的实质性要求和条件</w:t>
            </w:r>
          </w:p>
        </w:tc>
      </w:tr>
      <w:tr w:rsidR="00AF1936" w:rsidRPr="00AF1936" w14:paraId="7E5C9AD6" w14:textId="77777777" w:rsidTr="00AF1936">
        <w:trPr>
          <w:trHeight w:val="340"/>
        </w:trPr>
        <w:tc>
          <w:tcPr>
            <w:tcW w:w="812" w:type="dxa"/>
            <w:vMerge/>
            <w:tcBorders>
              <w:top w:val="outset" w:sz="6" w:space="0" w:color="auto"/>
              <w:left w:val="outset" w:sz="6" w:space="0" w:color="auto"/>
              <w:bottom w:val="outset" w:sz="6" w:space="0" w:color="auto"/>
              <w:right w:val="outset" w:sz="6" w:space="0" w:color="auto"/>
            </w:tcBorders>
            <w:vAlign w:val="center"/>
          </w:tcPr>
          <w:p w14:paraId="67D92297" w14:textId="77777777" w:rsidR="00AF1936" w:rsidRPr="00AF1936" w:rsidRDefault="00AF1936" w:rsidP="00AF1936">
            <w:pPr>
              <w:snapToGrid w:val="0"/>
              <w:jc w:val="center"/>
              <w:rPr>
                <w:rFonts w:ascii="宋体" w:eastAsia="宋体" w:hAnsi="宋体" w:cs="Times New Roman"/>
              </w:rPr>
            </w:pPr>
          </w:p>
        </w:tc>
        <w:tc>
          <w:tcPr>
            <w:tcW w:w="598" w:type="dxa"/>
            <w:vMerge/>
            <w:tcBorders>
              <w:top w:val="outset" w:sz="6" w:space="0" w:color="auto"/>
              <w:left w:val="outset" w:sz="6" w:space="0" w:color="auto"/>
              <w:bottom w:val="outset" w:sz="6" w:space="0" w:color="auto"/>
              <w:right w:val="outset" w:sz="6" w:space="0" w:color="auto"/>
            </w:tcBorders>
            <w:vAlign w:val="center"/>
          </w:tcPr>
          <w:p w14:paraId="1010E94E" w14:textId="77777777" w:rsidR="00AF1936" w:rsidRPr="00AF1936" w:rsidRDefault="00AF1936" w:rsidP="00AF1936">
            <w:pPr>
              <w:snapToGrid w:val="0"/>
              <w:jc w:val="center"/>
              <w:rPr>
                <w:rFonts w:ascii="宋体" w:eastAsia="宋体" w:hAnsi="宋体" w:cs="Times New Roman"/>
              </w:rPr>
            </w:pPr>
          </w:p>
        </w:tc>
        <w:tc>
          <w:tcPr>
            <w:tcW w:w="2268" w:type="dxa"/>
            <w:tcBorders>
              <w:top w:val="outset" w:sz="6" w:space="0" w:color="auto"/>
              <w:left w:val="outset" w:sz="6" w:space="0" w:color="auto"/>
              <w:bottom w:val="outset" w:sz="6" w:space="0" w:color="auto"/>
              <w:right w:val="outset" w:sz="6" w:space="0" w:color="auto"/>
            </w:tcBorders>
            <w:vAlign w:val="center"/>
          </w:tcPr>
          <w:p w14:paraId="73D2FEC5"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t>技术</w:t>
            </w:r>
            <w:r w:rsidRPr="00AF1936">
              <w:rPr>
                <w:rFonts w:ascii="宋体" w:eastAsia="宋体" w:hAnsi="宋体" w:cs="Times New Roman" w:hint="eastAsia"/>
              </w:rPr>
              <w:t>支持资料</w:t>
            </w:r>
          </w:p>
        </w:tc>
        <w:tc>
          <w:tcPr>
            <w:tcW w:w="5953" w:type="dxa"/>
            <w:tcBorders>
              <w:top w:val="outset" w:sz="6" w:space="0" w:color="auto"/>
              <w:left w:val="outset" w:sz="6" w:space="0" w:color="auto"/>
              <w:bottom w:val="outset" w:sz="6" w:space="0" w:color="auto"/>
              <w:right w:val="outset" w:sz="6" w:space="0" w:color="auto"/>
            </w:tcBorders>
            <w:vAlign w:val="center"/>
          </w:tcPr>
          <w:p w14:paraId="0084B691"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rPr>
              <w:t>符合第二章“投标人须知”第</w:t>
            </w:r>
            <w:r w:rsidRPr="00AF1936">
              <w:rPr>
                <w:rFonts w:ascii="宋体" w:eastAsia="宋体" w:hAnsi="宋体" w:cs="Times New Roman" w:hint="eastAsia"/>
              </w:rPr>
              <w:t>1.11.3</w:t>
            </w:r>
            <w:r w:rsidRPr="00AF1936">
              <w:rPr>
                <w:rFonts w:ascii="宋体" w:eastAsia="宋体" w:hAnsi="宋体" w:cs="Times New Roman"/>
              </w:rPr>
              <w:t>项规定</w:t>
            </w:r>
          </w:p>
        </w:tc>
      </w:tr>
    </w:tbl>
    <w:p w14:paraId="41ACEC7E" w14:textId="77777777" w:rsidR="00AF1936" w:rsidRPr="00AF1936" w:rsidRDefault="00AF1936" w:rsidP="00AF1936">
      <w:pPr>
        <w:snapToGrid w:val="0"/>
        <w:rPr>
          <w:rFonts w:ascii="宋体" w:eastAsia="宋体" w:hAnsi="宋体" w:cs="Times New Roman"/>
        </w:rPr>
      </w:pPr>
      <w:r w:rsidRPr="00AF1936">
        <w:rPr>
          <w:rFonts w:ascii="宋体" w:eastAsia="宋体" w:hAnsi="宋体" w:cs="Times New Roman"/>
        </w:rPr>
        <w:br w:type="page"/>
      </w:r>
      <w:bookmarkStart w:id="3" w:name="_Toc184635093"/>
    </w:p>
    <w:tbl>
      <w:tblPr>
        <w:tblW w:w="0" w:type="auto"/>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993"/>
        <w:gridCol w:w="1984"/>
        <w:gridCol w:w="5677"/>
      </w:tblGrid>
      <w:tr w:rsidR="00AF1936" w:rsidRPr="00AF1936" w14:paraId="63ABD212" w14:textId="77777777" w:rsidTr="00AE722F">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21F9809B"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lastRenderedPageBreak/>
              <w:t>条款号</w:t>
            </w:r>
          </w:p>
        </w:tc>
        <w:tc>
          <w:tcPr>
            <w:tcW w:w="1984" w:type="dxa"/>
            <w:tcBorders>
              <w:top w:val="outset" w:sz="6" w:space="0" w:color="auto"/>
              <w:left w:val="outset" w:sz="6" w:space="0" w:color="auto"/>
              <w:bottom w:val="outset" w:sz="6" w:space="0" w:color="auto"/>
              <w:right w:val="outset" w:sz="6" w:space="0" w:color="auto"/>
            </w:tcBorders>
            <w:vAlign w:val="center"/>
          </w:tcPr>
          <w:p w14:paraId="7BC7842F"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条款内容</w:t>
            </w:r>
          </w:p>
        </w:tc>
        <w:tc>
          <w:tcPr>
            <w:tcW w:w="5677" w:type="dxa"/>
            <w:tcBorders>
              <w:top w:val="outset" w:sz="6" w:space="0" w:color="auto"/>
              <w:left w:val="outset" w:sz="6" w:space="0" w:color="auto"/>
              <w:bottom w:val="outset" w:sz="6" w:space="0" w:color="auto"/>
              <w:right w:val="outset" w:sz="6" w:space="0" w:color="auto"/>
            </w:tcBorders>
            <w:vAlign w:val="center"/>
          </w:tcPr>
          <w:p w14:paraId="30270306"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编列内容</w:t>
            </w:r>
          </w:p>
        </w:tc>
      </w:tr>
      <w:tr w:rsidR="00AF1936" w:rsidRPr="00AF1936" w14:paraId="7C8E8D89" w14:textId="77777777" w:rsidTr="00AE722F">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51A6F506"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2.2.1</w:t>
            </w:r>
          </w:p>
        </w:tc>
        <w:tc>
          <w:tcPr>
            <w:tcW w:w="1984" w:type="dxa"/>
            <w:tcBorders>
              <w:top w:val="outset" w:sz="6" w:space="0" w:color="auto"/>
              <w:left w:val="outset" w:sz="6" w:space="0" w:color="auto"/>
              <w:bottom w:val="outset" w:sz="6" w:space="0" w:color="auto"/>
              <w:right w:val="outset" w:sz="6" w:space="0" w:color="auto"/>
            </w:tcBorders>
            <w:vAlign w:val="center"/>
          </w:tcPr>
          <w:p w14:paraId="0D12C405"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分值构成</w:t>
            </w:r>
            <w:r w:rsidRPr="00AF1936">
              <w:rPr>
                <w:rFonts w:ascii="宋体" w:eastAsia="宋体" w:hAnsi="宋体" w:cs="Times New Roman"/>
              </w:rPr>
              <w:br/>
              <w:t>（总分100分）</w:t>
            </w:r>
          </w:p>
        </w:tc>
        <w:tc>
          <w:tcPr>
            <w:tcW w:w="5677" w:type="dxa"/>
            <w:tcBorders>
              <w:top w:val="outset" w:sz="6" w:space="0" w:color="auto"/>
              <w:left w:val="outset" w:sz="6" w:space="0" w:color="auto"/>
              <w:bottom w:val="outset" w:sz="6" w:space="0" w:color="auto"/>
              <w:right w:val="outset" w:sz="6" w:space="0" w:color="auto"/>
            </w:tcBorders>
            <w:vAlign w:val="center"/>
          </w:tcPr>
          <w:p w14:paraId="23F6A951"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商务部分：0分</w:t>
            </w:r>
          </w:p>
          <w:p w14:paraId="48CA566D"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技术部分：</w:t>
            </w:r>
            <w:r w:rsidRPr="00AF1936">
              <w:rPr>
                <w:rFonts w:ascii="宋体" w:eastAsia="宋体" w:hAnsi="宋体" w:cs="Times New Roman"/>
              </w:rPr>
              <w:t>30</w:t>
            </w:r>
            <w:r w:rsidRPr="00AF1936">
              <w:rPr>
                <w:rFonts w:ascii="宋体" w:eastAsia="宋体" w:hAnsi="宋体" w:cs="Times New Roman" w:hint="eastAsia"/>
              </w:rPr>
              <w:t>分</w:t>
            </w:r>
          </w:p>
          <w:p w14:paraId="156270D0"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Times New Roman" w:hint="eastAsia"/>
              </w:rPr>
              <w:t>投标报价：</w:t>
            </w:r>
            <w:r w:rsidRPr="00AF1936">
              <w:rPr>
                <w:rFonts w:ascii="宋体" w:eastAsia="宋体" w:hAnsi="宋体" w:cs="Times New Roman"/>
              </w:rPr>
              <w:t>7</w:t>
            </w:r>
            <w:r w:rsidRPr="00AF1936">
              <w:rPr>
                <w:rFonts w:ascii="宋体" w:eastAsia="宋体" w:hAnsi="宋体" w:cs="Times New Roman" w:hint="eastAsia"/>
              </w:rPr>
              <w:t>0分</w:t>
            </w:r>
          </w:p>
        </w:tc>
      </w:tr>
      <w:tr w:rsidR="00AF1936" w:rsidRPr="00AF1936" w14:paraId="0BC795F1" w14:textId="77777777" w:rsidTr="00AE722F">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03D8C6E5"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2.2.2</w:t>
            </w:r>
          </w:p>
        </w:tc>
        <w:tc>
          <w:tcPr>
            <w:tcW w:w="1984" w:type="dxa"/>
            <w:tcBorders>
              <w:top w:val="outset" w:sz="6" w:space="0" w:color="auto"/>
              <w:left w:val="outset" w:sz="6" w:space="0" w:color="auto"/>
              <w:bottom w:val="outset" w:sz="6" w:space="0" w:color="auto"/>
              <w:right w:val="outset" w:sz="6" w:space="0" w:color="auto"/>
            </w:tcBorders>
            <w:vAlign w:val="center"/>
          </w:tcPr>
          <w:p w14:paraId="2E52F810"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评标基准价计算方法</w:t>
            </w:r>
          </w:p>
        </w:tc>
        <w:tc>
          <w:tcPr>
            <w:tcW w:w="5677" w:type="dxa"/>
            <w:tcBorders>
              <w:top w:val="outset" w:sz="6" w:space="0" w:color="auto"/>
              <w:left w:val="outset" w:sz="6" w:space="0" w:color="auto"/>
              <w:bottom w:val="outset" w:sz="6" w:space="0" w:color="auto"/>
              <w:right w:val="outset" w:sz="6" w:space="0" w:color="auto"/>
            </w:tcBorders>
            <w:vAlign w:val="center"/>
          </w:tcPr>
          <w:p w14:paraId="4003527B" w14:textId="77777777" w:rsidR="00AF1936" w:rsidRPr="00AF1936" w:rsidRDefault="00AF1936" w:rsidP="00AF1936">
            <w:pPr>
              <w:snapToGrid w:val="0"/>
              <w:ind w:firstLineChars="100" w:firstLine="210"/>
              <w:rPr>
                <w:rFonts w:ascii="宋体" w:eastAsia="宋体" w:hAnsi="宋体" w:cs="宋体"/>
                <w:szCs w:val="21"/>
              </w:rPr>
            </w:pPr>
            <w:r w:rsidRPr="00AF1936">
              <w:rPr>
                <w:rFonts w:ascii="宋体" w:eastAsia="宋体" w:hAnsi="宋体" w:cs="宋体" w:hint="eastAsia"/>
                <w:szCs w:val="21"/>
              </w:rPr>
              <w:t>评标基准价的计算：</w:t>
            </w:r>
          </w:p>
          <w:p w14:paraId="5A801C43" w14:textId="77777777" w:rsidR="00AF1936" w:rsidRPr="00AF1936" w:rsidRDefault="00AF1936" w:rsidP="00AF1936">
            <w:pPr>
              <w:snapToGrid w:val="0"/>
              <w:ind w:firstLineChars="100" w:firstLine="210"/>
              <w:rPr>
                <w:rFonts w:ascii="宋体" w:eastAsia="宋体" w:hAnsi="宋体" w:cs="宋体"/>
                <w:szCs w:val="21"/>
              </w:rPr>
            </w:pPr>
            <w:r w:rsidRPr="00AF1936">
              <w:rPr>
                <w:rFonts w:ascii="宋体" w:eastAsia="宋体" w:hAnsi="宋体" w:cs="宋体" w:hint="eastAsia"/>
                <w:szCs w:val="21"/>
              </w:rPr>
              <w:t>（1）评标价的确定：</w:t>
            </w:r>
          </w:p>
          <w:p w14:paraId="7FC91F89" w14:textId="77777777" w:rsidR="00AF1936" w:rsidRPr="00AF1936" w:rsidRDefault="00AF1936" w:rsidP="00AF1936">
            <w:pPr>
              <w:snapToGrid w:val="0"/>
              <w:ind w:firstLineChars="100" w:firstLine="210"/>
              <w:rPr>
                <w:rFonts w:ascii="宋体" w:eastAsia="宋体" w:hAnsi="宋体" w:cs="宋体"/>
                <w:szCs w:val="21"/>
              </w:rPr>
            </w:pPr>
            <w:r w:rsidRPr="00AF1936">
              <w:rPr>
                <w:rFonts w:ascii="宋体" w:eastAsia="宋体" w:hAnsi="宋体" w:cs="宋体" w:hint="eastAsia"/>
                <w:szCs w:val="21"/>
              </w:rPr>
              <w:t>评标价=投标函文字报价</w:t>
            </w:r>
          </w:p>
          <w:p w14:paraId="61CBCBDF" w14:textId="77777777" w:rsidR="00AF1936" w:rsidRPr="00AF1936" w:rsidRDefault="00AF1936" w:rsidP="00AF1936">
            <w:pPr>
              <w:snapToGrid w:val="0"/>
              <w:ind w:firstLineChars="100" w:firstLine="210"/>
              <w:rPr>
                <w:rFonts w:ascii="宋体" w:eastAsia="宋体" w:hAnsi="宋体" w:cs="宋体"/>
                <w:szCs w:val="21"/>
              </w:rPr>
            </w:pPr>
            <w:r w:rsidRPr="00AF1936">
              <w:rPr>
                <w:rFonts w:ascii="宋体" w:eastAsia="宋体" w:hAnsi="宋体" w:cs="宋体" w:hint="eastAsia"/>
                <w:szCs w:val="21"/>
              </w:rPr>
              <w:t>（2）评标基准价的确定：</w:t>
            </w:r>
          </w:p>
          <w:p w14:paraId="625902A6" w14:textId="77777777" w:rsidR="00AF1936" w:rsidRPr="00AF1936" w:rsidRDefault="00AF1936" w:rsidP="00AF1936">
            <w:pPr>
              <w:snapToGrid w:val="0"/>
              <w:ind w:firstLineChars="100" w:firstLine="210"/>
              <w:rPr>
                <w:rFonts w:ascii="宋体" w:eastAsia="宋体" w:hAnsi="宋体" w:cs="Times New Roman"/>
              </w:rPr>
            </w:pPr>
            <w:r w:rsidRPr="00AF1936">
              <w:rPr>
                <w:rFonts w:ascii="宋体" w:eastAsia="宋体" w:hAnsi="宋体" w:cs="宋体" w:hint="eastAsia"/>
                <w:szCs w:val="21"/>
              </w:rPr>
              <w:t>通过初步评审的所有投标人的评标价中的最低评标价作为评标基准价，评标基准价四舍五入精确至个位</w:t>
            </w:r>
          </w:p>
        </w:tc>
      </w:tr>
      <w:tr w:rsidR="00AF1936" w:rsidRPr="00AF1936" w14:paraId="47E3F1F4" w14:textId="77777777" w:rsidTr="00AE722F">
        <w:trPr>
          <w:trHeight w:val="567"/>
        </w:trPr>
        <w:tc>
          <w:tcPr>
            <w:tcW w:w="1993" w:type="dxa"/>
            <w:tcBorders>
              <w:top w:val="outset" w:sz="6" w:space="0" w:color="auto"/>
              <w:left w:val="outset" w:sz="6" w:space="0" w:color="auto"/>
              <w:bottom w:val="outset" w:sz="6" w:space="0" w:color="auto"/>
              <w:right w:val="outset" w:sz="6" w:space="0" w:color="auto"/>
            </w:tcBorders>
            <w:vAlign w:val="center"/>
          </w:tcPr>
          <w:p w14:paraId="02CFE6CB"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2.2.3</w:t>
            </w:r>
          </w:p>
        </w:tc>
        <w:tc>
          <w:tcPr>
            <w:tcW w:w="1984" w:type="dxa"/>
            <w:tcBorders>
              <w:top w:val="outset" w:sz="6" w:space="0" w:color="auto"/>
              <w:left w:val="outset" w:sz="6" w:space="0" w:color="auto"/>
              <w:bottom w:val="outset" w:sz="6" w:space="0" w:color="auto"/>
              <w:right w:val="outset" w:sz="6" w:space="0" w:color="auto"/>
            </w:tcBorders>
            <w:vAlign w:val="center"/>
          </w:tcPr>
          <w:p w14:paraId="7CD59B9C"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投标报价的偏差率</w:t>
            </w:r>
          </w:p>
          <w:p w14:paraId="29BFB3C6"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计算公式</w:t>
            </w:r>
          </w:p>
        </w:tc>
        <w:tc>
          <w:tcPr>
            <w:tcW w:w="5677" w:type="dxa"/>
            <w:tcBorders>
              <w:top w:val="outset" w:sz="6" w:space="0" w:color="auto"/>
              <w:left w:val="outset" w:sz="6" w:space="0" w:color="auto"/>
              <w:bottom w:val="outset" w:sz="6" w:space="0" w:color="auto"/>
              <w:right w:val="outset" w:sz="6" w:space="0" w:color="auto"/>
            </w:tcBorders>
            <w:vAlign w:val="center"/>
          </w:tcPr>
          <w:p w14:paraId="3A608653" w14:textId="77777777" w:rsidR="00AF1936" w:rsidRPr="00AF1936" w:rsidRDefault="00AF1936" w:rsidP="00AF1936">
            <w:pPr>
              <w:snapToGrid w:val="0"/>
              <w:ind w:firstLineChars="100" w:firstLine="210"/>
              <w:rPr>
                <w:rFonts w:ascii="宋体" w:eastAsia="宋体" w:hAnsi="宋体" w:cs="Times New Roman"/>
                <w:szCs w:val="21"/>
              </w:rPr>
            </w:pPr>
            <w:r w:rsidRPr="00AF1936">
              <w:rPr>
                <w:rFonts w:ascii="宋体" w:eastAsia="宋体" w:hAnsi="宋体" w:cs="Times New Roman" w:hint="eastAsia"/>
                <w:szCs w:val="21"/>
              </w:rPr>
              <w:t>偏差率=100%×（投标人评标价-评标基准价）/评标基准价</w:t>
            </w:r>
          </w:p>
          <w:p w14:paraId="240DFE5D" w14:textId="77777777" w:rsidR="00AF1936" w:rsidRPr="00AF1936" w:rsidRDefault="00AF1936" w:rsidP="00AF1936">
            <w:pPr>
              <w:snapToGrid w:val="0"/>
              <w:ind w:firstLineChars="100" w:firstLine="210"/>
              <w:rPr>
                <w:rFonts w:ascii="宋体" w:eastAsia="宋体" w:hAnsi="宋体" w:cs="宋体"/>
                <w:szCs w:val="21"/>
              </w:rPr>
            </w:pPr>
            <w:r w:rsidRPr="00AF1936">
              <w:rPr>
                <w:rFonts w:ascii="宋体" w:eastAsia="宋体" w:hAnsi="宋体" w:cs="Times New Roman" w:hint="eastAsia"/>
                <w:szCs w:val="21"/>
              </w:rPr>
              <w:t>偏差率（以百分数形式表示）保留两位小数，如**.**%</w:t>
            </w:r>
          </w:p>
        </w:tc>
      </w:tr>
    </w:tbl>
    <w:p w14:paraId="0EC5F203" w14:textId="77777777" w:rsidR="00AF1936" w:rsidRPr="00AF1936" w:rsidRDefault="00AF1936" w:rsidP="00AF1936">
      <w:pPr>
        <w:snapToGrid w:val="0"/>
        <w:rPr>
          <w:rFonts w:ascii="宋体" w:eastAsia="宋体" w:hAnsi="宋体" w:cs="Times New Roman"/>
        </w:rPr>
      </w:pPr>
    </w:p>
    <w:tbl>
      <w:tblPr>
        <w:tblW w:w="9647"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01"/>
        <w:gridCol w:w="1292"/>
        <w:gridCol w:w="1543"/>
        <w:gridCol w:w="6111"/>
      </w:tblGrid>
      <w:tr w:rsidR="00AF1936" w:rsidRPr="00AF1936" w14:paraId="27886D2E" w14:textId="77777777" w:rsidTr="00AE722F">
        <w:trPr>
          <w:trHeight w:val="567"/>
        </w:trPr>
        <w:tc>
          <w:tcPr>
            <w:tcW w:w="1993" w:type="dxa"/>
            <w:gridSpan w:val="2"/>
            <w:tcBorders>
              <w:top w:val="outset" w:sz="6" w:space="0" w:color="auto"/>
              <w:left w:val="outset" w:sz="6" w:space="0" w:color="auto"/>
              <w:bottom w:val="outset" w:sz="6" w:space="0" w:color="auto"/>
              <w:right w:val="outset" w:sz="6" w:space="0" w:color="auto"/>
            </w:tcBorders>
            <w:vAlign w:val="center"/>
          </w:tcPr>
          <w:p w14:paraId="5AE224CB"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条款号</w:t>
            </w:r>
          </w:p>
        </w:tc>
        <w:tc>
          <w:tcPr>
            <w:tcW w:w="1543" w:type="dxa"/>
            <w:tcBorders>
              <w:top w:val="outset" w:sz="6" w:space="0" w:color="auto"/>
              <w:left w:val="outset" w:sz="6" w:space="0" w:color="auto"/>
              <w:bottom w:val="outset" w:sz="6" w:space="0" w:color="auto"/>
              <w:right w:val="outset" w:sz="6" w:space="0" w:color="auto"/>
            </w:tcBorders>
            <w:vAlign w:val="center"/>
          </w:tcPr>
          <w:p w14:paraId="30AA796E"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rPr>
              <w:t>评分因素</w:t>
            </w:r>
          </w:p>
        </w:tc>
        <w:tc>
          <w:tcPr>
            <w:tcW w:w="6111" w:type="dxa"/>
            <w:tcBorders>
              <w:top w:val="outset" w:sz="6" w:space="0" w:color="auto"/>
              <w:left w:val="outset" w:sz="6" w:space="0" w:color="auto"/>
              <w:bottom w:val="outset" w:sz="6" w:space="0" w:color="auto"/>
              <w:right w:val="outset" w:sz="6" w:space="0" w:color="auto"/>
            </w:tcBorders>
            <w:vAlign w:val="center"/>
          </w:tcPr>
          <w:p w14:paraId="17014A34" w14:textId="77777777" w:rsidR="00AF1936" w:rsidRPr="00AF1936" w:rsidRDefault="00AF1936" w:rsidP="00AF1936">
            <w:pPr>
              <w:snapToGrid w:val="0"/>
              <w:ind w:firstLineChars="100" w:firstLine="210"/>
              <w:jc w:val="center"/>
              <w:rPr>
                <w:rFonts w:ascii="宋体" w:eastAsia="宋体" w:hAnsi="宋体" w:cs="Times New Roman"/>
              </w:rPr>
            </w:pPr>
            <w:r w:rsidRPr="00AF1936">
              <w:rPr>
                <w:rFonts w:ascii="宋体" w:eastAsia="宋体" w:hAnsi="宋体" w:cs="Times New Roman"/>
              </w:rPr>
              <w:t>评分标准</w:t>
            </w:r>
          </w:p>
        </w:tc>
      </w:tr>
      <w:tr w:rsidR="00AF1936" w:rsidRPr="00AF1936" w14:paraId="11A1E92C" w14:textId="77777777" w:rsidTr="00AE722F">
        <w:trPr>
          <w:trHeight w:val="567"/>
        </w:trPr>
        <w:tc>
          <w:tcPr>
            <w:tcW w:w="701" w:type="dxa"/>
            <w:tcBorders>
              <w:top w:val="outset" w:sz="6" w:space="0" w:color="auto"/>
              <w:left w:val="outset" w:sz="6" w:space="0" w:color="auto"/>
              <w:bottom w:val="outset" w:sz="6" w:space="0" w:color="auto"/>
              <w:right w:val="outset" w:sz="6" w:space="0" w:color="auto"/>
            </w:tcBorders>
            <w:vAlign w:val="center"/>
          </w:tcPr>
          <w:p w14:paraId="37D151B5"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2.2.4（</w:t>
            </w:r>
            <w:r w:rsidRPr="00AF1936">
              <w:rPr>
                <w:rFonts w:ascii="宋体" w:eastAsia="宋体" w:hAnsi="宋体" w:cs="宋体"/>
                <w:szCs w:val="21"/>
              </w:rPr>
              <w:t>1</w:t>
            </w:r>
            <w:r w:rsidRPr="00AF1936">
              <w:rPr>
                <w:rFonts w:ascii="宋体" w:eastAsia="宋体" w:hAnsi="宋体" w:cs="宋体" w:hint="eastAsia"/>
                <w:szCs w:val="21"/>
              </w:rPr>
              <w:t>）</w:t>
            </w:r>
          </w:p>
        </w:tc>
        <w:tc>
          <w:tcPr>
            <w:tcW w:w="1292" w:type="dxa"/>
            <w:tcBorders>
              <w:top w:val="outset" w:sz="6" w:space="0" w:color="auto"/>
              <w:left w:val="outset" w:sz="6" w:space="0" w:color="auto"/>
              <w:bottom w:val="outset" w:sz="6" w:space="0" w:color="auto"/>
              <w:right w:val="outset" w:sz="6" w:space="0" w:color="auto"/>
            </w:tcBorders>
            <w:vAlign w:val="center"/>
          </w:tcPr>
          <w:p w14:paraId="743857FB"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商务</w:t>
            </w:r>
          </w:p>
          <w:p w14:paraId="3094201C"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评分标准</w:t>
            </w:r>
          </w:p>
          <w:p w14:paraId="3DA0A99D"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w:t>
            </w:r>
            <w:r w:rsidRPr="00AF1936">
              <w:rPr>
                <w:rFonts w:ascii="宋体" w:eastAsia="宋体" w:hAnsi="宋体" w:cs="宋体"/>
                <w:b/>
                <w:bCs/>
                <w:szCs w:val="21"/>
              </w:rPr>
              <w:t>0</w:t>
            </w:r>
            <w:r w:rsidRPr="00AF1936">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5797C4E6"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hint="eastAsia"/>
              </w:rPr>
              <w:t>-</w:t>
            </w:r>
          </w:p>
        </w:tc>
        <w:tc>
          <w:tcPr>
            <w:tcW w:w="6111" w:type="dxa"/>
            <w:tcBorders>
              <w:top w:val="outset" w:sz="6" w:space="0" w:color="auto"/>
              <w:left w:val="outset" w:sz="6" w:space="0" w:color="auto"/>
              <w:bottom w:val="outset" w:sz="6" w:space="0" w:color="auto"/>
              <w:right w:val="outset" w:sz="6" w:space="0" w:color="auto"/>
            </w:tcBorders>
            <w:vAlign w:val="center"/>
          </w:tcPr>
          <w:p w14:paraId="746995BA" w14:textId="77777777" w:rsidR="00AF1936" w:rsidRPr="00AF1936" w:rsidRDefault="00AF1936" w:rsidP="00AF1936">
            <w:pPr>
              <w:tabs>
                <w:tab w:val="right" w:pos="1838"/>
              </w:tabs>
              <w:snapToGrid w:val="0"/>
              <w:ind w:firstLineChars="100" w:firstLine="210"/>
              <w:rPr>
                <w:rFonts w:ascii="宋体" w:eastAsia="宋体" w:hAnsi="Calibri" w:cs="Times New Roman"/>
              </w:rPr>
            </w:pPr>
            <w:r w:rsidRPr="00AF1936">
              <w:rPr>
                <w:rFonts w:ascii="宋体" w:eastAsia="宋体" w:hAnsi="Calibri" w:cs="Times New Roman" w:hint="eastAsia"/>
              </w:rPr>
              <w:t>-</w:t>
            </w:r>
          </w:p>
        </w:tc>
      </w:tr>
      <w:tr w:rsidR="00AF1936" w:rsidRPr="00AF1936" w14:paraId="22330931" w14:textId="77777777" w:rsidTr="00AE722F">
        <w:trPr>
          <w:trHeight w:val="567"/>
        </w:trPr>
        <w:tc>
          <w:tcPr>
            <w:tcW w:w="701" w:type="dxa"/>
            <w:tcBorders>
              <w:top w:val="outset" w:sz="6" w:space="0" w:color="auto"/>
              <w:left w:val="outset" w:sz="6" w:space="0" w:color="auto"/>
              <w:bottom w:val="outset" w:sz="6" w:space="0" w:color="auto"/>
              <w:right w:val="outset" w:sz="6" w:space="0" w:color="auto"/>
            </w:tcBorders>
            <w:vAlign w:val="center"/>
          </w:tcPr>
          <w:p w14:paraId="0B7B0658"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2.2.4（2）</w:t>
            </w:r>
          </w:p>
        </w:tc>
        <w:tc>
          <w:tcPr>
            <w:tcW w:w="1292" w:type="dxa"/>
            <w:tcBorders>
              <w:top w:val="outset" w:sz="6" w:space="0" w:color="auto"/>
              <w:left w:val="outset" w:sz="6" w:space="0" w:color="auto"/>
              <w:bottom w:val="outset" w:sz="6" w:space="0" w:color="auto"/>
              <w:right w:val="outset" w:sz="6" w:space="0" w:color="auto"/>
            </w:tcBorders>
            <w:vAlign w:val="center"/>
          </w:tcPr>
          <w:p w14:paraId="09AF0AC8"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技术</w:t>
            </w:r>
          </w:p>
          <w:p w14:paraId="1B3D3F99"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评分标准</w:t>
            </w:r>
          </w:p>
          <w:p w14:paraId="17BD991E"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w:t>
            </w:r>
            <w:r w:rsidRPr="00AF1936">
              <w:rPr>
                <w:rFonts w:ascii="宋体" w:eastAsia="宋体" w:hAnsi="宋体" w:cs="宋体"/>
                <w:b/>
                <w:bCs/>
                <w:szCs w:val="21"/>
              </w:rPr>
              <w:t>30</w:t>
            </w:r>
            <w:r w:rsidRPr="00AF1936">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5FA7C0C7"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hint="eastAsia"/>
              </w:rPr>
              <w:t>投标设备技术</w:t>
            </w:r>
          </w:p>
          <w:p w14:paraId="419B8AEE"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hint="eastAsia"/>
              </w:rPr>
              <w:t>性能指标的</w:t>
            </w:r>
          </w:p>
          <w:p w14:paraId="072D90E0"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hint="eastAsia"/>
              </w:rPr>
              <w:t>响应程度</w:t>
            </w:r>
          </w:p>
          <w:p w14:paraId="7A1B8EA1"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Times New Roman" w:hint="eastAsia"/>
              </w:rPr>
              <w:t>（</w:t>
            </w:r>
            <w:r w:rsidRPr="00AF1936">
              <w:rPr>
                <w:rFonts w:ascii="宋体" w:eastAsia="宋体" w:hAnsi="宋体" w:cs="Times New Roman"/>
                <w:b/>
                <w:bCs/>
              </w:rPr>
              <w:t>3</w:t>
            </w:r>
            <w:r w:rsidRPr="00AF1936">
              <w:rPr>
                <w:rFonts w:ascii="宋体" w:eastAsia="宋体" w:hAnsi="宋体" w:cs="Times New Roman" w:hint="eastAsia"/>
                <w:b/>
                <w:bCs/>
              </w:rPr>
              <w:t>0</w:t>
            </w:r>
            <w:r w:rsidRPr="00AF1936">
              <w:rPr>
                <w:rFonts w:ascii="宋体" w:eastAsia="宋体" w:hAnsi="宋体" w:cs="Times New Roman" w:hint="eastAsia"/>
              </w:rPr>
              <w:t>分）</w:t>
            </w:r>
          </w:p>
        </w:tc>
        <w:tc>
          <w:tcPr>
            <w:tcW w:w="6111" w:type="dxa"/>
            <w:tcBorders>
              <w:top w:val="outset" w:sz="6" w:space="0" w:color="auto"/>
              <w:left w:val="outset" w:sz="6" w:space="0" w:color="auto"/>
              <w:bottom w:val="outset" w:sz="6" w:space="0" w:color="auto"/>
              <w:right w:val="outset" w:sz="6" w:space="0" w:color="auto"/>
            </w:tcBorders>
            <w:vAlign w:val="center"/>
          </w:tcPr>
          <w:p w14:paraId="0E3BAB9B" w14:textId="77777777" w:rsidR="00AF1936" w:rsidRPr="00AF1936" w:rsidRDefault="00AF1936" w:rsidP="00AF1936">
            <w:pPr>
              <w:tabs>
                <w:tab w:val="right" w:pos="1838"/>
              </w:tabs>
              <w:snapToGrid w:val="0"/>
              <w:ind w:firstLineChars="100" w:firstLine="210"/>
              <w:rPr>
                <w:rFonts w:ascii="宋体" w:eastAsia="宋体" w:hAnsi="宋体" w:cs="Times New Roman"/>
              </w:rPr>
            </w:pPr>
            <w:r w:rsidRPr="00AF1936">
              <w:rPr>
                <w:rFonts w:ascii="宋体" w:eastAsia="宋体" w:hAnsi="Calibri" w:cs="Times New Roman" w:hint="eastAsia"/>
              </w:rPr>
              <w:t>综合比较投标人的配套能力、售后服务承诺（包括质保期、故障处理时限等）、投标设备的合理容量冗余、安全性能、自动化程度、与原设备的连接方案、输送装置配置等整体质量、成熟应用等情况，优良</w:t>
            </w:r>
            <w:r w:rsidRPr="00AF1936">
              <w:rPr>
                <w:rFonts w:ascii="宋体" w:eastAsia="宋体" w:hAnsi="Calibri" w:cs="Times New Roman"/>
              </w:rPr>
              <w:t>24</w:t>
            </w:r>
            <w:r w:rsidRPr="00AF1936">
              <w:rPr>
                <w:rFonts w:ascii="宋体" w:eastAsia="宋体" w:hAnsi="Calibri" w:cs="Times New Roman" w:hint="eastAsia"/>
              </w:rPr>
              <w:t>～</w:t>
            </w:r>
            <w:r w:rsidRPr="00AF1936">
              <w:rPr>
                <w:rFonts w:ascii="宋体" w:eastAsia="宋体" w:hAnsi="Calibri" w:cs="Times New Roman"/>
              </w:rPr>
              <w:t>30</w:t>
            </w:r>
            <w:r w:rsidRPr="00AF1936">
              <w:rPr>
                <w:rFonts w:ascii="宋体" w:eastAsia="宋体" w:hAnsi="Calibri" w:cs="Times New Roman" w:hint="eastAsia"/>
              </w:rPr>
              <w:t>分；一般</w:t>
            </w:r>
            <w:r w:rsidRPr="00AF1936">
              <w:rPr>
                <w:rFonts w:ascii="宋体" w:eastAsia="宋体" w:hAnsi="Calibri" w:cs="Times New Roman"/>
              </w:rPr>
              <w:t>18</w:t>
            </w:r>
            <w:r w:rsidRPr="00AF1936">
              <w:rPr>
                <w:rFonts w:ascii="宋体" w:eastAsia="宋体" w:hAnsi="Calibri" w:cs="Times New Roman" w:hint="eastAsia"/>
              </w:rPr>
              <w:t>～</w:t>
            </w:r>
            <w:r w:rsidRPr="00AF1936">
              <w:rPr>
                <w:rFonts w:ascii="宋体" w:eastAsia="宋体" w:hAnsi="Calibri" w:cs="Times New Roman"/>
              </w:rPr>
              <w:t>24</w:t>
            </w:r>
            <w:r w:rsidRPr="00AF1936">
              <w:rPr>
                <w:rFonts w:ascii="宋体" w:eastAsia="宋体" w:hAnsi="Calibri" w:cs="Times New Roman" w:hint="eastAsia"/>
              </w:rPr>
              <w:t>分</w:t>
            </w:r>
          </w:p>
        </w:tc>
      </w:tr>
      <w:tr w:rsidR="00AF1936" w:rsidRPr="00AF1936" w14:paraId="5BCF9413" w14:textId="77777777" w:rsidTr="00AE722F">
        <w:trPr>
          <w:trHeight w:val="567"/>
        </w:trPr>
        <w:tc>
          <w:tcPr>
            <w:tcW w:w="701" w:type="dxa"/>
            <w:tcBorders>
              <w:top w:val="outset" w:sz="6" w:space="0" w:color="auto"/>
              <w:left w:val="outset" w:sz="6" w:space="0" w:color="auto"/>
              <w:bottom w:val="outset" w:sz="6" w:space="0" w:color="auto"/>
              <w:right w:val="outset" w:sz="6" w:space="0" w:color="auto"/>
            </w:tcBorders>
            <w:vAlign w:val="center"/>
          </w:tcPr>
          <w:p w14:paraId="1AF452E7" w14:textId="77777777" w:rsidR="00AF1936" w:rsidRPr="00AF1936" w:rsidRDefault="00AF1936" w:rsidP="00AF1936">
            <w:pPr>
              <w:snapToGrid w:val="0"/>
              <w:rPr>
                <w:rFonts w:ascii="宋体" w:eastAsia="宋体" w:hAnsi="宋体" w:cs="Times New Roman"/>
              </w:rPr>
            </w:pPr>
            <w:r w:rsidRPr="00AF1936">
              <w:rPr>
                <w:rFonts w:ascii="宋体" w:eastAsia="宋体" w:hAnsi="宋体" w:cs="宋体" w:hint="eastAsia"/>
                <w:szCs w:val="21"/>
              </w:rPr>
              <w:t>2.2.4（3）</w:t>
            </w:r>
          </w:p>
        </w:tc>
        <w:tc>
          <w:tcPr>
            <w:tcW w:w="1292" w:type="dxa"/>
            <w:tcBorders>
              <w:top w:val="outset" w:sz="6" w:space="0" w:color="auto"/>
              <w:left w:val="outset" w:sz="6" w:space="0" w:color="auto"/>
              <w:bottom w:val="outset" w:sz="6" w:space="0" w:color="auto"/>
              <w:right w:val="outset" w:sz="6" w:space="0" w:color="auto"/>
            </w:tcBorders>
            <w:vAlign w:val="center"/>
          </w:tcPr>
          <w:p w14:paraId="2A1D20F1"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投标</w:t>
            </w:r>
            <w:r w:rsidRPr="00AF1936">
              <w:rPr>
                <w:rFonts w:ascii="宋体" w:eastAsia="宋体" w:hAnsi="宋体" w:cs="Times New Roman" w:hint="eastAsia"/>
              </w:rPr>
              <w:t>报价</w:t>
            </w:r>
          </w:p>
          <w:p w14:paraId="3A8579CB"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szCs w:val="21"/>
              </w:rPr>
              <w:t>评分标准</w:t>
            </w:r>
          </w:p>
          <w:p w14:paraId="2D9E3C16" w14:textId="77777777" w:rsidR="00AF1936" w:rsidRPr="00AF1936" w:rsidRDefault="00AF1936" w:rsidP="00AF1936">
            <w:pPr>
              <w:snapToGrid w:val="0"/>
              <w:jc w:val="center"/>
              <w:rPr>
                <w:rFonts w:ascii="宋体" w:eastAsia="宋体" w:hAnsi="宋体" w:cs="Times New Roman"/>
              </w:rPr>
            </w:pPr>
            <w:r w:rsidRPr="00AF1936">
              <w:rPr>
                <w:rFonts w:ascii="宋体" w:eastAsia="宋体" w:hAnsi="宋体" w:cs="宋体" w:hint="eastAsia"/>
                <w:szCs w:val="21"/>
              </w:rPr>
              <w:t>（</w:t>
            </w:r>
            <w:r w:rsidRPr="00AF1936">
              <w:rPr>
                <w:rFonts w:ascii="宋体" w:eastAsia="宋体" w:hAnsi="宋体" w:cs="宋体"/>
                <w:b/>
                <w:bCs/>
                <w:szCs w:val="21"/>
              </w:rPr>
              <w:t>7</w:t>
            </w:r>
            <w:r w:rsidRPr="00AF1936">
              <w:rPr>
                <w:rFonts w:ascii="宋体" w:eastAsia="宋体" w:hAnsi="宋体" w:cs="宋体" w:hint="eastAsia"/>
                <w:b/>
                <w:bCs/>
                <w:szCs w:val="21"/>
              </w:rPr>
              <w:t>0</w:t>
            </w:r>
            <w:r w:rsidRPr="00AF1936">
              <w:rPr>
                <w:rFonts w:ascii="宋体" w:eastAsia="宋体" w:hAnsi="宋体" w:cs="宋体" w:hint="eastAsia"/>
                <w:szCs w:val="21"/>
              </w:rPr>
              <w:t>分）</w:t>
            </w:r>
          </w:p>
        </w:tc>
        <w:tc>
          <w:tcPr>
            <w:tcW w:w="1543" w:type="dxa"/>
            <w:tcBorders>
              <w:top w:val="outset" w:sz="6" w:space="0" w:color="auto"/>
              <w:left w:val="outset" w:sz="6" w:space="0" w:color="auto"/>
              <w:bottom w:val="outset" w:sz="6" w:space="0" w:color="auto"/>
              <w:right w:val="outset" w:sz="6" w:space="0" w:color="auto"/>
            </w:tcBorders>
            <w:vAlign w:val="center"/>
          </w:tcPr>
          <w:p w14:paraId="2A73DB94" w14:textId="77777777" w:rsidR="00AF1936" w:rsidRPr="00AF1936" w:rsidRDefault="00AF1936" w:rsidP="00AF1936">
            <w:pPr>
              <w:snapToGrid w:val="0"/>
              <w:jc w:val="center"/>
              <w:rPr>
                <w:rFonts w:ascii="宋体" w:eastAsia="宋体" w:hAnsi="宋体" w:cs="宋体"/>
                <w:kern w:val="0"/>
                <w:szCs w:val="21"/>
              </w:rPr>
            </w:pPr>
            <w:r w:rsidRPr="00AF1936">
              <w:rPr>
                <w:rFonts w:ascii="宋体" w:eastAsia="宋体" w:hAnsi="宋体" w:cs="宋体" w:hint="eastAsia"/>
                <w:kern w:val="0"/>
                <w:szCs w:val="21"/>
              </w:rPr>
              <w:t>投标报价</w:t>
            </w:r>
          </w:p>
          <w:p w14:paraId="39BB9076" w14:textId="77777777" w:rsidR="00AF1936" w:rsidRPr="00AF1936" w:rsidRDefault="00AF1936" w:rsidP="00AF1936">
            <w:pPr>
              <w:snapToGrid w:val="0"/>
              <w:jc w:val="center"/>
              <w:rPr>
                <w:rFonts w:ascii="宋体" w:eastAsia="宋体" w:hAnsi="宋体" w:cs="宋体"/>
                <w:szCs w:val="21"/>
              </w:rPr>
            </w:pPr>
            <w:r w:rsidRPr="00AF1936">
              <w:rPr>
                <w:rFonts w:ascii="宋体" w:eastAsia="宋体" w:hAnsi="宋体" w:cs="宋体" w:hint="eastAsia"/>
                <w:kern w:val="0"/>
                <w:szCs w:val="21"/>
              </w:rPr>
              <w:t>（</w:t>
            </w:r>
            <w:r w:rsidRPr="00AF1936">
              <w:rPr>
                <w:rFonts w:ascii="宋体" w:eastAsia="宋体" w:hAnsi="宋体" w:cs="宋体"/>
                <w:b/>
                <w:bCs/>
                <w:kern w:val="0"/>
                <w:szCs w:val="21"/>
              </w:rPr>
              <w:t>7</w:t>
            </w:r>
            <w:r w:rsidRPr="00AF1936">
              <w:rPr>
                <w:rFonts w:ascii="宋体" w:eastAsia="宋体" w:hAnsi="宋体" w:cs="宋体" w:hint="eastAsia"/>
                <w:b/>
                <w:bCs/>
                <w:kern w:val="0"/>
                <w:szCs w:val="21"/>
              </w:rPr>
              <w:t>0</w:t>
            </w:r>
            <w:r w:rsidRPr="00AF1936">
              <w:rPr>
                <w:rFonts w:ascii="宋体" w:eastAsia="宋体" w:hAnsi="宋体" w:cs="宋体" w:hint="eastAsia"/>
                <w:kern w:val="0"/>
                <w:szCs w:val="21"/>
              </w:rPr>
              <w:t>分）</w:t>
            </w:r>
          </w:p>
        </w:tc>
        <w:tc>
          <w:tcPr>
            <w:tcW w:w="6111" w:type="dxa"/>
            <w:tcBorders>
              <w:top w:val="outset" w:sz="6" w:space="0" w:color="auto"/>
              <w:left w:val="outset" w:sz="6" w:space="0" w:color="auto"/>
              <w:bottom w:val="outset" w:sz="6" w:space="0" w:color="auto"/>
              <w:right w:val="outset" w:sz="6" w:space="0" w:color="auto"/>
            </w:tcBorders>
            <w:vAlign w:val="center"/>
          </w:tcPr>
          <w:p w14:paraId="6BA1D495" w14:textId="77777777" w:rsidR="00AF1936" w:rsidRPr="00AF1936" w:rsidRDefault="00AF1936" w:rsidP="00AF1936">
            <w:pPr>
              <w:snapToGrid w:val="0"/>
              <w:ind w:firstLineChars="100" w:firstLine="210"/>
              <w:rPr>
                <w:rFonts w:ascii="宋体" w:eastAsia="宋体" w:hAnsi="宋体" w:cs="宋体"/>
                <w:szCs w:val="21"/>
              </w:rPr>
            </w:pPr>
            <w:r w:rsidRPr="00AF1936">
              <w:rPr>
                <w:rFonts w:ascii="宋体" w:eastAsia="宋体" w:hAnsi="宋体" w:cs="宋体" w:hint="eastAsia"/>
                <w:szCs w:val="21"/>
              </w:rPr>
              <w:t>评标价得分=</w:t>
            </w:r>
            <w:r w:rsidRPr="00AF1936">
              <w:rPr>
                <w:rFonts w:ascii="宋体" w:eastAsia="宋体" w:hAnsi="宋体" w:cs="宋体"/>
                <w:szCs w:val="21"/>
              </w:rPr>
              <w:t>7</w:t>
            </w:r>
            <w:r w:rsidRPr="00AF1936">
              <w:rPr>
                <w:rFonts w:ascii="宋体" w:eastAsia="宋体" w:hAnsi="宋体" w:cs="宋体" w:hint="eastAsia"/>
                <w:szCs w:val="21"/>
              </w:rPr>
              <w:t>0-偏差率×100×</w:t>
            </w:r>
            <w:r w:rsidRPr="00AF1936">
              <w:rPr>
                <w:rFonts w:ascii="宋体" w:eastAsia="宋体" w:hAnsi="宋体" w:cs="宋体" w:hint="eastAsia"/>
                <w:b/>
                <w:bCs/>
                <w:szCs w:val="21"/>
              </w:rPr>
              <w:t>0.</w:t>
            </w:r>
            <w:r w:rsidRPr="00AF1936">
              <w:rPr>
                <w:rFonts w:ascii="宋体" w:eastAsia="宋体" w:hAnsi="宋体" w:cs="宋体"/>
                <w:b/>
                <w:bCs/>
                <w:szCs w:val="21"/>
              </w:rPr>
              <w:t>5</w:t>
            </w:r>
          </w:p>
          <w:p w14:paraId="3A65508A" w14:textId="77777777" w:rsidR="00AF1936" w:rsidRPr="00AF1936" w:rsidRDefault="00AF1936" w:rsidP="00AF1936">
            <w:pPr>
              <w:snapToGrid w:val="0"/>
              <w:ind w:firstLineChars="100" w:firstLine="210"/>
              <w:rPr>
                <w:rFonts w:ascii="宋体" w:eastAsia="宋体" w:hAnsi="宋体" w:cs="宋体"/>
                <w:szCs w:val="21"/>
              </w:rPr>
            </w:pPr>
            <w:r w:rsidRPr="00AF1936">
              <w:rPr>
                <w:rFonts w:ascii="宋体" w:eastAsia="宋体" w:hAnsi="宋体" w:cs="宋体" w:hint="eastAsia"/>
                <w:szCs w:val="21"/>
              </w:rPr>
              <w:t>注：评标价得分最低得0分</w:t>
            </w:r>
          </w:p>
        </w:tc>
      </w:tr>
    </w:tbl>
    <w:p w14:paraId="457083DB" w14:textId="38061B52" w:rsidR="00AF1936" w:rsidRPr="00AF1936" w:rsidRDefault="00AF1936" w:rsidP="00AF1936">
      <w:pPr>
        <w:keepNext/>
        <w:keepLines/>
        <w:snapToGrid w:val="0"/>
        <w:outlineLvl w:val="3"/>
        <w:rPr>
          <w:rFonts w:ascii="黑体" w:eastAsia="黑体" w:hAnsi="黑体" w:cs="Times New Roman"/>
          <w:sz w:val="24"/>
          <w:szCs w:val="24"/>
        </w:rPr>
      </w:pPr>
      <w:r w:rsidRPr="00AF1936">
        <w:rPr>
          <w:rFonts w:ascii="黑体" w:eastAsia="黑体" w:hAnsi="黑体" w:cs="Times New Roman"/>
          <w:sz w:val="24"/>
          <w:szCs w:val="24"/>
        </w:rPr>
        <w:t>1</w:t>
      </w:r>
      <w:r w:rsidRPr="00AF1936">
        <w:rPr>
          <w:rFonts w:ascii="黑体" w:eastAsia="黑体" w:hAnsi="黑体" w:cs="Times New Roman" w:hint="eastAsia"/>
          <w:sz w:val="24"/>
          <w:szCs w:val="24"/>
        </w:rPr>
        <w:t>.</w:t>
      </w:r>
      <w:r w:rsidRPr="00AF1936">
        <w:rPr>
          <w:rFonts w:ascii="黑体" w:eastAsia="黑体" w:hAnsi="黑体" w:cs="Times New Roman"/>
          <w:sz w:val="24"/>
          <w:szCs w:val="24"/>
        </w:rPr>
        <w:t xml:space="preserve"> </w:t>
      </w:r>
      <w:r w:rsidRPr="00AF1936">
        <w:rPr>
          <w:rFonts w:ascii="黑体" w:eastAsia="黑体" w:hAnsi="黑体" w:cs="Times New Roman" w:hint="eastAsia"/>
          <w:sz w:val="24"/>
          <w:szCs w:val="24"/>
        </w:rPr>
        <w:t>评标方法</w:t>
      </w:r>
      <w:bookmarkEnd w:id="3"/>
    </w:p>
    <w:p w14:paraId="087F3211"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12B070EC" w14:textId="77777777" w:rsidR="00AF1936" w:rsidRPr="00AF1936" w:rsidRDefault="00AF1936" w:rsidP="00AF1936">
      <w:pPr>
        <w:keepNext/>
        <w:keepLines/>
        <w:snapToGrid w:val="0"/>
        <w:outlineLvl w:val="3"/>
        <w:rPr>
          <w:rFonts w:ascii="黑体" w:eastAsia="黑体" w:hAnsi="黑体" w:cs="Times New Roman"/>
          <w:sz w:val="24"/>
          <w:szCs w:val="24"/>
        </w:rPr>
      </w:pPr>
      <w:bookmarkStart w:id="4" w:name="_Toc184635094"/>
      <w:r w:rsidRPr="00AF1936">
        <w:rPr>
          <w:rFonts w:ascii="黑体" w:eastAsia="黑体" w:hAnsi="黑体" w:cs="Times New Roman"/>
          <w:sz w:val="24"/>
          <w:szCs w:val="24"/>
        </w:rPr>
        <w:t>2</w:t>
      </w:r>
      <w:r w:rsidRPr="00AF1936">
        <w:rPr>
          <w:rFonts w:ascii="黑体" w:eastAsia="黑体" w:hAnsi="黑体" w:cs="Times New Roman" w:hint="eastAsia"/>
          <w:sz w:val="24"/>
          <w:szCs w:val="24"/>
        </w:rPr>
        <w:t>.</w:t>
      </w:r>
      <w:r w:rsidRPr="00AF1936">
        <w:rPr>
          <w:rFonts w:ascii="黑体" w:eastAsia="黑体" w:hAnsi="黑体" w:cs="Times New Roman"/>
          <w:sz w:val="24"/>
          <w:szCs w:val="24"/>
        </w:rPr>
        <w:t xml:space="preserve"> </w:t>
      </w:r>
      <w:r w:rsidRPr="00AF1936">
        <w:rPr>
          <w:rFonts w:ascii="黑体" w:eastAsia="黑体" w:hAnsi="黑体" w:cs="Times New Roman" w:hint="eastAsia"/>
          <w:sz w:val="24"/>
          <w:szCs w:val="24"/>
        </w:rPr>
        <w:t>评审标准</w:t>
      </w:r>
      <w:bookmarkEnd w:id="4"/>
    </w:p>
    <w:p w14:paraId="15E8D0CC" w14:textId="77777777" w:rsidR="00AF1936" w:rsidRPr="00AF1936" w:rsidRDefault="00AF1936" w:rsidP="00AF1936">
      <w:pPr>
        <w:keepNext/>
        <w:keepLines/>
        <w:snapToGrid w:val="0"/>
        <w:outlineLvl w:val="3"/>
        <w:rPr>
          <w:rFonts w:ascii="黑体" w:eastAsia="黑体" w:hAnsi="黑体" w:cs="Times New Roman"/>
          <w:szCs w:val="21"/>
        </w:rPr>
      </w:pPr>
      <w:r w:rsidRPr="00AF1936">
        <w:rPr>
          <w:rFonts w:ascii="黑体" w:eastAsia="黑体" w:hAnsi="黑体" w:cs="Times New Roman"/>
          <w:szCs w:val="21"/>
        </w:rPr>
        <w:t xml:space="preserve">2.1 </w:t>
      </w:r>
      <w:r w:rsidRPr="00AF1936">
        <w:rPr>
          <w:rFonts w:ascii="黑体" w:eastAsia="黑体" w:hAnsi="黑体" w:cs="Times New Roman" w:hint="eastAsia"/>
          <w:szCs w:val="21"/>
        </w:rPr>
        <w:t>初步评审标准</w:t>
      </w:r>
    </w:p>
    <w:p w14:paraId="1F9EEB64"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2.1.1 形式评审标准：见评标办法前附表。</w:t>
      </w:r>
    </w:p>
    <w:p w14:paraId="2EB92788"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2.1.2 资格评审标准：见评标办法前附表。</w:t>
      </w:r>
    </w:p>
    <w:p w14:paraId="102E5BD5"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2.1.3 响应性评审标准：见评标办法前附表。</w:t>
      </w:r>
    </w:p>
    <w:p w14:paraId="5D85C289" w14:textId="77777777" w:rsidR="00AF1936" w:rsidRPr="00AF1936" w:rsidRDefault="00AF1936" w:rsidP="00AF1936">
      <w:pPr>
        <w:keepNext/>
        <w:keepLines/>
        <w:snapToGrid w:val="0"/>
        <w:outlineLvl w:val="3"/>
        <w:rPr>
          <w:rFonts w:ascii="黑体" w:eastAsia="黑体" w:hAnsi="黑体" w:cs="Times New Roman"/>
          <w:szCs w:val="21"/>
        </w:rPr>
      </w:pPr>
      <w:r w:rsidRPr="00AF1936">
        <w:rPr>
          <w:rFonts w:ascii="黑体" w:eastAsia="黑体" w:hAnsi="黑体" w:cs="Times New Roman"/>
          <w:szCs w:val="21"/>
        </w:rPr>
        <w:t xml:space="preserve">2.2 </w:t>
      </w:r>
      <w:r w:rsidRPr="00AF1936">
        <w:rPr>
          <w:rFonts w:ascii="黑体" w:eastAsia="黑体" w:hAnsi="黑体" w:cs="Times New Roman" w:hint="eastAsia"/>
          <w:szCs w:val="21"/>
        </w:rPr>
        <w:t>分值构成与评分标准</w:t>
      </w:r>
    </w:p>
    <w:p w14:paraId="6F84D889"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2.2.1 分值构成</w:t>
      </w:r>
    </w:p>
    <w:p w14:paraId="5673E6A5"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（l）商务部分：见评标办法前附表；</w:t>
      </w:r>
    </w:p>
    <w:p w14:paraId="376430EB"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（2）技术部分：见评标办法前附表；</w:t>
      </w:r>
    </w:p>
    <w:p w14:paraId="19B56D35"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（3）投标报价：见评标办法前附表；</w:t>
      </w:r>
    </w:p>
    <w:p w14:paraId="602B48D1"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（4）其他评分因素：见评标办法前附表。</w:t>
      </w:r>
    </w:p>
    <w:p w14:paraId="77956D76"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2.2.2 评标基准价计算</w:t>
      </w:r>
    </w:p>
    <w:p w14:paraId="3A954B84"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评标基准价计算方法：见评标办法前附表。</w:t>
      </w:r>
    </w:p>
    <w:p w14:paraId="0C7EE657"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2.2.3 投标报价的偏差率计算</w:t>
      </w:r>
    </w:p>
    <w:p w14:paraId="7B5753D8"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投标报价的偏差率计算公式：见评标办法前附表。</w:t>
      </w:r>
    </w:p>
    <w:p w14:paraId="6038872B"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2.2.4 评分标准</w:t>
      </w:r>
    </w:p>
    <w:p w14:paraId="73A666A4"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（1）商务评分标准：见评标办法前附表；</w:t>
      </w:r>
    </w:p>
    <w:p w14:paraId="51BCA29B"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（2）技术评分标准：见评标办法前附表；</w:t>
      </w:r>
    </w:p>
    <w:p w14:paraId="4CB6E60E"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（3）投标报价评分标准：见评标办法前附表；</w:t>
      </w:r>
    </w:p>
    <w:p w14:paraId="1FA48772"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（4）其他因素评分标准：见评标办法前附表。</w:t>
      </w:r>
    </w:p>
    <w:p w14:paraId="05ECEA86" w14:textId="77777777" w:rsidR="00AF1936" w:rsidRPr="00AF1936" w:rsidRDefault="00AF1936" w:rsidP="00AF1936">
      <w:pPr>
        <w:keepNext/>
        <w:keepLines/>
        <w:snapToGrid w:val="0"/>
        <w:outlineLvl w:val="3"/>
        <w:rPr>
          <w:rFonts w:ascii="黑体" w:eastAsia="黑体" w:hAnsi="黑体" w:cs="Times New Roman"/>
          <w:sz w:val="24"/>
          <w:szCs w:val="24"/>
        </w:rPr>
      </w:pPr>
      <w:bookmarkStart w:id="5" w:name="_Toc184635095"/>
      <w:r w:rsidRPr="00AF1936">
        <w:rPr>
          <w:rFonts w:ascii="黑体" w:eastAsia="黑体" w:hAnsi="黑体" w:cs="Times New Roman"/>
          <w:sz w:val="24"/>
          <w:szCs w:val="24"/>
        </w:rPr>
        <w:lastRenderedPageBreak/>
        <w:t>3</w:t>
      </w:r>
      <w:r w:rsidRPr="00AF1936">
        <w:rPr>
          <w:rFonts w:ascii="黑体" w:eastAsia="黑体" w:hAnsi="黑体" w:cs="Times New Roman" w:hint="eastAsia"/>
          <w:sz w:val="24"/>
          <w:szCs w:val="24"/>
        </w:rPr>
        <w:t>.</w:t>
      </w:r>
      <w:r w:rsidRPr="00AF1936">
        <w:rPr>
          <w:rFonts w:ascii="黑体" w:eastAsia="黑体" w:hAnsi="黑体" w:cs="Times New Roman"/>
          <w:sz w:val="24"/>
          <w:szCs w:val="24"/>
        </w:rPr>
        <w:t xml:space="preserve"> </w:t>
      </w:r>
      <w:r w:rsidRPr="00AF1936">
        <w:rPr>
          <w:rFonts w:ascii="黑体" w:eastAsia="黑体" w:hAnsi="黑体" w:cs="Times New Roman" w:hint="eastAsia"/>
          <w:sz w:val="24"/>
          <w:szCs w:val="24"/>
        </w:rPr>
        <w:t>评标程序</w:t>
      </w:r>
      <w:bookmarkEnd w:id="5"/>
    </w:p>
    <w:p w14:paraId="6CEDBC71" w14:textId="77777777" w:rsidR="00AF1936" w:rsidRPr="00AF1936" w:rsidRDefault="00AF1936" w:rsidP="00AF1936">
      <w:pPr>
        <w:keepNext/>
        <w:keepLines/>
        <w:snapToGrid w:val="0"/>
        <w:outlineLvl w:val="3"/>
        <w:rPr>
          <w:rFonts w:ascii="黑体" w:eastAsia="黑体" w:hAnsi="黑体" w:cs="Times New Roman"/>
          <w:szCs w:val="21"/>
        </w:rPr>
      </w:pPr>
      <w:r w:rsidRPr="00AF1936">
        <w:rPr>
          <w:rFonts w:ascii="黑体" w:eastAsia="黑体" w:hAnsi="黑体" w:cs="Times New Roman"/>
          <w:szCs w:val="21"/>
        </w:rPr>
        <w:t xml:space="preserve">3.1 </w:t>
      </w:r>
      <w:r w:rsidRPr="00AF1936">
        <w:rPr>
          <w:rFonts w:ascii="黑体" w:eastAsia="黑体" w:hAnsi="黑体" w:cs="Times New Roman" w:hint="eastAsia"/>
          <w:szCs w:val="21"/>
        </w:rPr>
        <w:t>初步评审</w:t>
      </w:r>
    </w:p>
    <w:p w14:paraId="776329DE"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3.1.1 评标委员会可以要求投标人提交第二章“投标人须知”规定的有关证明和证件的原件，以便核验。评标委员会依据本章第2.1 款规定的标准对投标文件进行初步评审。有一项不符合评审标准的，评标委员会应当否决其投标。</w:t>
      </w:r>
    </w:p>
    <w:p w14:paraId="324A1C5D"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3.1.2 投标人有以下情形之一的，评标委员会应当否决其投标：</w:t>
      </w:r>
    </w:p>
    <w:p w14:paraId="602EF938"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（l）投标文件没有对招标文件的实质性要求和条件作出响应，或者对招标文件的偏差超出招标文件规定的偏差范围或最高项数；</w:t>
      </w:r>
    </w:p>
    <w:p w14:paraId="051BC698"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（2）有串通投标、弄虚作假、行贿等违法行为。</w:t>
      </w:r>
    </w:p>
    <w:p w14:paraId="159E6241"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3.1.3 投标报价有算术错误及其他错误的，评标委员会按以下原则要求投标人对投标报价进行修正，并要求投标人书面澄清确认。投标人拒不澄清确认的，评标委员会应当否决其投标。</w:t>
      </w:r>
    </w:p>
    <w:p w14:paraId="782C1174"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（1）投标文件中的大写金额与小写金额不一致的，以大写金额为准；</w:t>
      </w:r>
    </w:p>
    <w:p w14:paraId="4DA69809"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（2）总价金额与单价金额不一致的，以单价金额为准，但单价金额小数点有明显错误的除外；</w:t>
      </w:r>
    </w:p>
    <w:p w14:paraId="0B2365B8"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（3）投标报价为各分项报价金额之和，投标报价与分项报价的合价不一致的，应以各分项合价累计数为准，修正投标报价；</w:t>
      </w:r>
    </w:p>
    <w:p w14:paraId="6801EC27"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（4）如果分项报价中存在缺漏项，则视为缺漏项价格已包含在其他分项报价之中。</w:t>
      </w:r>
    </w:p>
    <w:p w14:paraId="2CCD89BB" w14:textId="77777777" w:rsidR="00AF1936" w:rsidRPr="00AF1936" w:rsidRDefault="00AF1936" w:rsidP="00AF1936">
      <w:pPr>
        <w:keepNext/>
        <w:keepLines/>
        <w:snapToGrid w:val="0"/>
        <w:outlineLvl w:val="3"/>
        <w:rPr>
          <w:rFonts w:ascii="黑体" w:eastAsia="黑体" w:hAnsi="黑体" w:cs="Times New Roman"/>
          <w:szCs w:val="21"/>
        </w:rPr>
      </w:pPr>
      <w:r w:rsidRPr="00AF1936">
        <w:rPr>
          <w:rFonts w:ascii="黑体" w:eastAsia="黑体" w:hAnsi="黑体" w:cs="Times New Roman"/>
          <w:szCs w:val="21"/>
        </w:rPr>
        <w:t xml:space="preserve">3.2 </w:t>
      </w:r>
      <w:r w:rsidRPr="00AF1936">
        <w:rPr>
          <w:rFonts w:ascii="黑体" w:eastAsia="黑体" w:hAnsi="黑体" w:cs="Times New Roman" w:hint="eastAsia"/>
          <w:szCs w:val="21"/>
        </w:rPr>
        <w:t>详细评审</w:t>
      </w:r>
    </w:p>
    <w:p w14:paraId="6429A48C"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3.2.1 评标委员会按本章第2.2 款规定的量化因素和分值进行打分，并计算出综合评估得分。</w:t>
      </w:r>
    </w:p>
    <w:p w14:paraId="2C9A71FE"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（1）按本章第2.2.4 （1）目规定的评审因素和分值对商务部分计算出得分A ；</w:t>
      </w:r>
    </w:p>
    <w:p w14:paraId="3C13DCAA"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（2）按本章第2.2.4 （2）目规定的评审因素和分值对技术部分计算出得分B；</w:t>
      </w:r>
    </w:p>
    <w:p w14:paraId="610532DB"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（3）按本章第2.2.4 （3）目规定的评审因素和分值对投标报价计算出得分C；</w:t>
      </w:r>
    </w:p>
    <w:p w14:paraId="1F7CF83E"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（4）按本章第2.2.4 （4）目规定的评审因素和分值对其他部分计算出得分D 。</w:t>
      </w:r>
    </w:p>
    <w:p w14:paraId="184C1F98"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3.2.2 评分分值计算保留小数点后两位，小数点后第三位“四舍五入”。</w:t>
      </w:r>
    </w:p>
    <w:p w14:paraId="3B64BF1E"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3.2.3 投标人得分＝A 十B 十C 十D 。</w:t>
      </w:r>
    </w:p>
    <w:p w14:paraId="2304C4E1"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901C38F" w14:textId="77777777" w:rsidR="00AF1936" w:rsidRPr="00AF1936" w:rsidRDefault="00AF1936" w:rsidP="00AF1936">
      <w:pPr>
        <w:keepNext/>
        <w:keepLines/>
        <w:snapToGrid w:val="0"/>
        <w:outlineLvl w:val="3"/>
        <w:rPr>
          <w:rFonts w:ascii="黑体" w:eastAsia="黑体" w:hAnsi="黑体" w:cs="Times New Roman"/>
          <w:szCs w:val="21"/>
        </w:rPr>
      </w:pPr>
      <w:r w:rsidRPr="00AF1936">
        <w:rPr>
          <w:rFonts w:ascii="黑体" w:eastAsia="黑体" w:hAnsi="黑体" w:cs="Times New Roman"/>
          <w:szCs w:val="21"/>
        </w:rPr>
        <w:t xml:space="preserve">3.3 </w:t>
      </w:r>
      <w:r w:rsidRPr="00AF1936">
        <w:rPr>
          <w:rFonts w:ascii="黑体" w:eastAsia="黑体" w:hAnsi="黑体" w:cs="Times New Roman" w:hint="eastAsia"/>
          <w:szCs w:val="21"/>
        </w:rPr>
        <w:t>投标文件的澄清</w:t>
      </w:r>
    </w:p>
    <w:p w14:paraId="23B7F3EE"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315C707"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3.3.2 澄清、说明和补正不得超出投标文件的范围且不得改变投标文件的实质性内容，并构成投标文件的组成部分。</w:t>
      </w:r>
    </w:p>
    <w:p w14:paraId="55814204"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3.3.3 评标委员会对投标人提交的澄清、说明或补正有疑问的，可以要求投标人进一步澄清、说明或补正，直至满足评标委员会的要求。</w:t>
      </w:r>
    </w:p>
    <w:p w14:paraId="5ACE7190" w14:textId="77777777" w:rsidR="00AF1936" w:rsidRPr="00AF1936" w:rsidRDefault="00AF1936" w:rsidP="00AF1936">
      <w:pPr>
        <w:keepNext/>
        <w:keepLines/>
        <w:snapToGrid w:val="0"/>
        <w:outlineLvl w:val="3"/>
        <w:rPr>
          <w:rFonts w:ascii="黑体" w:eastAsia="黑体" w:hAnsi="黑体" w:cs="Times New Roman"/>
          <w:szCs w:val="21"/>
        </w:rPr>
      </w:pPr>
      <w:r w:rsidRPr="00AF1936">
        <w:rPr>
          <w:rFonts w:ascii="黑体" w:eastAsia="黑体" w:hAnsi="黑体" w:cs="Times New Roman"/>
          <w:szCs w:val="21"/>
        </w:rPr>
        <w:t xml:space="preserve">3.4 </w:t>
      </w:r>
      <w:r w:rsidRPr="00AF1936">
        <w:rPr>
          <w:rFonts w:ascii="黑体" w:eastAsia="黑体" w:hAnsi="黑体" w:cs="Times New Roman" w:hint="eastAsia"/>
          <w:szCs w:val="21"/>
        </w:rPr>
        <w:t>评标结果</w:t>
      </w:r>
    </w:p>
    <w:p w14:paraId="3CE7808C"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3.4.1 除第二章“投标人须知”前附表授权直接确定中标人外，评标委员会按照得分由高到低的顺序推荐中标候选人，并标明排序。</w:t>
      </w:r>
    </w:p>
    <w:p w14:paraId="183B4F88" w14:textId="77777777" w:rsidR="00AF1936" w:rsidRPr="00AF1936" w:rsidRDefault="00AF1936" w:rsidP="00AF1936">
      <w:pPr>
        <w:snapToGrid w:val="0"/>
        <w:ind w:firstLineChars="200" w:firstLine="420"/>
        <w:rPr>
          <w:rFonts w:ascii="宋体" w:eastAsia="宋体" w:hAnsi="宋体" w:cs="Times New Roman"/>
          <w:szCs w:val="21"/>
        </w:rPr>
      </w:pPr>
      <w:r w:rsidRPr="00AF1936">
        <w:rPr>
          <w:rFonts w:ascii="宋体" w:eastAsia="宋体" w:hAnsi="宋体" w:cs="Times New Roman" w:hint="eastAsia"/>
          <w:szCs w:val="21"/>
        </w:rPr>
        <w:t>3.4.2 评标委员会完成评标后，应当向招标人提交书面评标报告和中标候选人名单。</w:t>
      </w:r>
    </w:p>
    <w:p w14:paraId="08181D10" w14:textId="77777777" w:rsidR="009E3D2A" w:rsidRPr="00AF1936" w:rsidRDefault="009E3D2A" w:rsidP="00AF1936">
      <w:pPr>
        <w:snapToGrid w:val="0"/>
      </w:pPr>
    </w:p>
    <w:sectPr w:rsidR="009E3D2A" w:rsidRPr="00AF1936" w:rsidSect="008509F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4994" w14:textId="77777777" w:rsidR="00DA14E3" w:rsidRDefault="00DA14E3" w:rsidP="00AF1936">
      <w:r>
        <w:separator/>
      </w:r>
    </w:p>
  </w:endnote>
  <w:endnote w:type="continuationSeparator" w:id="0">
    <w:p w14:paraId="58707601" w14:textId="77777777" w:rsidR="00DA14E3" w:rsidRDefault="00DA14E3" w:rsidP="00AF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5E82" w14:textId="77777777" w:rsidR="00DA14E3" w:rsidRDefault="00DA14E3" w:rsidP="00AF1936">
      <w:r>
        <w:separator/>
      </w:r>
    </w:p>
  </w:footnote>
  <w:footnote w:type="continuationSeparator" w:id="0">
    <w:p w14:paraId="1D2996DE" w14:textId="77777777" w:rsidR="00DA14E3" w:rsidRDefault="00DA14E3" w:rsidP="00AF1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89"/>
    <w:rsid w:val="001F7889"/>
    <w:rsid w:val="008509F4"/>
    <w:rsid w:val="009E3D2A"/>
    <w:rsid w:val="00AF1936"/>
    <w:rsid w:val="00DA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BD73F4-F857-4CDA-B8DA-9FED58C4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9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1936"/>
    <w:rPr>
      <w:sz w:val="18"/>
      <w:szCs w:val="18"/>
    </w:rPr>
  </w:style>
  <w:style w:type="paragraph" w:styleId="a5">
    <w:name w:val="footer"/>
    <w:basedOn w:val="a"/>
    <w:link w:val="a6"/>
    <w:uiPriority w:val="99"/>
    <w:unhideWhenUsed/>
    <w:rsid w:val="00AF1936"/>
    <w:pPr>
      <w:tabs>
        <w:tab w:val="center" w:pos="4153"/>
        <w:tab w:val="right" w:pos="8306"/>
      </w:tabs>
      <w:snapToGrid w:val="0"/>
      <w:jc w:val="left"/>
    </w:pPr>
    <w:rPr>
      <w:sz w:val="18"/>
      <w:szCs w:val="18"/>
    </w:rPr>
  </w:style>
  <w:style w:type="character" w:customStyle="1" w:styleId="a6">
    <w:name w:val="页脚 字符"/>
    <w:basedOn w:val="a0"/>
    <w:link w:val="a5"/>
    <w:uiPriority w:val="99"/>
    <w:rsid w:val="00AF1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FK</cp:lastModifiedBy>
  <cp:revision>2</cp:revision>
  <dcterms:created xsi:type="dcterms:W3CDTF">2022-05-19T06:00:00Z</dcterms:created>
  <dcterms:modified xsi:type="dcterms:W3CDTF">2022-05-19T06:02:00Z</dcterms:modified>
</cp:coreProperties>
</file>