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0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0" w:leftChars="0" w:right="0"/>
        <w:jc w:val="center"/>
        <w:textAlignment w:val="auto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吉林省吉高服务区管理有限公司自营加油站零管系统硬件</w:t>
      </w:r>
    </w:p>
    <w:p>
      <w:pPr>
        <w:keepNext w:val="0"/>
        <w:keepLines w:val="0"/>
        <w:pageBreakBefore w:val="0"/>
        <w:widowControl w:val="0"/>
        <w:tabs>
          <w:tab w:val="left" w:pos="50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0" w:leftChars="0" w:right="0"/>
        <w:jc w:val="center"/>
        <w:textAlignment w:val="auto"/>
        <w:rPr>
          <w:rFonts w:hint="eastAsia" w:ascii="黑体" w:eastAsia="黑体"/>
          <w:color w:val="000000"/>
          <w:sz w:val="30"/>
          <w:szCs w:val="30"/>
          <w:lang w:val="en-US"/>
        </w:rPr>
      </w:pPr>
      <w:r>
        <w:rPr>
          <w:rFonts w:hint="eastAsia" w:ascii="黑体" w:eastAsia="黑体"/>
          <w:color w:val="000000"/>
          <w:sz w:val="30"/>
          <w:szCs w:val="30"/>
        </w:rPr>
        <w:t>采购</w:t>
      </w:r>
      <w:r>
        <w:rPr>
          <w:rFonts w:hint="eastAsia" w:ascii="黑体" w:eastAsia="黑体"/>
          <w:color w:val="000000"/>
          <w:sz w:val="30"/>
          <w:szCs w:val="30"/>
          <w:lang w:val="en-US" w:eastAsia="zh-CN"/>
        </w:rPr>
        <w:t>01合同包、02合同包第二次招标</w:t>
      </w:r>
    </w:p>
    <w:p>
      <w:pPr>
        <w:pageBreakBefore w:val="0"/>
        <w:tabs>
          <w:tab w:val="left" w:pos="5010"/>
        </w:tabs>
        <w:kinsoku/>
        <w:wordWrap/>
        <w:overflowPunct/>
        <w:topLinePunct w:val="0"/>
        <w:autoSpaceDE w:val="0"/>
        <w:autoSpaceDN w:val="0"/>
        <w:bidi w:val="0"/>
        <w:adjustRightInd w:val="0"/>
        <w:ind w:left="0" w:leftChars="0" w:right="0"/>
        <w:jc w:val="center"/>
        <w:rPr>
          <w:rFonts w:ascii="黑体" w:hAnsi="宋体" w:eastAsia="黑体"/>
          <w:bCs/>
          <w:color w:val="000000"/>
          <w:kern w:val="0"/>
          <w:sz w:val="40"/>
          <w:szCs w:val="32"/>
        </w:rPr>
      </w:pPr>
      <w:r>
        <w:rPr>
          <w:rFonts w:hint="eastAsia" w:ascii="黑体" w:eastAsia="黑体"/>
          <w:color w:val="000000"/>
          <w:sz w:val="40"/>
          <w:szCs w:val="32"/>
        </w:rPr>
        <w:t>招标文件关键内容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left="0" w:leftChars="0" w:right="0" w:firstLine="360" w:firstLineChars="150"/>
        <w:rPr>
          <w:rFonts w:hint="eastAsia" w:ascii="宋体" w:hAnsi="宋体" w:cs="宋体"/>
          <w:color w:val="000000"/>
          <w:sz w:val="24"/>
          <w:szCs w:val="24"/>
        </w:rPr>
      </w:pPr>
      <w:bookmarkStart w:id="0" w:name="_Toc462671337"/>
      <w:bookmarkStart w:id="1" w:name="_Toc498955117"/>
      <w:r>
        <w:rPr>
          <w:rFonts w:hint="eastAsia" w:ascii="宋体" w:hAnsi="宋体" w:cs="宋体"/>
          <w:color w:val="000000"/>
          <w:sz w:val="24"/>
          <w:szCs w:val="24"/>
          <w:lang w:val="zh-CN"/>
        </w:rPr>
        <w:t>吉林省吉高服务区管理有限公司自营加油站零管系统硬件采购</w:t>
      </w:r>
      <w:r>
        <w:rPr>
          <w:rFonts w:hint="eastAsia" w:ascii="宋体" w:hAnsi="宋体" w:cs="宋体"/>
          <w:color w:val="000000"/>
          <w:sz w:val="24"/>
          <w:szCs w:val="24"/>
        </w:rPr>
        <w:t>招标人为吉林省吉高服务区管理有限公司，招标项目资金已落实。该项目已具备招标条件，现进行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01合同包、02合同包的第二次</w:t>
      </w:r>
      <w:r>
        <w:rPr>
          <w:rFonts w:hint="eastAsia" w:ascii="宋体" w:hAnsi="宋体" w:cs="宋体"/>
          <w:color w:val="000000"/>
          <w:sz w:val="24"/>
          <w:szCs w:val="24"/>
        </w:rPr>
        <w:t>公开招标。</w:t>
      </w:r>
    </w:p>
    <w:p>
      <w:pPr>
        <w:pStyle w:val="6"/>
        <w:pageBreakBefore w:val="0"/>
        <w:kinsoku/>
        <w:wordWrap/>
        <w:overflowPunct/>
        <w:topLinePunct w:val="0"/>
        <w:bidi w:val="0"/>
        <w:spacing w:before="0" w:after="0" w:line="360" w:lineRule="auto"/>
        <w:ind w:left="0" w:leftChars="0" w:right="0"/>
        <w:rPr>
          <w:rFonts w:hint="eastAsia" w:ascii="宋体" w:hAnsi="宋体" w:cs="宋体"/>
          <w:color w:val="000000"/>
          <w:kern w:val="44"/>
        </w:rPr>
      </w:pPr>
      <w:bookmarkStart w:id="2" w:name="_Toc359047679"/>
      <w:bookmarkStart w:id="3" w:name="_Toc359047735"/>
      <w:bookmarkStart w:id="4" w:name="_Toc359047599"/>
      <w:r>
        <w:rPr>
          <w:rFonts w:hint="eastAsia" w:ascii="宋体" w:hAnsi="宋体" w:cs="宋体"/>
          <w:color w:val="000000"/>
          <w:kern w:val="44"/>
        </w:rPr>
        <w:t>2.项目概况与招标</w:t>
      </w:r>
      <w:bookmarkEnd w:id="2"/>
      <w:bookmarkEnd w:id="3"/>
      <w:bookmarkEnd w:id="4"/>
      <w:r>
        <w:rPr>
          <w:rFonts w:hint="eastAsia" w:ascii="宋体" w:hAnsi="宋体" w:cs="宋体"/>
          <w:color w:val="000000"/>
          <w:kern w:val="44"/>
        </w:rPr>
        <w:t>范围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left="0" w:leftChars="0" w:right="0" w:firstLine="360" w:firstLineChars="15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2.1合同包划分：本次招标共划分为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个合同包，具体如下：</w:t>
      </w:r>
    </w:p>
    <w:tbl>
      <w:tblPr>
        <w:tblStyle w:val="15"/>
        <w:tblpPr w:leftFromText="180" w:rightFromText="180" w:vertAnchor="text" w:horzAnchor="page" w:tblpX="1245" w:tblpY="268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263"/>
        <w:gridCol w:w="3676"/>
        <w:gridCol w:w="550"/>
        <w:gridCol w:w="613"/>
        <w:gridCol w:w="704"/>
        <w:gridCol w:w="99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3" w:hRule="atLeast"/>
        </w:trPr>
        <w:tc>
          <w:tcPr>
            <w:tcW w:w="673" w:type="dxa"/>
            <w:vMerge w:val="restart"/>
            <w:noWrap w:val="0"/>
            <w:vAlign w:val="center"/>
          </w:tcPr>
          <w:p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合同包</w:t>
            </w:r>
          </w:p>
        </w:tc>
        <w:tc>
          <w:tcPr>
            <w:tcW w:w="1263" w:type="dxa"/>
            <w:vMerge w:val="restart"/>
            <w:noWrap w:val="0"/>
            <w:vAlign w:val="center"/>
          </w:tcPr>
          <w:p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名称</w:t>
            </w:r>
          </w:p>
        </w:tc>
        <w:tc>
          <w:tcPr>
            <w:tcW w:w="3676" w:type="dxa"/>
            <w:vMerge w:val="restart"/>
            <w:noWrap w:val="0"/>
            <w:vAlign w:val="center"/>
          </w:tcPr>
          <w:p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技术性能指标</w:t>
            </w:r>
          </w:p>
        </w:tc>
        <w:tc>
          <w:tcPr>
            <w:tcW w:w="550" w:type="dxa"/>
            <w:vMerge w:val="restart"/>
            <w:noWrap w:val="0"/>
            <w:vAlign w:val="center"/>
          </w:tcPr>
          <w:p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单位</w:t>
            </w:r>
          </w:p>
        </w:tc>
        <w:tc>
          <w:tcPr>
            <w:tcW w:w="613" w:type="dxa"/>
            <w:vMerge w:val="restart"/>
            <w:noWrap w:val="0"/>
            <w:vAlign w:val="center"/>
          </w:tcPr>
          <w:p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数量</w:t>
            </w:r>
          </w:p>
        </w:tc>
        <w:tc>
          <w:tcPr>
            <w:tcW w:w="2547" w:type="dxa"/>
            <w:gridSpan w:val="3"/>
            <w:noWrap w:val="0"/>
            <w:vAlign w:val="center"/>
          </w:tcPr>
          <w:p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采购预算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3676" w:type="dxa"/>
            <w:vMerge w:val="continue"/>
            <w:noWrap w:val="0"/>
            <w:vAlign w:val="center"/>
          </w:tcPr>
          <w:p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613" w:type="dxa"/>
            <w:vMerge w:val="continue"/>
            <w:noWrap w:val="0"/>
            <w:vAlign w:val="center"/>
          </w:tcPr>
          <w:p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单价</w:t>
            </w:r>
          </w:p>
          <w:p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（元）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合价</w:t>
            </w:r>
          </w:p>
          <w:p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（元）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合同包总价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73" w:type="dxa"/>
            <w:vMerge w:val="restart"/>
            <w:noWrap w:val="0"/>
            <w:vAlign w:val="center"/>
          </w:tcPr>
          <w:p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01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24口交换机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left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24口千兆交换机，交换机带调频（调节带宽）功能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台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76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900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68400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  <w:t>241940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路由器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left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千兆无线路由器 WiFi6 5G双频高速网络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台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76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400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30400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站内基础设施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left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插排(2米16孔*2个)、网线100米、液位仪的串口线(5米左右)*1，水晶头*1盒，扎带15公分*3盒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套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76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400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30400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显示器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left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19英寸以上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台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1000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20000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5口交换机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left"/>
              <w:rPr>
                <w:rFonts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台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22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70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1540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机柜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left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最少4个置物板200x60x60cm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套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76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1200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91200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73" w:type="dxa"/>
            <w:noWrap w:val="0"/>
            <w:vAlign w:val="center"/>
          </w:tcPr>
          <w:p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02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双屏收银POS+扫码枪+鼠标键盘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硬件配置：中央处理器(CPU) J1800Intel2.4G双核，内存容量：DDRIII-4G，硬盘容量128GB，USB口6个，网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lang w:bidi="ar"/>
              </w:rPr>
              <w:t>络接口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lang w:bidi="ar"/>
              </w:rPr>
              <w:t>个（硬件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为最低配置）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显示器：LCD 电容屏，15.6 英寸，1920x1080；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打印单元：打印类型热转换式，打印宽度57.5+/-0.5mm，接口USB，二维码扫描枪，条码扫码枪手机微信支付宝扫码器；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双屏:WIN7以上64位。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ind w:left="0" w:leftChars="0" w:right="0"/>
              <w:outlineLvl w:val="1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保修政策：全国联保，三包服务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0" w:lineRule="atLeast"/>
              <w:ind w:left="0" w:leftChars="0" w:right="0"/>
              <w:outlineLvl w:val="1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售后服务：整机质保3年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left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交货：整机原厂原封不得开箱。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套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76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4000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280" w:lineRule="exact"/>
              <w:ind w:left="0" w:leftChars="0" w:right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304000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80" w:lineRule="exact"/>
              <w:ind w:left="0" w:leftChars="0" w:right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bidi="ar"/>
              </w:rPr>
              <w:t>304000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400" w:lineRule="exact"/>
        <w:ind w:left="0" w:leftChars="0" w:right="0" w:firstLine="360" w:firstLineChars="15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2.2交货期：</w:t>
      </w:r>
      <w:r>
        <w:rPr>
          <w:rFonts w:hint="eastAsia" w:ascii="宋体" w:hAnsi="宋体" w:cs="宋体"/>
          <w:sz w:val="24"/>
        </w:rPr>
        <w:t>自签订合同之日起15日内，具体供货计划按招标人的需求执行。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left="0" w:leftChars="0" w:right="0" w:firstLine="360" w:firstLineChars="15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2.3交货地点：吉林省内各高速公路服务区加油站（吉林、延吉、松原、白城、德惠、双辽、靖宇、通化共76个加油站），具体交货地点以招标人要求为准。</w:t>
      </w:r>
      <w:bookmarkStart w:id="48" w:name="_GoBack"/>
      <w:bookmarkEnd w:id="48"/>
    </w:p>
    <w:p>
      <w:pPr>
        <w:pStyle w:val="6"/>
        <w:pageBreakBefore w:val="0"/>
        <w:widowControl/>
        <w:kinsoku/>
        <w:wordWrap/>
        <w:overflowPunct/>
        <w:topLinePunct w:val="0"/>
        <w:bidi w:val="0"/>
        <w:spacing w:before="0" w:after="0" w:line="360" w:lineRule="auto"/>
        <w:ind w:left="0" w:leftChars="0" w:right="0"/>
        <w:rPr>
          <w:rFonts w:ascii="宋体" w:hAnsi="宋体" w:eastAsia="宋体" w:cs="宋体"/>
          <w:color w:val="000000"/>
          <w:kern w:val="44"/>
        </w:rPr>
      </w:pPr>
      <w:bookmarkStart w:id="5" w:name="_Toc359047736"/>
      <w:bookmarkStart w:id="6" w:name="_Toc359047680"/>
      <w:bookmarkStart w:id="7" w:name="_Toc359047600"/>
      <w:r>
        <w:rPr>
          <w:rFonts w:hint="eastAsia" w:ascii="宋体" w:hAnsi="宋体" w:eastAsia="宋体" w:cs="宋体"/>
          <w:color w:val="000000"/>
          <w:kern w:val="44"/>
        </w:rPr>
        <w:t>3.投标人资格要求</w:t>
      </w:r>
      <w:bookmarkEnd w:id="5"/>
      <w:bookmarkEnd w:id="6"/>
      <w:bookmarkEnd w:id="7"/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left="0" w:leftChars="0" w:right="0" w:firstLine="360" w:firstLineChars="15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3.1本次招标要求投标人为具有独立法人资格的生产厂商或代理商（经销商），并具有相应的供货能力。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left="0" w:leftChars="0" w:right="0" w:firstLine="360" w:firstLineChars="15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3.2投标人近三年内（2018年1月1日后，以合同签订时间为准）至少具有1项与本项目类似的销售业绩。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left="0" w:leftChars="0" w:right="0" w:firstLine="360" w:firstLineChars="15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3.3本次招标不接受联合体投标。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left="0" w:leftChars="0" w:right="0" w:firstLine="360" w:firstLineChars="15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3.4每个投标人可同时对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</w:rPr>
        <w:t>个合同包投标，最多允许中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</w:rPr>
        <w:t>个合同包。</w:t>
      </w:r>
    </w:p>
    <w:p>
      <w:pPr>
        <w:pageBreakBefore w:val="0"/>
        <w:kinsoku/>
        <w:wordWrap/>
        <w:overflowPunct/>
        <w:topLinePunct w:val="0"/>
        <w:bidi w:val="0"/>
        <w:ind w:left="0" w:leftChars="0" w:right="0"/>
        <w:rPr>
          <w:rFonts w:ascii="宋体" w:hAnsi="宋体" w:cs="宋体"/>
          <w:color w:val="000000"/>
          <w:kern w:val="44"/>
        </w:rPr>
      </w:pPr>
      <w:bookmarkStart w:id="8" w:name="_Toc359159609"/>
      <w:bookmarkStart w:id="9" w:name="_Toc359155636"/>
      <w:bookmarkStart w:id="10" w:name="_Toc359157599"/>
      <w:bookmarkStart w:id="11" w:name="_Toc359158102"/>
      <w:bookmarkStart w:id="12" w:name="_Toc359156351"/>
      <w:bookmarkStart w:id="13" w:name="_Toc359157049"/>
      <w:bookmarkStart w:id="14" w:name="_Toc359049640"/>
      <w:bookmarkStart w:id="15" w:name="_Toc359054706"/>
      <w:bookmarkStart w:id="16" w:name="_Toc359158515"/>
      <w:bookmarkStart w:id="17" w:name="_Toc359047689"/>
      <w:bookmarkStart w:id="18" w:name="_Toc359048793"/>
      <w:bookmarkStart w:id="19" w:name="_Toc359158806"/>
      <w:bookmarkStart w:id="20" w:name="_Toc359157484"/>
      <w:bookmarkStart w:id="21" w:name="_Toc359047868"/>
      <w:bookmarkStart w:id="22" w:name="_Toc359047609"/>
      <w:bookmarkStart w:id="23" w:name="_Toc359047745"/>
      <w:bookmarkStart w:id="24" w:name="_Toc28407"/>
      <w:r>
        <w:rPr>
          <w:rFonts w:hint="eastAsia" w:ascii="宋体" w:hAnsi="宋体" w:cs="宋体"/>
          <w:color w:val="000000"/>
          <w:kern w:val="44"/>
        </w:rPr>
        <w:br w:type="page"/>
      </w:r>
    </w:p>
    <w:p>
      <w:pPr>
        <w:pStyle w:val="6"/>
        <w:pageBreakBefore w:val="0"/>
        <w:widowControl/>
        <w:kinsoku/>
        <w:wordWrap/>
        <w:overflowPunct/>
        <w:topLinePunct w:val="0"/>
        <w:bidi w:val="0"/>
        <w:spacing w:before="0" w:after="0" w:line="360" w:lineRule="auto"/>
        <w:ind w:left="0" w:leftChars="0" w:right="0"/>
        <w:rPr>
          <w:rFonts w:ascii="宋体" w:hAnsi="宋体" w:eastAsia="宋体" w:cs="宋体"/>
          <w:color w:val="000000"/>
          <w:kern w:val="44"/>
          <w:lang w:val="zh-CN"/>
        </w:rPr>
      </w:pPr>
      <w:r>
        <w:rPr>
          <w:rFonts w:hint="eastAsia" w:ascii="宋体" w:hAnsi="宋体" w:eastAsia="宋体" w:cs="宋体"/>
          <w:color w:val="000000"/>
          <w:kern w:val="44"/>
        </w:rPr>
        <w:t>4.评标办法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hint="eastAsia" w:ascii="宋体" w:hAnsi="宋体" w:eastAsia="宋体" w:cs="宋体"/>
          <w:color w:val="000000"/>
          <w:kern w:val="44"/>
        </w:rPr>
        <w:t>（综合评估法）</w:t>
      </w:r>
      <w:bookmarkEnd w:id="24"/>
      <w:bookmarkStart w:id="25" w:name="_Toc448495593"/>
    </w:p>
    <w:bookmarkEnd w:id="25"/>
    <w:tbl>
      <w:tblPr>
        <w:tblStyle w:val="15"/>
        <w:tblW w:w="10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114"/>
        <w:gridCol w:w="2464"/>
        <w:gridCol w:w="5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条款号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评审因素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评标方法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中标候选人排序方法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评标委员会对满足招标文件实质性要求的投标文件，按照本章第2.2款规定的评分标准进行打分，并按得分由高到低顺序推荐中标候选人，但投标报价低于其成本的除外。综合评分相等时，以投标报价低的优先；投标报价也相等的，以技术得分高的优先；如果技术得分也相等，由评标委员会投票确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2.1.1</w:t>
            </w:r>
          </w:p>
        </w:tc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形式评审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标准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投标人名称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与营业执照（事业单位法人证书）一致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投标函签字盖章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有法定代表人</w:t>
            </w:r>
            <w:bookmarkStart w:id="26" w:name="_Toc361508643"/>
            <w:bookmarkStart w:id="27" w:name="_Toc152045584"/>
            <w:bookmarkStart w:id="28" w:name="_Toc152042361"/>
            <w:bookmarkStart w:id="29" w:name="_Toc369531574"/>
            <w:bookmarkStart w:id="30" w:name="_Toc352691530"/>
            <w:bookmarkStart w:id="31" w:name="_Toc384308269"/>
            <w:bookmarkStart w:id="32" w:name="_Toc247514008"/>
            <w:bookmarkStart w:id="33" w:name="_Toc6546"/>
            <w:bookmarkStart w:id="34" w:name="_Toc300835005"/>
            <w:bookmarkStart w:id="35" w:name="_Toc144974551"/>
            <w:bookmarkStart w:id="36" w:name="_Toc247527609"/>
            <w:r>
              <w:rPr>
                <w:rFonts w:hint="eastAsia" w:ascii="宋体" w:hAnsi="宋体" w:cs="宋体"/>
                <w:color w:val="000000"/>
                <w:szCs w:val="21"/>
              </w:rPr>
              <w:t>或其委托</w:t>
            </w:r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r>
              <w:rPr>
                <w:rFonts w:hint="eastAsia" w:ascii="宋体" w:hAnsi="宋体" w:cs="宋体"/>
                <w:color w:val="000000"/>
                <w:szCs w:val="21"/>
              </w:rPr>
              <w:t>代理人签字或加盖单位章。由法定代表人签字的，应附法定代表人身份证明，由代理人签字的，应附授权委托书，身份证明或授权委托书应符合第六章“投标文件格式”的规定。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投标文件格式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符合第六章“投标文件格式”的规定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联合体投标人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未以联合体形式投标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备选投标方案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除招标文件明确允许提交备选投标方案外，投标人不得提交备选投标方案。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2.1.2</w:t>
            </w:r>
          </w:p>
        </w:tc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资格评审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标准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营业执照（事业单位法人证书）和组织机构代码证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符合第二章“投标人须知”第3.5.1项规定，具备有效的营业执照（事业单位法人证书）和组织机构代码证。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其他要求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符合第二章“投标人须知”第1.4.1项规定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不存在禁止投标的情形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不存在第二章“投标人须知”第1.4.3项规定的任何一种情形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2.1.3</w:t>
            </w:r>
          </w:p>
        </w:tc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响应性评审标准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投标报价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符合第二章“投标人须知”第3.2款规定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投标内容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符合第二章“投标人须知”第1.3.1项规定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交货期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符合第二章“投标人须知”第1.3.2项规定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交货地点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符合第二章“投标人须知”第1.3.3项规定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设备技术性能指标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符合第二章“投标人须知”第1.3.4项规定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投标有效期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符合第二章“投标人须知”第3.3.1项规定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投标保证金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符合第二章“投标人须知”第3.4.1款规定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权利义务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符合第二章“投标人须知”第1.11.1项规定和第四章“合同条款及格式”中的实质性要求和条件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投标设备和技术服务和质保期服务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符合第五章“供货要求”中的实质性要求和条件。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技术支持资料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符合第二章“投标人须知”第1.11.3项规定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条款号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条款内容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2.2.1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分值构成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(总分100分)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商务部分：10 分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技术部分：40 分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投标报价：50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2.2.2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评标基准价计算方法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评标基准价的计算：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（1）评标价的确定：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评标价=投标函文字报价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（2）评标基准价的确定：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将通过评审的</w:t>
            </w:r>
            <w:r>
              <w:rPr>
                <w:rFonts w:hint="eastAsia" w:ascii="宋体" w:hAnsi="宋体" w:cs="宋体"/>
                <w:szCs w:val="21"/>
              </w:rPr>
              <w:t>最低评标价作为评标基准价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2.2.3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投标报价的偏差率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计算公式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0" w:leftChars="0" w:right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偏差率=100%×（投标人评标价-评标基准价）/评标基准价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偏差率保留2位小数，例如：**.**%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ind w:left="0" w:leftChars="0" w:right="0"/>
        <w:rPr>
          <w:rFonts w:ascii="宋体" w:hAnsi="宋体" w:cs="宋体"/>
          <w:b/>
          <w:color w:val="000000"/>
          <w:szCs w:val="21"/>
        </w:rPr>
        <w:sectPr>
          <w:footnotePr>
            <w:numFmt w:val="decimalEnclosedCircleChinese"/>
            <w:numRestart w:val="eachPage"/>
          </w:footnotePr>
          <w:pgSz w:w="11906" w:h="16838"/>
          <w:pgMar w:top="1418" w:right="1702" w:bottom="1588" w:left="1702" w:header="851" w:footer="992" w:gutter="0"/>
          <w:cols w:space="425" w:num="1"/>
          <w:docGrid w:type="lines" w:linePitch="312" w:charSpace="0"/>
        </w:sectPr>
      </w:pPr>
    </w:p>
    <w:tbl>
      <w:tblPr>
        <w:tblStyle w:val="15"/>
        <w:tblW w:w="10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290"/>
        <w:gridCol w:w="2584"/>
        <w:gridCol w:w="5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条款号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评分因素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2"/>
                <w:vertAlign w:val="superscript"/>
              </w:rPr>
              <w:footnoteReference w:id="0"/>
            </w:r>
          </w:p>
        </w:tc>
        <w:tc>
          <w:tcPr>
            <w:tcW w:w="5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2.2.4（1）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商务评分标准（10分）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 w:firstLine="33" w:firstLineChars="16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类似项目业绩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 w:firstLine="33" w:firstLineChars="16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（10分）</w:t>
            </w:r>
          </w:p>
        </w:tc>
        <w:tc>
          <w:tcPr>
            <w:tcW w:w="5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完成过1项类似项目业绩得6分，在此基础上每增加一项加1分，最多加4分。（需提供2018年1月1日后的合同协议书扫描件或复印件，加盖单位公章）。</w:t>
            </w:r>
            <w:bookmarkStart w:id="37" w:name="_Toc12369"/>
            <w:bookmarkEnd w:id="37"/>
            <w:bookmarkStart w:id="38" w:name="_Toc384308271"/>
            <w:bookmarkEnd w:id="38"/>
            <w:bookmarkStart w:id="39" w:name="_Toc152045586"/>
            <w:bookmarkEnd w:id="39"/>
            <w:bookmarkStart w:id="40" w:name="_Toc247527611"/>
            <w:bookmarkEnd w:id="40"/>
            <w:bookmarkStart w:id="41" w:name="_Toc352691532"/>
            <w:bookmarkEnd w:id="41"/>
            <w:bookmarkStart w:id="42" w:name="_Toc144974553"/>
            <w:bookmarkEnd w:id="42"/>
            <w:bookmarkStart w:id="43" w:name="_Toc369531576"/>
            <w:bookmarkEnd w:id="43"/>
            <w:bookmarkStart w:id="44" w:name="_Toc152042363"/>
            <w:bookmarkEnd w:id="44"/>
            <w:bookmarkStart w:id="45" w:name="_Toc361508645"/>
            <w:bookmarkEnd w:id="45"/>
            <w:bookmarkStart w:id="46" w:name="_Toc247514010"/>
            <w:bookmarkEnd w:id="46"/>
            <w:bookmarkStart w:id="47" w:name="_Toc300835007"/>
          </w:p>
        </w:tc>
      </w:tr>
      <w:bookmarkEnd w:id="4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58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2.2.4（2）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技术评分标准（40分）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对投标设备的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配置指标评价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（15分）</w:t>
            </w:r>
          </w:p>
        </w:tc>
        <w:tc>
          <w:tcPr>
            <w:tcW w:w="5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基本满足本次招标设备配置的，得9分，较好满足本次招标设备配置的，得10</w:t>
            </w:r>
            <w:r>
              <w:rPr>
                <w:rFonts w:hint="eastAsia" w:ascii="宋体" w:hAnsi="宋体" w:cs="宋体"/>
                <w:color w:val="000000"/>
                <w:szCs w:val="22"/>
              </w:rPr>
              <w:t>～12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分，优于本次招标设备配置的，得13</w:t>
            </w:r>
            <w:r>
              <w:rPr>
                <w:rFonts w:hint="eastAsia" w:ascii="宋体" w:hAnsi="宋体" w:cs="宋体"/>
                <w:color w:val="000000"/>
                <w:szCs w:val="22"/>
              </w:rPr>
              <w:t>～15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对投标设备的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品牌评价（15分）</w:t>
            </w:r>
          </w:p>
        </w:tc>
        <w:tc>
          <w:tcPr>
            <w:tcW w:w="5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对设备的品牌知名度进行评分，一般得9分，较好得10</w:t>
            </w:r>
            <w:r>
              <w:rPr>
                <w:rFonts w:hint="eastAsia" w:ascii="宋体" w:hAnsi="宋体" w:cs="宋体"/>
                <w:color w:val="000000"/>
                <w:szCs w:val="22"/>
              </w:rPr>
              <w:t>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12分，满意得13</w:t>
            </w:r>
            <w:r>
              <w:rPr>
                <w:rFonts w:hint="eastAsia" w:ascii="宋体" w:hAnsi="宋体" w:cs="宋体"/>
                <w:color w:val="000000"/>
                <w:szCs w:val="22"/>
              </w:rPr>
              <w:t>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ind w:left="0" w:leftChars="0" w:right="0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2"/>
              </w:rPr>
              <w:t>对投标人</w:t>
            </w:r>
            <w:r>
              <w:rPr>
                <w:rFonts w:hint="eastAsia" w:cs="宋体"/>
                <w:szCs w:val="22"/>
              </w:rPr>
              <w:t>（或制造商）</w:t>
            </w:r>
            <w:r>
              <w:rPr>
                <w:rFonts w:hint="eastAsia" w:ascii="宋体" w:hAnsi="宋体" w:cs="宋体"/>
                <w:color w:val="000000"/>
                <w:szCs w:val="22"/>
              </w:rPr>
              <w:t>技术服务和质保期服务能力的评价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（10分）</w:t>
            </w:r>
          </w:p>
        </w:tc>
        <w:tc>
          <w:tcPr>
            <w:tcW w:w="5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售后服务体系良好、售后服务计划合理可行得6分，针对本项目售后服务措施考虑周全、售后服务及时且可行的予以加分，最多加4分。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2.2.4（3）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投标报价评分标准（50分）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投标报价（50分）</w:t>
            </w:r>
          </w:p>
        </w:tc>
        <w:tc>
          <w:tcPr>
            <w:tcW w:w="5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评标价得分=50-偏差率×100×0.5；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right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注：评标价得分最低得0分。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415" w:lineRule="auto"/>
        <w:ind w:left="0" w:leftChars="0" w:right="0"/>
        <w:rPr>
          <w:rFonts w:ascii="宋体" w:hAnsi="宋体" w:cs="宋体"/>
          <w:b/>
          <w:bCs/>
          <w:color w:val="000000"/>
          <w:sz w:val="24"/>
          <w:szCs w:val="32"/>
          <w:lang w:val="zh-CN"/>
        </w:rPr>
        <w:sectPr>
          <w:footnotePr>
            <w:numFmt w:val="decimalEnclosedCircleChinese"/>
            <w:numRestart w:val="eachSect"/>
          </w:footnotePr>
          <w:type w:val="continuous"/>
          <w:pgSz w:w="11906" w:h="16838"/>
          <w:pgMar w:top="1418" w:right="1702" w:bottom="1588" w:left="1702" w:header="851" w:footer="992" w:gutter="0"/>
          <w:cols w:space="425" w:num="1"/>
          <w:docGrid w:type="lines" w:linePitch="312" w:charSpace="0"/>
        </w:sectPr>
      </w:pPr>
    </w:p>
    <w:p>
      <w:pPr>
        <w:pStyle w:val="6"/>
        <w:pageBreakBefore w:val="0"/>
        <w:widowControl/>
        <w:kinsoku/>
        <w:wordWrap/>
        <w:overflowPunct/>
        <w:topLinePunct w:val="0"/>
        <w:bidi w:val="0"/>
        <w:spacing w:before="0" w:after="0" w:line="360" w:lineRule="auto"/>
        <w:ind w:left="0" w:leftChars="0" w:right="0"/>
        <w:rPr>
          <w:rFonts w:ascii="宋体" w:hAnsi="宋体" w:eastAsia="宋体" w:cs="宋体"/>
          <w:color w:val="000000"/>
          <w:kern w:val="44"/>
        </w:rPr>
      </w:pPr>
      <w:r>
        <w:rPr>
          <w:rFonts w:hint="eastAsia" w:ascii="宋体" w:hAnsi="宋体" w:eastAsia="宋体" w:cs="宋体"/>
          <w:color w:val="000000"/>
          <w:kern w:val="44"/>
        </w:rPr>
        <w:t>5.联系方式</w:t>
      </w:r>
    </w:p>
    <w:tbl>
      <w:tblPr>
        <w:tblStyle w:val="15"/>
        <w:tblW w:w="6054" w:type="dxa"/>
        <w:tblInd w:w="0" w:type="dxa"/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6054"/>
      </w:tblGrid>
      <w:tr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83" w:hRule="atLeast"/>
        </w:trPr>
        <w:tc>
          <w:tcPr>
            <w:tcW w:w="605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right="0" w:firstLine="360" w:firstLineChars="150"/>
              <w:rPr>
                <w:rFonts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招标人：吉林省吉高服务区管理有限公司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83" w:hRule="atLeast"/>
        </w:trPr>
        <w:tc>
          <w:tcPr>
            <w:tcW w:w="605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right="0" w:firstLine="360" w:firstLineChars="150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地  址：吉林省长春市浦东路1658号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83" w:hRule="atLeast"/>
        </w:trPr>
        <w:tc>
          <w:tcPr>
            <w:tcW w:w="605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right="0" w:firstLine="360" w:firstLineChars="150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2"/>
              </w:rPr>
              <w:t>联系人：彭岩皓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83" w:hRule="atLeast"/>
        </w:trPr>
        <w:tc>
          <w:tcPr>
            <w:tcW w:w="6054" w:type="dxa"/>
            <w:shd w:val="clear" w:color="auto" w:fill="auto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right="0" w:firstLine="360" w:firstLineChars="150"/>
              <w:rPr>
                <w:rFonts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  话：0431-85254090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83" w:hRule="atLeast"/>
        </w:trPr>
        <w:tc>
          <w:tcPr>
            <w:tcW w:w="605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right="0" w:firstLine="360" w:firstLineChars="150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招标代理机构：吉林省华洋工程咨询有限公司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83" w:hRule="atLeast"/>
        </w:trPr>
        <w:tc>
          <w:tcPr>
            <w:tcW w:w="605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right="0" w:firstLine="360" w:firstLineChars="150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地  址：长春市朝阳区和光路16号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83" w:hRule="atLeast"/>
        </w:trPr>
        <w:tc>
          <w:tcPr>
            <w:tcW w:w="605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right="0" w:firstLine="360" w:firstLineChars="150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联系人：</w:t>
            </w:r>
            <w:r>
              <w:rPr>
                <w:rFonts w:hint="eastAsia" w:ascii="宋体" w:hAnsi="宋体" w:cs="宋体"/>
                <w:sz w:val="24"/>
              </w:rPr>
              <w:t>车万里、李洪涛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83" w:hRule="atLeast"/>
        </w:trPr>
        <w:tc>
          <w:tcPr>
            <w:tcW w:w="605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right="0" w:firstLine="360" w:firstLineChars="15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  话：0431-85368866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right="0" w:firstLine="360" w:firstLineChars="15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电子邮箱：3097839680@qq.com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83" w:hRule="atLeast"/>
        </w:trPr>
        <w:tc>
          <w:tcPr>
            <w:tcW w:w="605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right="0" w:firstLine="360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招标人：吉林省吉高服务区管理有限公司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8" w:hRule="atLeast"/>
        </w:trPr>
        <w:tc>
          <w:tcPr>
            <w:tcW w:w="605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right="0" w:firstLine="360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地  址：吉林省长春市浦东路1658号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ind w:left="0" w:leftChars="0" w:right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本关键内容公开时间至投标截止时间10日前结束。</w:t>
      </w:r>
    </w:p>
    <w:p>
      <w:pPr>
        <w:pageBreakBefore w:val="0"/>
        <w:kinsoku/>
        <w:wordWrap/>
        <w:overflowPunct/>
        <w:topLinePunct w:val="0"/>
        <w:bidi w:val="0"/>
        <w:ind w:left="0" w:leftChars="0" w:right="0"/>
        <w:jc w:val="right"/>
        <w:rPr>
          <w:rFonts w:ascii="宋体" w:hAnsi="宋体"/>
          <w:szCs w:val="21"/>
        </w:rPr>
      </w:pPr>
    </w:p>
    <w:bookmarkEnd w:id="0"/>
    <w:bookmarkEnd w:id="1"/>
    <w:p>
      <w:pPr>
        <w:pageBreakBefore w:val="0"/>
        <w:kinsoku/>
        <w:wordWrap/>
        <w:overflowPunct/>
        <w:topLinePunct w:val="0"/>
        <w:bidi w:val="0"/>
        <w:ind w:left="0" w:leftChars="0" w:right="0"/>
        <w:jc w:val="right"/>
        <w:rPr>
          <w:rFonts w:ascii="宋体" w:hAnsi="宋体"/>
          <w:szCs w:val="21"/>
        </w:rPr>
      </w:pPr>
    </w:p>
    <w:sectPr>
      <w:footnotePr>
        <w:numFmt w:val="decimalEnclosedCircleChinese"/>
        <w:numRestart w:val="eachPage"/>
      </w:footnote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13"/>
        <w:widowControl w:val="0"/>
        <w:snapToGrid w:val="0"/>
        <w:spacing w:beforeAutospacing="0" w:afterAutospacing="0"/>
        <w:rPr>
          <w:rFonts w:hint="default" w:ascii="楷体" w:hAnsi="楷体" w:eastAsia="楷体" w:cs="楷体"/>
        </w:rPr>
      </w:pPr>
      <w:r>
        <w:rPr>
          <w:rFonts w:ascii="楷体" w:hAnsi="楷体" w:eastAsia="楷体" w:cs="楷体"/>
          <w:kern w:val="2"/>
          <w:sz w:val="21"/>
          <w:szCs w:val="22"/>
          <w:vertAlign w:val="superscript"/>
        </w:rPr>
        <w:footnoteRef/>
      </w:r>
      <w:r>
        <w:rPr>
          <w:rFonts w:ascii="楷体" w:hAnsi="楷体" w:eastAsia="楷体" w:cs="楷体"/>
          <w:kern w:val="2"/>
          <w:sz w:val="21"/>
          <w:szCs w:val="22"/>
        </w:rPr>
        <w:t>各评分因素（投标报价评分项除外）得分一般不得低于其权重分值的60%，且各评分因素得分应以评标委员会各成员的打分平均值确定，评标委员会成员总数为7人以上时，该平均值以去掉一个最高分和一个最低分后计算。评标委员会成员对某一项评分因素的评分低于权重分值60%的，应在评标报告中作出说明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976577"/>
    <w:rsid w:val="0005335B"/>
    <w:rsid w:val="001B2F15"/>
    <w:rsid w:val="001E7FD4"/>
    <w:rsid w:val="0021703D"/>
    <w:rsid w:val="002252DC"/>
    <w:rsid w:val="00231F0D"/>
    <w:rsid w:val="00233745"/>
    <w:rsid w:val="00282745"/>
    <w:rsid w:val="002A69A2"/>
    <w:rsid w:val="002B7B92"/>
    <w:rsid w:val="002D768F"/>
    <w:rsid w:val="002E465D"/>
    <w:rsid w:val="003B019A"/>
    <w:rsid w:val="004C5613"/>
    <w:rsid w:val="004F05E3"/>
    <w:rsid w:val="00502E88"/>
    <w:rsid w:val="00532828"/>
    <w:rsid w:val="005514D3"/>
    <w:rsid w:val="005972CD"/>
    <w:rsid w:val="005B2A43"/>
    <w:rsid w:val="005C21E4"/>
    <w:rsid w:val="005D37F2"/>
    <w:rsid w:val="00641857"/>
    <w:rsid w:val="006C38E4"/>
    <w:rsid w:val="007118D4"/>
    <w:rsid w:val="00791974"/>
    <w:rsid w:val="007B7BA6"/>
    <w:rsid w:val="00812F23"/>
    <w:rsid w:val="00861859"/>
    <w:rsid w:val="00871362"/>
    <w:rsid w:val="008746CD"/>
    <w:rsid w:val="00916D20"/>
    <w:rsid w:val="00923518"/>
    <w:rsid w:val="00955175"/>
    <w:rsid w:val="00976577"/>
    <w:rsid w:val="009C3EDE"/>
    <w:rsid w:val="009E021E"/>
    <w:rsid w:val="00A7342F"/>
    <w:rsid w:val="00A806E0"/>
    <w:rsid w:val="00AE752B"/>
    <w:rsid w:val="00B06859"/>
    <w:rsid w:val="00B608ED"/>
    <w:rsid w:val="00B834AC"/>
    <w:rsid w:val="00B94549"/>
    <w:rsid w:val="00BD06B8"/>
    <w:rsid w:val="00BE0A41"/>
    <w:rsid w:val="00C55B37"/>
    <w:rsid w:val="00D94845"/>
    <w:rsid w:val="00E2099B"/>
    <w:rsid w:val="00E34D0C"/>
    <w:rsid w:val="00E87CC6"/>
    <w:rsid w:val="00EE2448"/>
    <w:rsid w:val="00F66AB9"/>
    <w:rsid w:val="02361764"/>
    <w:rsid w:val="03E02203"/>
    <w:rsid w:val="091800F6"/>
    <w:rsid w:val="2709239C"/>
    <w:rsid w:val="2B2D3677"/>
    <w:rsid w:val="330C2EA8"/>
    <w:rsid w:val="3B831203"/>
    <w:rsid w:val="7DED1A86"/>
    <w:rsid w:val="7F1327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34"/>
    <w:qFormat/>
    <w:uiPriority w:val="9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6">
    <w:name w:val="heading 4"/>
    <w:basedOn w:val="1"/>
    <w:next w:val="1"/>
    <w:link w:val="3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cs="Times New Roman"/>
      <w:szCs w:val="22"/>
    </w:rPr>
  </w:style>
  <w:style w:type="paragraph" w:styleId="7">
    <w:name w:val="annotation text"/>
    <w:basedOn w:val="1"/>
    <w:link w:val="30"/>
    <w:qFormat/>
    <w:uiPriority w:val="0"/>
    <w:pPr>
      <w:jc w:val="left"/>
    </w:pPr>
    <w:rPr>
      <w:rFonts w:ascii="Calibri" w:hAnsi="Calibri"/>
      <w:szCs w:val="22"/>
    </w:r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21"/>
    <w:unhideWhenUsed/>
    <w:qFormat/>
    <w:uiPriority w:val="0"/>
    <w:pPr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12">
    <w:name w:val="Body Text Indent 3"/>
    <w:basedOn w:val="1"/>
    <w:link w:val="20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3">
    <w:name w:val="Normal (Web)"/>
    <w:basedOn w:val="1"/>
    <w:unhideWhenUsed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</w:rPr>
  </w:style>
  <w:style w:type="paragraph" w:styleId="14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styleId="19">
    <w:name w:val="footnote reference"/>
    <w:qFormat/>
    <w:uiPriority w:val="0"/>
    <w:rPr>
      <w:vertAlign w:val="superscript"/>
    </w:rPr>
  </w:style>
  <w:style w:type="character" w:customStyle="1" w:styleId="20">
    <w:name w:val="正文文本缩进 3 Char"/>
    <w:basedOn w:val="17"/>
    <w:link w:val="12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21">
    <w:name w:val="脚注文本 Char"/>
    <w:basedOn w:val="17"/>
    <w:link w:val="11"/>
    <w:qFormat/>
    <w:uiPriority w:val="0"/>
    <w:rPr>
      <w:rFonts w:ascii="Calibri" w:hAnsi="Calibri" w:eastAsia="宋体" w:cs="Times New Roman"/>
      <w:kern w:val="0"/>
      <w:sz w:val="18"/>
      <w:szCs w:val="18"/>
    </w:rPr>
  </w:style>
  <w:style w:type="character" w:customStyle="1" w:styleId="22">
    <w:name w:val="页眉 Char"/>
    <w:basedOn w:val="17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标题 Char"/>
    <w:basedOn w:val="17"/>
    <w:link w:val="1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4">
    <w:name w:val="批注框文本 Char"/>
    <w:basedOn w:val="17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17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标题 1 Char"/>
    <w:basedOn w:val="17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7">
    <w:name w:val="标题 3 Char"/>
    <w:basedOn w:val="17"/>
    <w:link w:val="5"/>
    <w:qFormat/>
    <w:uiPriority w:val="99"/>
    <w:rPr>
      <w:rFonts w:ascii="Calibri" w:hAnsi="Calibri" w:eastAsia="宋体" w:cs="Times New Roman"/>
      <w:b/>
      <w:bCs/>
      <w:kern w:val="0"/>
      <w:sz w:val="32"/>
      <w:szCs w:val="32"/>
    </w:rPr>
  </w:style>
  <w:style w:type="character" w:customStyle="1" w:styleId="28">
    <w:name w:val="标题 2 Char"/>
    <w:basedOn w:val="17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9">
    <w:name w:val="标题 4 Char"/>
    <w:basedOn w:val="17"/>
    <w:link w:val="6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0">
    <w:name w:val="批注文字 Char"/>
    <w:basedOn w:val="17"/>
    <w:link w:val="7"/>
    <w:qFormat/>
    <w:uiPriority w:val="0"/>
    <w:rPr>
      <w:rFonts w:ascii="Calibri" w:hAnsi="Calibri" w:eastAsia="宋体" w:cs="Times New Roman"/>
    </w:rPr>
  </w:style>
  <w:style w:type="paragraph" w:customStyle="1" w:styleId="31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3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3">
    <w:name w:val="标题 4 Char1"/>
    <w:basedOn w:val="17"/>
    <w:link w:val="6"/>
    <w:uiPriority w:val="0"/>
    <w:rPr>
      <w:rFonts w:hint="default" w:ascii="Cambria" w:hAnsi="Cambria" w:eastAsia="Cambria" w:cs="Cambria"/>
      <w:b/>
      <w:bCs/>
      <w:kern w:val="2"/>
      <w:sz w:val="28"/>
      <w:szCs w:val="28"/>
    </w:rPr>
  </w:style>
  <w:style w:type="character" w:customStyle="1" w:styleId="34">
    <w:name w:val="标题 3 Char1"/>
    <w:basedOn w:val="17"/>
    <w:link w:val="5"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95994B-1DCD-4FE7-9366-FFE67A0888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5</Pages>
  <Words>464</Words>
  <Characters>2648</Characters>
  <Lines>22</Lines>
  <Paragraphs>6</Paragraphs>
  <TotalTime>0</TotalTime>
  <ScaleCrop>false</ScaleCrop>
  <LinksUpToDate>false</LinksUpToDate>
  <CharactersWithSpaces>3106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2018-05-08T11:13:00Z</dcterms:created>
  <dc:creator>Administrator</dc:creator>
  <cp:lastModifiedBy>Administrator</cp:lastModifiedBy>
  <dcterms:modified xsi:type="dcterms:W3CDTF">2021-10-29T06:14:59Z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7DB6DD8FCB384A84A650A6FD8B13553D</vt:lpwstr>
  </property>
</Properties>
</file>