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A2" w:rsidRDefault="00955175" w:rsidP="00E83BAB">
      <w:pPr>
        <w:adjustRightInd w:val="0"/>
        <w:snapToGrid w:val="0"/>
        <w:spacing w:beforeLines="50" w:afterLines="50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吉林省吉高服务区管理有限公司自营加油站零管系统硬件采购</w:t>
      </w:r>
    </w:p>
    <w:p w:rsidR="002A69A2" w:rsidRDefault="00955175">
      <w:pPr>
        <w:tabs>
          <w:tab w:val="left" w:pos="5010"/>
        </w:tabs>
        <w:autoSpaceDE w:val="0"/>
        <w:autoSpaceDN w:val="0"/>
        <w:adjustRightInd w:val="0"/>
        <w:jc w:val="center"/>
        <w:rPr>
          <w:rFonts w:ascii="黑体" w:eastAsia="黑体" w:hAnsi="宋体"/>
          <w:bCs/>
          <w:color w:val="000000"/>
          <w:kern w:val="0"/>
          <w:sz w:val="40"/>
          <w:szCs w:val="32"/>
        </w:rPr>
      </w:pPr>
      <w:r>
        <w:rPr>
          <w:rFonts w:ascii="黑体" w:eastAsia="黑体" w:hint="eastAsia"/>
          <w:color w:val="000000"/>
          <w:sz w:val="40"/>
          <w:szCs w:val="32"/>
        </w:rPr>
        <w:t>招标文件关键内容</w:t>
      </w:r>
    </w:p>
    <w:p w:rsidR="002A69A2" w:rsidRDefault="00955175" w:rsidP="00E83BAB">
      <w:pPr>
        <w:pStyle w:val="4"/>
        <w:widowControl/>
        <w:spacing w:beforeLines="100" w:after="0" w:line="360" w:lineRule="auto"/>
        <w:rPr>
          <w:rFonts w:ascii="宋体" w:eastAsia="宋体" w:hAnsi="宋体" w:cs="宋体"/>
          <w:color w:val="000000"/>
          <w:kern w:val="44"/>
        </w:rPr>
      </w:pPr>
      <w:bookmarkStart w:id="0" w:name="_Toc498955117"/>
      <w:bookmarkStart w:id="1" w:name="_Toc462671337"/>
      <w:r>
        <w:rPr>
          <w:rFonts w:ascii="宋体" w:eastAsia="宋体" w:hAnsi="宋体" w:cs="宋体" w:hint="eastAsia"/>
          <w:color w:val="000000"/>
          <w:kern w:val="44"/>
        </w:rPr>
        <w:t>1.招标条件</w:t>
      </w:r>
    </w:p>
    <w:p w:rsidR="002A69A2" w:rsidRDefault="00955175">
      <w:pPr>
        <w:spacing w:line="400" w:lineRule="exact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吉林省吉高服务区管理有限公司自营加油站零管系统硬件采购</w:t>
      </w:r>
      <w:r>
        <w:rPr>
          <w:rFonts w:ascii="宋体" w:hAnsi="宋体" w:cs="宋体" w:hint="eastAsia"/>
          <w:color w:val="000000"/>
          <w:sz w:val="24"/>
        </w:rPr>
        <w:t>招标人为吉林省吉高服务区管理有限公司，招标项目资金已落实。该项目已具备招标条件，现进行公开招标。</w:t>
      </w:r>
    </w:p>
    <w:p w:rsidR="002A69A2" w:rsidRDefault="00955175" w:rsidP="00E83BAB">
      <w:pPr>
        <w:pStyle w:val="4"/>
        <w:widowControl/>
        <w:spacing w:beforeLines="100" w:after="0" w:line="360" w:lineRule="auto"/>
        <w:rPr>
          <w:rFonts w:ascii="宋体" w:eastAsia="宋体" w:hAnsi="宋体" w:cs="宋体"/>
          <w:color w:val="000000"/>
          <w:kern w:val="44"/>
        </w:rPr>
      </w:pPr>
      <w:bookmarkStart w:id="2" w:name="_Toc359047599"/>
      <w:bookmarkStart w:id="3" w:name="_Toc359047679"/>
      <w:bookmarkStart w:id="4" w:name="_Toc359047735"/>
      <w:r>
        <w:rPr>
          <w:rFonts w:ascii="宋体" w:eastAsia="宋体" w:hAnsi="宋体" w:cs="宋体" w:hint="eastAsia"/>
          <w:color w:val="000000"/>
          <w:kern w:val="44"/>
        </w:rPr>
        <w:t>2.项目概况与招标</w:t>
      </w:r>
      <w:bookmarkEnd w:id="2"/>
      <w:bookmarkEnd w:id="3"/>
      <w:bookmarkEnd w:id="4"/>
      <w:r>
        <w:rPr>
          <w:rFonts w:ascii="宋体" w:eastAsia="宋体" w:hAnsi="宋体" w:cs="宋体" w:hint="eastAsia"/>
          <w:color w:val="000000"/>
          <w:kern w:val="44"/>
        </w:rPr>
        <w:t>范围</w:t>
      </w:r>
    </w:p>
    <w:p w:rsidR="002A69A2" w:rsidRDefault="00955175">
      <w:pPr>
        <w:spacing w:line="400" w:lineRule="exact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2.1合同包划分：本次招标共划分为3个合同包，具体如下：</w:t>
      </w:r>
    </w:p>
    <w:tbl>
      <w:tblPr>
        <w:tblpPr w:leftFromText="180" w:rightFromText="180" w:vertAnchor="text" w:horzAnchor="page" w:tblpX="1244" w:tblpY="268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1262"/>
        <w:gridCol w:w="3673"/>
        <w:gridCol w:w="550"/>
        <w:gridCol w:w="613"/>
        <w:gridCol w:w="704"/>
        <w:gridCol w:w="992"/>
        <w:gridCol w:w="849"/>
      </w:tblGrid>
      <w:tr w:rsidR="002A69A2" w:rsidTr="007B7BA6">
        <w:trPr>
          <w:trHeight w:val="52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合同包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名称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技术性能指标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单位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数量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采购预算</w:t>
            </w:r>
          </w:p>
        </w:tc>
      </w:tr>
      <w:tr w:rsidR="002A69A2" w:rsidTr="007B7BA6">
        <w:trPr>
          <w:trHeight w:val="933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单价</w:t>
            </w:r>
          </w:p>
          <w:p w:rsidR="002A69A2" w:rsidRDefault="00955175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合价</w:t>
            </w:r>
          </w:p>
          <w:p w:rsidR="002A69A2" w:rsidRDefault="00955175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（元）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合同包总价</w:t>
            </w:r>
          </w:p>
        </w:tc>
      </w:tr>
      <w:tr w:rsidR="007B7BA6" w:rsidTr="007B7BA6">
        <w:trPr>
          <w:trHeight w:val="63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24口交换机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24口千兆交换机，交换机带调频（调节带宽）功能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68400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241940</w:t>
            </w:r>
          </w:p>
        </w:tc>
      </w:tr>
      <w:tr w:rsidR="007B7BA6" w:rsidTr="007B7BA6">
        <w:trPr>
          <w:trHeight w:val="636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路由器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千兆无线路由器 WiFi6 5G双频高速网络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30400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rPr>
                <w:sz w:val="20"/>
                <w:szCs w:val="20"/>
              </w:rPr>
            </w:pPr>
          </w:p>
        </w:tc>
      </w:tr>
      <w:tr w:rsidR="007B7BA6" w:rsidTr="007B7BA6">
        <w:trPr>
          <w:trHeight w:val="949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站内基础设施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插排(2米16孔*2个)、网线100米、液位仪的串口线(5米左右)*1，水晶头*1盒，扎带15公分*3盒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套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30400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rPr>
                <w:sz w:val="20"/>
                <w:szCs w:val="20"/>
              </w:rPr>
            </w:pPr>
          </w:p>
        </w:tc>
      </w:tr>
      <w:tr w:rsidR="007B7BA6" w:rsidTr="007B7BA6">
        <w:trPr>
          <w:trHeight w:val="523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显示器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19英寸以上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20000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rPr>
                <w:sz w:val="20"/>
                <w:szCs w:val="20"/>
              </w:rPr>
            </w:pPr>
          </w:p>
        </w:tc>
      </w:tr>
      <w:tr w:rsidR="007B7BA6" w:rsidTr="007B7BA6">
        <w:trPr>
          <w:trHeight w:val="636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5口交换机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spacing w:line="280" w:lineRule="exact"/>
              <w:jc w:val="left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1540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rPr>
                <w:sz w:val="20"/>
                <w:szCs w:val="20"/>
              </w:rPr>
            </w:pPr>
          </w:p>
        </w:tc>
      </w:tr>
      <w:tr w:rsidR="007B7BA6" w:rsidTr="007B7BA6">
        <w:trPr>
          <w:trHeight w:val="523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机柜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最少4个置物板200x60x60cm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套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91200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rPr>
                <w:sz w:val="20"/>
                <w:szCs w:val="20"/>
              </w:rPr>
            </w:pPr>
          </w:p>
        </w:tc>
      </w:tr>
      <w:tr w:rsidR="007B7BA6" w:rsidTr="007B7BA6">
        <w:trPr>
          <w:trHeight w:val="6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双屏收银POS+扫码枪+鼠标键盘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硬件配置：中央处理器(CPU) J1800Intel2.4G双核，内存容量：DDRIII-4G，硬盘容量128GB，USB口6个，网络接口2个（硬件为最低配置）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br/>
              <w:t>显示器：LCD 电容屏，15.6 英寸，1920x1080；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br/>
              <w:t>打印单元：打印类型热转换式，打印宽度57.5+/-0.5mm，接口USB，二维码扫描枪，条码扫码枪手机微信支付宝扫码器；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br/>
              <w:t>双屏:WIN7以上64位。</w:t>
            </w:r>
          </w:p>
          <w:p w:rsidR="007B7BA6" w:rsidRDefault="007B7BA6" w:rsidP="007B7BA6">
            <w:pPr>
              <w:adjustRightInd w:val="0"/>
              <w:snapToGrid w:val="0"/>
              <w:spacing w:line="0" w:lineRule="atLeast"/>
              <w:outlineLvl w:val="1"/>
              <w:rPr>
                <w:rFonts w:ascii="仿宋" w:eastAsia="仿宋" w:hAnsi="仿宋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lastRenderedPageBreak/>
              <w:t>保修政策：全国联保，三包服务</w:t>
            </w:r>
          </w:p>
          <w:p w:rsidR="007B7BA6" w:rsidRDefault="007B7BA6" w:rsidP="007B7BA6">
            <w:pPr>
              <w:adjustRightInd w:val="0"/>
              <w:snapToGrid w:val="0"/>
              <w:spacing w:line="0" w:lineRule="atLeast"/>
              <w:outlineLvl w:val="1"/>
              <w:rPr>
                <w:rFonts w:ascii="仿宋" w:eastAsia="仿宋" w:hAnsi="仿宋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售后服务：整机质保3年</w:t>
            </w:r>
          </w:p>
          <w:p w:rsidR="007B7BA6" w:rsidRDefault="007B7BA6" w:rsidP="007B7BA6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交货：整机原厂原封不得开箱。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lastRenderedPageBreak/>
              <w:t>套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304000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pStyle w:val="a8"/>
              <w:spacing w:beforeAutospacing="0" w:afterAutospacing="0" w:line="280" w:lineRule="exact"/>
              <w:jc w:val="center"/>
              <w:rPr>
                <w:rFonts w:ascii="仿宋" w:eastAsia="仿宋" w:hAnsi="仿宋" w:cs="仿宋" w:hint="default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304000</w:t>
            </w:r>
          </w:p>
        </w:tc>
      </w:tr>
      <w:tr w:rsidR="007B7BA6" w:rsidTr="007B7BA6">
        <w:trPr>
          <w:trHeight w:val="28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pStyle w:val="a8"/>
              <w:jc w:val="center"/>
              <w:rPr>
                <w:rFonts w:ascii="仿宋" w:eastAsia="仿宋" w:hAnsi="仿宋" w:cs="仿宋" w:hint="default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lastRenderedPageBreak/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系统后台台式电脑（品牌机，含显示器）+鼠标键盘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主板：QM9400-I5-6C-2L支持VGA HDMI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br/>
              <w:t>处理器：集成INTEL i5十代或十一代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br/>
              <w:t>内存：DDR4-8G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br/>
              <w:t>硬盘：固态256G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br/>
              <w:t>电源:300W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br/>
              <w:t>显卡：集成显卡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br/>
              <w:t>网络：支持无线WIFI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br/>
              <w:t>9针串口：至少1个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br/>
              <w:t>系统：linux   centos 7系统</w:t>
            </w:r>
          </w:p>
          <w:p w:rsidR="007B7BA6" w:rsidRDefault="007B7BA6" w:rsidP="007B7B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显示器尺寸：19英寸以上</w:t>
            </w:r>
          </w:p>
          <w:p w:rsidR="007B7BA6" w:rsidRDefault="007B7BA6" w:rsidP="007B7BA6">
            <w:pPr>
              <w:adjustRightInd w:val="0"/>
              <w:snapToGrid w:val="0"/>
              <w:spacing w:line="0" w:lineRule="atLeast"/>
              <w:outlineLvl w:val="1"/>
              <w:rPr>
                <w:rFonts w:ascii="仿宋" w:eastAsia="仿宋" w:hAnsi="仿宋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保修政策：全国联保，三包服务</w:t>
            </w:r>
          </w:p>
          <w:p w:rsidR="007B7BA6" w:rsidRDefault="007B7BA6" w:rsidP="007B7BA6">
            <w:pPr>
              <w:adjustRightInd w:val="0"/>
              <w:snapToGrid w:val="0"/>
              <w:spacing w:line="0" w:lineRule="atLeast"/>
              <w:outlineLvl w:val="1"/>
              <w:rPr>
                <w:rFonts w:ascii="仿宋" w:eastAsia="仿宋" w:hAnsi="仿宋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售后服务：整机质保3年</w:t>
            </w:r>
          </w:p>
          <w:p w:rsidR="007B7BA6" w:rsidRDefault="007B7BA6" w:rsidP="007B7B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交货：整机原厂原封不得开箱。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Default="007B7BA6" w:rsidP="007B7B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2"/>
              </w:rPr>
              <w:t>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395200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6" w:rsidRPr="00884177" w:rsidRDefault="007B7BA6" w:rsidP="007B7B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</w:rPr>
              <w:t>395200</w:t>
            </w:r>
          </w:p>
        </w:tc>
      </w:tr>
    </w:tbl>
    <w:p w:rsidR="002A69A2" w:rsidRDefault="00955175">
      <w:pPr>
        <w:spacing w:line="400" w:lineRule="exact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2.2交货期：</w:t>
      </w:r>
      <w:r>
        <w:rPr>
          <w:rFonts w:ascii="宋体" w:hAnsi="宋体" w:cs="宋体" w:hint="eastAsia"/>
          <w:sz w:val="24"/>
        </w:rPr>
        <w:t>自签订合同之日起15日内，具体供货计划按招标人的需求执行。</w:t>
      </w:r>
    </w:p>
    <w:p w:rsidR="00E83BAB" w:rsidRDefault="00E83BAB" w:rsidP="00E83BAB">
      <w:pPr>
        <w:spacing w:line="400" w:lineRule="exact"/>
        <w:ind w:firstLineChars="150" w:firstLine="360"/>
        <w:rPr>
          <w:rFonts w:ascii="宋体" w:hAnsi="宋体" w:cs="宋体"/>
          <w:color w:val="000000"/>
          <w:sz w:val="24"/>
        </w:rPr>
      </w:pPr>
      <w:bookmarkStart w:id="5" w:name="_Toc359047736"/>
      <w:bookmarkStart w:id="6" w:name="_Toc359047600"/>
      <w:bookmarkStart w:id="7" w:name="_Toc359047680"/>
      <w:r>
        <w:rPr>
          <w:rFonts w:ascii="宋体" w:hAnsi="宋体" w:cs="宋体" w:hint="eastAsia"/>
          <w:color w:val="000000"/>
          <w:sz w:val="24"/>
        </w:rPr>
        <w:t>2.3交货地点：</w:t>
      </w:r>
      <w:r>
        <w:rPr>
          <w:rFonts w:ascii="宋体" w:hAnsi="宋体" w:cs="宋体" w:hint="eastAsia"/>
          <w:bCs/>
          <w:sz w:val="24"/>
        </w:rPr>
        <w:t>吉林省内各高速公路服务区加油站</w:t>
      </w:r>
      <w:r>
        <w:rPr>
          <w:rFonts w:ascii="宋体" w:hAnsi="宋体" w:cs="宋体" w:hint="eastAsia"/>
          <w:sz w:val="24"/>
        </w:rPr>
        <w:t>（长春地区、吉林地区、四平地区、辽源地区、通化地区、白山地区、松原地区、白城地区、延边州共76个加油站）</w:t>
      </w:r>
      <w:r>
        <w:rPr>
          <w:rFonts w:ascii="宋体" w:hAnsi="宋体" w:cs="宋体" w:hint="eastAsia"/>
          <w:bCs/>
          <w:sz w:val="24"/>
        </w:rPr>
        <w:t>，具体交货地点以</w:t>
      </w:r>
      <w:r>
        <w:rPr>
          <w:rFonts w:ascii="宋体" w:hAnsi="宋体" w:hint="eastAsia"/>
          <w:sz w:val="24"/>
        </w:rPr>
        <w:t>招标</w:t>
      </w:r>
      <w:r>
        <w:rPr>
          <w:rFonts w:ascii="宋体" w:hAnsi="宋体" w:cs="宋体" w:hint="eastAsia"/>
          <w:bCs/>
          <w:sz w:val="24"/>
        </w:rPr>
        <w:t>人要求为准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2A69A2" w:rsidRDefault="00955175" w:rsidP="00E83BAB">
      <w:pPr>
        <w:pStyle w:val="4"/>
        <w:widowControl/>
        <w:spacing w:beforeLines="100" w:after="0" w:line="360" w:lineRule="auto"/>
        <w:rPr>
          <w:rFonts w:ascii="宋体" w:eastAsia="宋体" w:hAnsi="宋体" w:cs="宋体"/>
          <w:color w:val="000000"/>
          <w:kern w:val="44"/>
        </w:rPr>
      </w:pPr>
      <w:r>
        <w:rPr>
          <w:rFonts w:ascii="宋体" w:eastAsia="宋体" w:hAnsi="宋体" w:cs="宋体" w:hint="eastAsia"/>
          <w:color w:val="000000"/>
          <w:kern w:val="44"/>
        </w:rPr>
        <w:t>3.投标人资格要求</w:t>
      </w:r>
      <w:bookmarkEnd w:id="5"/>
      <w:bookmarkEnd w:id="6"/>
      <w:bookmarkEnd w:id="7"/>
    </w:p>
    <w:p w:rsidR="002A69A2" w:rsidRDefault="00955175">
      <w:pPr>
        <w:spacing w:line="400" w:lineRule="exact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3.1本次招标要求投标人为具有独立法人资格的生产厂商或代理商（经销商），并具有相应的供货能力。</w:t>
      </w:r>
    </w:p>
    <w:p w:rsidR="002A69A2" w:rsidRDefault="00955175">
      <w:pPr>
        <w:spacing w:line="400" w:lineRule="exact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3.2投标人近三年内（2018年1月1日后，以合同签订时间为准）至少具有1项与本项目类似的销售业绩。</w:t>
      </w:r>
    </w:p>
    <w:p w:rsidR="002A69A2" w:rsidRDefault="00955175">
      <w:pPr>
        <w:spacing w:line="400" w:lineRule="exact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3.3本次招标不接受联合体投标。</w:t>
      </w:r>
    </w:p>
    <w:p w:rsidR="002A69A2" w:rsidRDefault="00955175">
      <w:pPr>
        <w:spacing w:line="400" w:lineRule="exact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3.4每个投标人可同时对3个合同包投标，最多允许中3个合同包。</w:t>
      </w:r>
    </w:p>
    <w:p w:rsidR="002A69A2" w:rsidRDefault="00955175">
      <w:pPr>
        <w:rPr>
          <w:rFonts w:ascii="宋体" w:hAnsi="宋体" w:cs="宋体"/>
          <w:color w:val="000000"/>
          <w:kern w:val="44"/>
        </w:rPr>
      </w:pPr>
      <w:bookmarkStart w:id="8" w:name="_Toc359047868"/>
      <w:bookmarkStart w:id="9" w:name="_Toc359159609"/>
      <w:bookmarkStart w:id="10" w:name="_Toc359047689"/>
      <w:bookmarkStart w:id="11" w:name="_Toc359048793"/>
      <w:bookmarkStart w:id="12" w:name="_Toc359155636"/>
      <w:bookmarkStart w:id="13" w:name="_Toc359158515"/>
      <w:bookmarkStart w:id="14" w:name="_Toc359157599"/>
      <w:bookmarkStart w:id="15" w:name="_Toc359158806"/>
      <w:bookmarkStart w:id="16" w:name="_Toc359047609"/>
      <w:bookmarkStart w:id="17" w:name="_Toc359047745"/>
      <w:bookmarkStart w:id="18" w:name="_Toc359156351"/>
      <w:bookmarkStart w:id="19" w:name="_Toc359049640"/>
      <w:bookmarkStart w:id="20" w:name="_Toc359158102"/>
      <w:bookmarkStart w:id="21" w:name="_Toc359157484"/>
      <w:bookmarkStart w:id="22" w:name="_Toc359054706"/>
      <w:bookmarkStart w:id="23" w:name="_Toc359157049"/>
      <w:bookmarkStart w:id="24" w:name="_Toc28407"/>
      <w:r>
        <w:rPr>
          <w:rFonts w:ascii="宋体" w:hAnsi="宋体" w:cs="宋体" w:hint="eastAsia"/>
          <w:color w:val="000000"/>
          <w:kern w:val="44"/>
        </w:rPr>
        <w:br w:type="page"/>
      </w:r>
    </w:p>
    <w:p w:rsidR="002A69A2" w:rsidRDefault="00955175" w:rsidP="00E83BAB">
      <w:pPr>
        <w:pStyle w:val="4"/>
        <w:widowControl/>
        <w:spacing w:beforeLines="100" w:after="0" w:line="360" w:lineRule="auto"/>
        <w:rPr>
          <w:rFonts w:ascii="宋体" w:eastAsia="宋体" w:hAnsi="宋体" w:cs="宋体"/>
          <w:color w:val="000000"/>
          <w:kern w:val="44"/>
          <w:lang w:val="zh-CN"/>
        </w:rPr>
      </w:pPr>
      <w:r>
        <w:rPr>
          <w:rFonts w:ascii="宋体" w:eastAsia="宋体" w:hAnsi="宋体" w:cs="宋体" w:hint="eastAsia"/>
          <w:color w:val="000000"/>
          <w:kern w:val="44"/>
        </w:rPr>
        <w:lastRenderedPageBreak/>
        <w:t>4.评标办法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宋体" w:eastAsia="宋体" w:hAnsi="宋体" w:cs="宋体" w:hint="eastAsia"/>
          <w:color w:val="000000"/>
          <w:kern w:val="44"/>
        </w:rPr>
        <w:t>（综合评估法）</w:t>
      </w:r>
      <w:bookmarkStart w:id="25" w:name="_Toc448495593"/>
      <w:bookmarkEnd w:id="24"/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1114"/>
        <w:gridCol w:w="2464"/>
        <w:gridCol w:w="5595"/>
      </w:tblGrid>
      <w:tr w:rsidR="002A69A2">
        <w:trPr>
          <w:trHeight w:val="397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5"/>
          <w:p w:rsidR="002A69A2" w:rsidRDefault="00955175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条款号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评审因素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评审标准</w:t>
            </w:r>
          </w:p>
        </w:tc>
      </w:tr>
      <w:tr w:rsidR="002A69A2">
        <w:trPr>
          <w:trHeight w:val="39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评标方法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中标候选人排序方法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2" w:rsidRDefault="00955175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标委员会对满足招标文件实质性要求的投标文件，按照本章第2.2款规定的评分标准进行打分，并按得分由高到低顺序推荐中标候选人，但投标报价低于其成本的除外。综合评分相等时，以投标报价低的优先；投标报价也相等的，以技术得分高的优先；如果技术得分也相等，由评标委员会投票确定。</w:t>
            </w:r>
          </w:p>
        </w:tc>
      </w:tr>
      <w:tr w:rsidR="002A69A2">
        <w:trPr>
          <w:trHeight w:val="374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2.1.1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形式评审</w:t>
            </w:r>
          </w:p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标准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投标人名称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与营业执照（事业单位法人证书）一致</w:t>
            </w:r>
          </w:p>
        </w:tc>
      </w:tr>
      <w:tr w:rsidR="002A69A2">
        <w:trPr>
          <w:trHeight w:val="1229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投标函签字盖章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有法定代表人</w:t>
            </w:r>
            <w:bookmarkStart w:id="26" w:name="_Toc152042361"/>
            <w:bookmarkStart w:id="27" w:name="_Toc384308269"/>
            <w:bookmarkStart w:id="28" w:name="_Toc352691530"/>
            <w:bookmarkStart w:id="29" w:name="_Toc152045584"/>
            <w:bookmarkStart w:id="30" w:name="_Toc6546"/>
            <w:bookmarkStart w:id="31" w:name="_Toc361508643"/>
            <w:bookmarkStart w:id="32" w:name="_Toc247527609"/>
            <w:bookmarkStart w:id="33" w:name="_Toc247514008"/>
            <w:bookmarkStart w:id="34" w:name="_Toc144974551"/>
            <w:bookmarkStart w:id="35" w:name="_Toc300835005"/>
            <w:bookmarkStart w:id="36" w:name="_Toc369531574"/>
            <w:r>
              <w:rPr>
                <w:rFonts w:ascii="宋体" w:hAnsi="宋体" w:cs="宋体" w:hint="eastAsia"/>
                <w:color w:val="000000"/>
                <w:szCs w:val="21"/>
              </w:rPr>
              <w:t>或其委托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>
              <w:rPr>
                <w:rFonts w:ascii="宋体" w:hAnsi="宋体" w:cs="宋体" w:hint="eastAsia"/>
                <w:color w:val="000000"/>
                <w:szCs w:val="21"/>
              </w:rPr>
              <w:t>代理人签字或加盖单位章。由法定代表人签字的，应附法定代表人身份证明，由代理人签字的，应附授权委托书，身份证明或授权委托书应符合第六章“投标文件格式”的规定。</w:t>
            </w:r>
          </w:p>
        </w:tc>
      </w:tr>
      <w:tr w:rsidR="002A69A2">
        <w:trPr>
          <w:trHeight w:val="453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投标文件格式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符合第六章“投标文件格式”的规定</w:t>
            </w:r>
          </w:p>
        </w:tc>
      </w:tr>
      <w:tr w:rsidR="002A69A2">
        <w:trPr>
          <w:trHeight w:val="417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联合体投标人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未以联合体形式投标</w:t>
            </w:r>
          </w:p>
        </w:tc>
      </w:tr>
      <w:tr w:rsidR="002A69A2">
        <w:trPr>
          <w:trHeight w:val="593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备选投标方案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除招标文件明确允许提交备选投标方案外，投标人不得提交备选投标方案。</w:t>
            </w:r>
          </w:p>
        </w:tc>
      </w:tr>
      <w:tr w:rsidR="002A69A2">
        <w:trPr>
          <w:trHeight w:val="670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2.1.2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资格评审</w:t>
            </w:r>
          </w:p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标准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营业执照（事业单位法人证书）和组织机构代码证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符合第二章“投标人须知”第3.5.1项规定，具备有效的营业执照（事业单位法人证书）和组织机构代码证。</w:t>
            </w:r>
          </w:p>
        </w:tc>
      </w:tr>
      <w:tr w:rsidR="002A69A2">
        <w:trPr>
          <w:trHeight w:val="419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其他要求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符合第二章“投标人须知”第1.4.1项规定</w:t>
            </w:r>
          </w:p>
        </w:tc>
      </w:tr>
      <w:tr w:rsidR="002A69A2">
        <w:trPr>
          <w:trHeight w:val="397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不存在禁止投标的情形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不存在第二章“投标人须知”第1.4.3项规定的任何一种情形</w:t>
            </w:r>
          </w:p>
        </w:tc>
      </w:tr>
      <w:tr w:rsidR="002A69A2">
        <w:trPr>
          <w:trHeight w:val="413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2.1.3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响应性评审标准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投标报价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符合第二章“投标人须知”第3.2款规定</w:t>
            </w:r>
          </w:p>
        </w:tc>
      </w:tr>
      <w:tr w:rsidR="002A69A2">
        <w:trPr>
          <w:trHeight w:val="419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投标内容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符合第二章“投标人须知”第1.3.1项规定</w:t>
            </w:r>
          </w:p>
        </w:tc>
      </w:tr>
      <w:tr w:rsidR="002A69A2">
        <w:trPr>
          <w:trHeight w:val="411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交货期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符合第二章“投标人须知”第1.3.2项规定</w:t>
            </w:r>
          </w:p>
        </w:tc>
      </w:tr>
      <w:tr w:rsidR="002A69A2">
        <w:trPr>
          <w:trHeight w:val="431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交货地点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符合第二章“投标人须知”第1.3.3项规定</w:t>
            </w:r>
          </w:p>
        </w:tc>
      </w:tr>
      <w:tr w:rsidR="002A69A2">
        <w:trPr>
          <w:trHeight w:val="669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设备技术性能指标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符合第二章“投标人须知”第1.3.4项规定</w:t>
            </w:r>
          </w:p>
        </w:tc>
      </w:tr>
      <w:tr w:rsidR="002A69A2">
        <w:trPr>
          <w:trHeight w:val="417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投标有效期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符合第二章“投标人须知”第3.3.1项规定</w:t>
            </w:r>
          </w:p>
        </w:tc>
      </w:tr>
      <w:tr w:rsidR="002A69A2">
        <w:trPr>
          <w:trHeight w:val="409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投标保证金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符合第二章“投标人须知”第3.4.1款规定</w:t>
            </w:r>
          </w:p>
        </w:tc>
      </w:tr>
      <w:tr w:rsidR="002A69A2">
        <w:trPr>
          <w:trHeight w:val="804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权利义务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符合第二章“投标人须知”第1.11.1项规定和第四章“合同条款及格式”中的实质性要求和条件</w:t>
            </w:r>
          </w:p>
        </w:tc>
      </w:tr>
      <w:tr w:rsidR="002A69A2">
        <w:trPr>
          <w:trHeight w:val="654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投标设备和技术服务和质保期服务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符合第五章“供货要求”中的实质性要求和条件。</w:t>
            </w:r>
          </w:p>
        </w:tc>
      </w:tr>
      <w:tr w:rsidR="002A69A2">
        <w:trPr>
          <w:trHeight w:val="467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技术支持资料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符合第二章“投标人须知”第1.11.3项规定</w:t>
            </w:r>
          </w:p>
        </w:tc>
      </w:tr>
      <w:tr w:rsidR="002A69A2">
        <w:trPr>
          <w:trHeight w:val="397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条款号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条款内容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编列内容</w:t>
            </w:r>
          </w:p>
        </w:tc>
      </w:tr>
      <w:tr w:rsidR="002A69A2">
        <w:trPr>
          <w:trHeight w:val="397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分值构成</w:t>
            </w:r>
          </w:p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(总分100分)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商务部分：10 分</w:t>
            </w:r>
          </w:p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技术部分：40 分</w:t>
            </w:r>
          </w:p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投标报价：50 分</w:t>
            </w:r>
          </w:p>
        </w:tc>
      </w:tr>
      <w:tr w:rsidR="002A69A2">
        <w:trPr>
          <w:trHeight w:val="397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2.2.2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评标基准价计算方法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评标基准价的计算：</w:t>
            </w:r>
          </w:p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（1）评标价的确定：</w:t>
            </w:r>
          </w:p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评标价=投标函文字报价</w:t>
            </w:r>
          </w:p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（2）评标基准价的确定：</w:t>
            </w:r>
          </w:p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将通过评审的</w:t>
            </w:r>
            <w:r>
              <w:rPr>
                <w:rFonts w:ascii="宋体" w:hAnsi="宋体" w:cs="宋体" w:hint="eastAsia"/>
                <w:szCs w:val="21"/>
              </w:rPr>
              <w:t>最低评标价作为评标基准价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2A69A2">
        <w:trPr>
          <w:trHeight w:val="1026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2.2.3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投标报价的偏差率</w:t>
            </w:r>
          </w:p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计算公式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偏差率=100%×（投标人评标价-评标基准价）/评标基准价</w:t>
            </w:r>
          </w:p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偏差率保留2位小数，例如：**.**%</w:t>
            </w:r>
          </w:p>
        </w:tc>
      </w:tr>
    </w:tbl>
    <w:p w:rsidR="002A69A2" w:rsidRDefault="002A69A2">
      <w:pPr>
        <w:rPr>
          <w:rFonts w:ascii="宋体" w:hAnsi="宋体" w:cs="宋体"/>
          <w:b/>
          <w:color w:val="000000"/>
          <w:szCs w:val="21"/>
        </w:rPr>
        <w:sectPr w:rsidR="002A69A2">
          <w:footnotePr>
            <w:numFmt w:val="decimalEnclosedCircleChinese"/>
            <w:numRestart w:val="eachPage"/>
          </w:footnotePr>
          <w:pgSz w:w="11906" w:h="16838"/>
          <w:pgMar w:top="1418" w:right="1702" w:bottom="1588" w:left="1702" w:header="851" w:footer="992" w:gutter="0"/>
          <w:cols w:space="425"/>
          <w:docGrid w:type="lines" w:linePitch="312"/>
        </w:sect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858"/>
        <w:gridCol w:w="1290"/>
        <w:gridCol w:w="2584"/>
        <w:gridCol w:w="5321"/>
      </w:tblGrid>
      <w:tr w:rsidR="002A69A2">
        <w:trPr>
          <w:trHeight w:val="397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lastRenderedPageBreak/>
              <w:t>条款号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评分因素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2"/>
                <w:vertAlign w:val="superscript"/>
              </w:rPr>
              <w:footnoteReference w:id="2"/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评分标准</w:t>
            </w:r>
          </w:p>
        </w:tc>
      </w:tr>
      <w:tr w:rsidR="002A69A2">
        <w:trPr>
          <w:trHeight w:val="832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2.2.4（1）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商务评分标准（10分）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 w:rsidP="007B7BA6">
            <w:pPr>
              <w:spacing w:before="56"/>
              <w:ind w:leftChars="-2" w:left="-4" w:right="-20" w:firstLineChars="16" w:firstLine="34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类似项目业绩</w:t>
            </w:r>
          </w:p>
          <w:p w:rsidR="002A69A2" w:rsidRDefault="00955175" w:rsidP="007B7BA6">
            <w:pPr>
              <w:spacing w:before="56"/>
              <w:ind w:leftChars="-2" w:left="-4" w:right="-20" w:firstLineChars="16" w:firstLine="34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（10分）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完成过1项类似项目业绩得6分，在此基础上每增加一项加1分，最多加4分。（需提供2018年1月1日后的合同协议书扫描件或复印件，加盖单位公章）。</w:t>
            </w:r>
            <w:bookmarkStart w:id="37" w:name="_Toc152045586"/>
            <w:bookmarkStart w:id="38" w:name="_Toc144974553"/>
            <w:bookmarkStart w:id="39" w:name="_Toc12369"/>
            <w:bookmarkStart w:id="40" w:name="_Toc247514010"/>
            <w:bookmarkStart w:id="41" w:name="_Toc384308271"/>
            <w:bookmarkStart w:id="42" w:name="_Toc152042363"/>
            <w:bookmarkStart w:id="43" w:name="_Toc352691532"/>
            <w:bookmarkStart w:id="44" w:name="_Toc369531576"/>
            <w:bookmarkStart w:id="45" w:name="_Toc247527611"/>
            <w:bookmarkStart w:id="46" w:name="_Toc361508645"/>
            <w:bookmarkStart w:id="47" w:name="_Toc300835007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</w:tc>
      </w:tr>
      <w:bookmarkEnd w:id="47"/>
      <w:tr w:rsidR="002A69A2">
        <w:trPr>
          <w:trHeight w:val="983"/>
          <w:jc w:val="center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2.2.4（2）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技术评分标准（40分）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对投标设备的</w:t>
            </w:r>
          </w:p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配置指标评价</w:t>
            </w:r>
          </w:p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（15分）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基本满足本次招标设备配置的，得9分，较好满足本次招标设备配置的，得10</w:t>
            </w:r>
            <w:r>
              <w:rPr>
                <w:rFonts w:ascii="宋体" w:hAnsi="宋体" w:cs="宋体" w:hint="eastAsia"/>
                <w:color w:val="000000"/>
                <w:szCs w:val="22"/>
              </w:rPr>
              <w:t>～12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分，优于本次招标设备配置的，得13</w:t>
            </w:r>
            <w:r>
              <w:rPr>
                <w:rFonts w:ascii="宋体" w:hAnsi="宋体" w:cs="宋体" w:hint="eastAsia"/>
                <w:color w:val="000000"/>
                <w:szCs w:val="22"/>
              </w:rPr>
              <w:t>～15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</w:tr>
      <w:tr w:rsidR="002A69A2">
        <w:trPr>
          <w:trHeight w:val="762"/>
          <w:jc w:val="center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对投标设备的</w:t>
            </w:r>
          </w:p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品牌评价（15分）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对设备的品牌知名度进行评分，一般得9分，较好得10</w:t>
            </w:r>
            <w:r>
              <w:rPr>
                <w:rFonts w:ascii="宋体" w:hAnsi="宋体" w:cs="宋体" w:hint="eastAsia"/>
                <w:color w:val="000000"/>
                <w:szCs w:val="22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12分，满意得13</w:t>
            </w:r>
            <w:r>
              <w:rPr>
                <w:rFonts w:ascii="宋体" w:hAnsi="宋体" w:cs="宋体" w:hint="eastAsia"/>
                <w:color w:val="000000"/>
                <w:szCs w:val="22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15分。</w:t>
            </w:r>
          </w:p>
        </w:tc>
      </w:tr>
      <w:tr w:rsidR="002A69A2">
        <w:trPr>
          <w:trHeight w:val="977"/>
          <w:jc w:val="center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2A69A2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2"/>
              </w:rPr>
              <w:t>对投标人</w:t>
            </w:r>
            <w:r>
              <w:rPr>
                <w:rFonts w:cs="宋体" w:hint="eastAsia"/>
                <w:szCs w:val="22"/>
              </w:rPr>
              <w:t>（或制造商）</w:t>
            </w:r>
            <w:r>
              <w:rPr>
                <w:rFonts w:ascii="宋体" w:hAnsi="宋体" w:cs="宋体" w:hint="eastAsia"/>
                <w:color w:val="000000"/>
                <w:szCs w:val="22"/>
              </w:rPr>
              <w:t>技术服务和质保期服务能力的评价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（10分）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售后服务体系良好、售后服务计划合理可行得6分，针对本项目售后服务措施考虑周全、售后服务及时且可行的予以加分，最多加4分。</w:t>
            </w:r>
          </w:p>
        </w:tc>
      </w:tr>
      <w:tr w:rsidR="002A69A2">
        <w:trPr>
          <w:trHeight w:val="39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2.2.4（3）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投标报价评分标准（50分）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A2" w:rsidRDefault="00955175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投标报价（50分）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2" w:rsidRDefault="00955175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评标价得分=50-偏差率×100×0.5；</w:t>
            </w:r>
          </w:p>
          <w:p w:rsidR="002A69A2" w:rsidRDefault="00955175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注：评标价得分最低得0分。</w:t>
            </w:r>
          </w:p>
        </w:tc>
      </w:tr>
    </w:tbl>
    <w:p w:rsidR="002A69A2" w:rsidRDefault="002A69A2">
      <w:pPr>
        <w:spacing w:line="415" w:lineRule="auto"/>
        <w:rPr>
          <w:rFonts w:ascii="宋体" w:hAnsi="宋体" w:cs="宋体"/>
          <w:b/>
          <w:bCs/>
          <w:color w:val="000000"/>
          <w:sz w:val="24"/>
          <w:szCs w:val="32"/>
          <w:lang w:val="zh-CN"/>
        </w:rPr>
        <w:sectPr w:rsidR="002A69A2">
          <w:footnotePr>
            <w:numFmt w:val="decimalEnclosedCircleChinese"/>
            <w:numRestart w:val="eachSect"/>
          </w:footnotePr>
          <w:type w:val="continuous"/>
          <w:pgSz w:w="11906" w:h="16838"/>
          <w:pgMar w:top="1418" w:right="1702" w:bottom="1588" w:left="1702" w:header="851" w:footer="992" w:gutter="0"/>
          <w:cols w:space="425"/>
          <w:docGrid w:type="lines" w:linePitch="312"/>
        </w:sectPr>
      </w:pPr>
    </w:p>
    <w:p w:rsidR="002A69A2" w:rsidRDefault="00955175" w:rsidP="00E83BAB">
      <w:pPr>
        <w:pStyle w:val="4"/>
        <w:widowControl/>
        <w:spacing w:beforeLines="100" w:after="0" w:line="360" w:lineRule="auto"/>
        <w:rPr>
          <w:rFonts w:ascii="宋体" w:eastAsia="宋体" w:hAnsi="宋体" w:cs="宋体"/>
          <w:color w:val="000000"/>
          <w:kern w:val="44"/>
        </w:rPr>
      </w:pPr>
      <w:r>
        <w:rPr>
          <w:rFonts w:ascii="宋体" w:eastAsia="宋体" w:hAnsi="宋体" w:cs="宋体" w:hint="eastAsia"/>
          <w:color w:val="000000"/>
          <w:kern w:val="44"/>
        </w:rPr>
        <w:lastRenderedPageBreak/>
        <w:t>5.联系方式</w:t>
      </w:r>
    </w:p>
    <w:tbl>
      <w:tblPr>
        <w:tblW w:w="6054" w:type="dxa"/>
        <w:tblLayout w:type="fixed"/>
        <w:tblCellMar>
          <w:left w:w="170" w:type="dxa"/>
          <w:right w:w="170" w:type="dxa"/>
        </w:tblCellMar>
        <w:tblLook w:val="04A0"/>
      </w:tblPr>
      <w:tblGrid>
        <w:gridCol w:w="6054"/>
      </w:tblGrid>
      <w:tr w:rsidR="002A69A2">
        <w:trPr>
          <w:trHeight w:val="283"/>
        </w:trPr>
        <w:tc>
          <w:tcPr>
            <w:tcW w:w="6054" w:type="dxa"/>
          </w:tcPr>
          <w:p w:rsidR="002A69A2" w:rsidRDefault="00955175">
            <w:pPr>
              <w:spacing w:line="400" w:lineRule="exact"/>
              <w:ind w:firstLineChars="150" w:firstLine="360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招标人：吉林省吉高服务区管理有限公司</w:t>
            </w:r>
          </w:p>
        </w:tc>
      </w:tr>
      <w:tr w:rsidR="002A69A2">
        <w:trPr>
          <w:trHeight w:val="283"/>
        </w:trPr>
        <w:tc>
          <w:tcPr>
            <w:tcW w:w="6054" w:type="dxa"/>
          </w:tcPr>
          <w:p w:rsidR="002A69A2" w:rsidRDefault="00955175">
            <w:pPr>
              <w:spacing w:line="400" w:lineRule="exact"/>
              <w:ind w:firstLineChars="150" w:firstLine="36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  址：吉林省长春市浦东路1658号</w:t>
            </w:r>
          </w:p>
        </w:tc>
      </w:tr>
      <w:tr w:rsidR="002A69A2">
        <w:trPr>
          <w:trHeight w:val="283"/>
        </w:trPr>
        <w:tc>
          <w:tcPr>
            <w:tcW w:w="6054" w:type="dxa"/>
          </w:tcPr>
          <w:p w:rsidR="002A69A2" w:rsidRDefault="00955175">
            <w:pPr>
              <w:spacing w:line="400" w:lineRule="exact"/>
              <w:ind w:firstLineChars="150" w:firstLine="36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联系人：彭岩皓</w:t>
            </w:r>
          </w:p>
        </w:tc>
      </w:tr>
      <w:tr w:rsidR="002A69A2">
        <w:trPr>
          <w:trHeight w:val="283"/>
        </w:trPr>
        <w:tc>
          <w:tcPr>
            <w:tcW w:w="6054" w:type="dxa"/>
            <w:shd w:val="clear" w:color="auto" w:fill="auto"/>
          </w:tcPr>
          <w:p w:rsidR="002A69A2" w:rsidRDefault="00955175">
            <w:pPr>
              <w:spacing w:line="400" w:lineRule="exact"/>
              <w:ind w:firstLineChars="150" w:firstLine="360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  话：0431-85254090</w:t>
            </w:r>
          </w:p>
        </w:tc>
      </w:tr>
      <w:tr w:rsidR="002A69A2">
        <w:trPr>
          <w:trHeight w:val="283"/>
        </w:trPr>
        <w:tc>
          <w:tcPr>
            <w:tcW w:w="6054" w:type="dxa"/>
          </w:tcPr>
          <w:p w:rsidR="002A69A2" w:rsidRDefault="00955175">
            <w:pPr>
              <w:spacing w:line="400" w:lineRule="exact"/>
              <w:ind w:firstLineChars="150" w:firstLine="36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招标代理机构：吉林省华洋工程咨询有限公司</w:t>
            </w:r>
          </w:p>
        </w:tc>
      </w:tr>
      <w:tr w:rsidR="002A69A2">
        <w:trPr>
          <w:trHeight w:val="283"/>
        </w:trPr>
        <w:tc>
          <w:tcPr>
            <w:tcW w:w="6054" w:type="dxa"/>
          </w:tcPr>
          <w:p w:rsidR="002A69A2" w:rsidRDefault="00955175">
            <w:pPr>
              <w:spacing w:line="400" w:lineRule="exact"/>
              <w:ind w:firstLineChars="150" w:firstLine="36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  址：长春市朝阳区和光路16号</w:t>
            </w:r>
          </w:p>
        </w:tc>
      </w:tr>
      <w:tr w:rsidR="002A69A2">
        <w:trPr>
          <w:trHeight w:val="283"/>
        </w:trPr>
        <w:tc>
          <w:tcPr>
            <w:tcW w:w="6054" w:type="dxa"/>
          </w:tcPr>
          <w:p w:rsidR="002A69A2" w:rsidRDefault="00955175">
            <w:pPr>
              <w:spacing w:line="400" w:lineRule="exact"/>
              <w:ind w:firstLineChars="150" w:firstLine="36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联系人：</w:t>
            </w:r>
            <w:r>
              <w:rPr>
                <w:rFonts w:ascii="宋体" w:hAnsi="宋体" w:cs="宋体" w:hint="eastAsia"/>
                <w:sz w:val="24"/>
              </w:rPr>
              <w:t>车万里、李洪涛</w:t>
            </w:r>
          </w:p>
        </w:tc>
      </w:tr>
      <w:tr w:rsidR="002A69A2">
        <w:trPr>
          <w:trHeight w:val="283"/>
        </w:trPr>
        <w:tc>
          <w:tcPr>
            <w:tcW w:w="6054" w:type="dxa"/>
          </w:tcPr>
          <w:p w:rsidR="002A69A2" w:rsidRDefault="00955175">
            <w:pPr>
              <w:spacing w:line="400" w:lineRule="exact"/>
              <w:ind w:firstLineChars="150" w:firstLine="3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  话：0431-85368866</w:t>
            </w:r>
          </w:p>
          <w:p w:rsidR="002A69A2" w:rsidRDefault="00955175">
            <w:pPr>
              <w:spacing w:line="400" w:lineRule="exact"/>
              <w:ind w:firstLineChars="150" w:firstLine="3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电子邮箱：3097839680@qq.com</w:t>
            </w:r>
          </w:p>
        </w:tc>
      </w:tr>
      <w:tr w:rsidR="002A69A2">
        <w:trPr>
          <w:trHeight w:val="283"/>
        </w:trPr>
        <w:tc>
          <w:tcPr>
            <w:tcW w:w="6054" w:type="dxa"/>
          </w:tcPr>
          <w:p w:rsidR="002A69A2" w:rsidRDefault="00955175">
            <w:pPr>
              <w:spacing w:line="400" w:lineRule="exact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招标人：吉林省吉高服务区管理有限公司</w:t>
            </w:r>
          </w:p>
        </w:tc>
      </w:tr>
      <w:tr w:rsidR="002A69A2">
        <w:trPr>
          <w:trHeight w:val="68"/>
        </w:trPr>
        <w:tc>
          <w:tcPr>
            <w:tcW w:w="6054" w:type="dxa"/>
          </w:tcPr>
          <w:p w:rsidR="002A69A2" w:rsidRDefault="00955175">
            <w:pPr>
              <w:spacing w:line="400" w:lineRule="exact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  址：吉林省长春市浦东路1658号</w:t>
            </w:r>
          </w:p>
        </w:tc>
      </w:tr>
    </w:tbl>
    <w:p w:rsidR="002A69A2" w:rsidRDefault="0095517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本关键内容公开时间至投标截止时间10日前结束。</w:t>
      </w:r>
    </w:p>
    <w:p w:rsidR="002A69A2" w:rsidRDefault="002A69A2">
      <w:pPr>
        <w:jc w:val="right"/>
        <w:rPr>
          <w:rFonts w:ascii="宋体" w:hAnsi="宋体"/>
          <w:szCs w:val="21"/>
        </w:rPr>
      </w:pPr>
    </w:p>
    <w:bookmarkEnd w:id="0"/>
    <w:bookmarkEnd w:id="1"/>
    <w:p w:rsidR="002A69A2" w:rsidRDefault="002A69A2">
      <w:pPr>
        <w:jc w:val="right"/>
        <w:rPr>
          <w:rFonts w:ascii="宋体" w:hAnsi="宋体"/>
          <w:szCs w:val="21"/>
        </w:rPr>
      </w:pPr>
    </w:p>
    <w:sectPr w:rsidR="002A69A2" w:rsidSect="002A69A2">
      <w:footnotePr>
        <w:numFmt w:val="decimalEnclosedCircleChinese"/>
        <w:numRestart w:val="eachPage"/>
      </w:footnotePr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492" w:rsidRDefault="00661492" w:rsidP="002A69A2">
      <w:r>
        <w:separator/>
      </w:r>
    </w:p>
  </w:endnote>
  <w:endnote w:type="continuationSeparator" w:id="1">
    <w:p w:rsidR="00661492" w:rsidRDefault="00661492" w:rsidP="002A6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492" w:rsidRDefault="00661492">
      <w:r>
        <w:separator/>
      </w:r>
    </w:p>
  </w:footnote>
  <w:footnote w:type="continuationSeparator" w:id="1">
    <w:p w:rsidR="00661492" w:rsidRDefault="00661492">
      <w:r>
        <w:continuationSeparator/>
      </w:r>
    </w:p>
  </w:footnote>
  <w:footnote w:id="2">
    <w:p w:rsidR="002A69A2" w:rsidRDefault="00955175">
      <w:pPr>
        <w:pStyle w:val="a8"/>
        <w:widowControl w:val="0"/>
        <w:snapToGrid w:val="0"/>
        <w:spacing w:beforeAutospacing="0" w:afterAutospacing="0"/>
        <w:rPr>
          <w:rFonts w:ascii="楷体" w:eastAsia="楷体" w:hAnsi="楷体" w:cs="楷体" w:hint="default"/>
        </w:rPr>
      </w:pPr>
      <w:r>
        <w:rPr>
          <w:rFonts w:ascii="楷体" w:eastAsia="楷体" w:hAnsi="楷体" w:cs="楷体"/>
          <w:kern w:val="2"/>
          <w:sz w:val="21"/>
          <w:szCs w:val="22"/>
          <w:vertAlign w:val="superscript"/>
        </w:rPr>
        <w:footnoteRef/>
      </w:r>
      <w:r>
        <w:rPr>
          <w:rFonts w:ascii="楷体" w:eastAsia="楷体" w:hAnsi="楷体" w:cs="楷体"/>
          <w:kern w:val="2"/>
          <w:sz w:val="21"/>
          <w:szCs w:val="22"/>
        </w:rPr>
        <w:t>各评分因素（投标报价评分项除外）得分一般不得低于其权重分值的60%，且各评分因素得分应以评标委员会各成员的打分平均值确定，评标委员会成员总数为7人以上时，该平均值以去掉一个最高分和一个最低分后计算。评标委员会成员对某一项评分因素的评分低于权重分值60%的，应在评标报告中作出说明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976577"/>
    <w:rsid w:val="0005335B"/>
    <w:rsid w:val="001B2F15"/>
    <w:rsid w:val="001E7FD4"/>
    <w:rsid w:val="0021703D"/>
    <w:rsid w:val="002252DC"/>
    <w:rsid w:val="00231F0D"/>
    <w:rsid w:val="00233745"/>
    <w:rsid w:val="00282745"/>
    <w:rsid w:val="002A69A2"/>
    <w:rsid w:val="002B7B92"/>
    <w:rsid w:val="002D768F"/>
    <w:rsid w:val="002E465D"/>
    <w:rsid w:val="003B019A"/>
    <w:rsid w:val="004C5613"/>
    <w:rsid w:val="004F05E3"/>
    <w:rsid w:val="00502E88"/>
    <w:rsid w:val="00532828"/>
    <w:rsid w:val="005514D3"/>
    <w:rsid w:val="005972CD"/>
    <w:rsid w:val="005B2A43"/>
    <w:rsid w:val="005C21E4"/>
    <w:rsid w:val="005D37F2"/>
    <w:rsid w:val="00641857"/>
    <w:rsid w:val="00661492"/>
    <w:rsid w:val="006C38E4"/>
    <w:rsid w:val="007118D4"/>
    <w:rsid w:val="00791974"/>
    <w:rsid w:val="007B7BA6"/>
    <w:rsid w:val="00812F23"/>
    <w:rsid w:val="00861859"/>
    <w:rsid w:val="00871362"/>
    <w:rsid w:val="008746CD"/>
    <w:rsid w:val="00916D20"/>
    <w:rsid w:val="00923518"/>
    <w:rsid w:val="00955175"/>
    <w:rsid w:val="00976577"/>
    <w:rsid w:val="009C3EDE"/>
    <w:rsid w:val="009E021E"/>
    <w:rsid w:val="00A7342F"/>
    <w:rsid w:val="00A806E0"/>
    <w:rsid w:val="00AE752B"/>
    <w:rsid w:val="00B06859"/>
    <w:rsid w:val="00B608ED"/>
    <w:rsid w:val="00B834AC"/>
    <w:rsid w:val="00B94549"/>
    <w:rsid w:val="00BD06B8"/>
    <w:rsid w:val="00BE0A41"/>
    <w:rsid w:val="00C55B37"/>
    <w:rsid w:val="00D94845"/>
    <w:rsid w:val="00E2099B"/>
    <w:rsid w:val="00E34D0C"/>
    <w:rsid w:val="00E83BAB"/>
    <w:rsid w:val="00E87CC6"/>
    <w:rsid w:val="00EE2448"/>
    <w:rsid w:val="00F17F2B"/>
    <w:rsid w:val="00F66AB9"/>
    <w:rsid w:val="2709239C"/>
    <w:rsid w:val="2B2D3677"/>
    <w:rsid w:val="3B831203"/>
    <w:rsid w:val="7DED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A69A2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69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9"/>
    <w:qFormat/>
    <w:rsid w:val="002A69A2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1"/>
    <w:uiPriority w:val="9"/>
    <w:semiHidden/>
    <w:unhideWhenUsed/>
    <w:qFormat/>
    <w:rsid w:val="002A69A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A69A2"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sid w:val="002A69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A6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A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nhideWhenUsed/>
    <w:qFormat/>
    <w:rsid w:val="002A69A2"/>
    <w:pPr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0">
    <w:name w:val="Body Text Indent 3"/>
    <w:basedOn w:val="a"/>
    <w:link w:val="3Char"/>
    <w:qFormat/>
    <w:rsid w:val="002A69A2"/>
    <w:pPr>
      <w:spacing w:after="120"/>
      <w:ind w:leftChars="200" w:left="420"/>
    </w:pPr>
    <w:rPr>
      <w:sz w:val="16"/>
      <w:szCs w:val="16"/>
    </w:rPr>
  </w:style>
  <w:style w:type="paragraph" w:styleId="a8">
    <w:name w:val="Normal (Web)"/>
    <w:basedOn w:val="a"/>
    <w:unhideWhenUsed/>
    <w:rsid w:val="002A69A2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Title"/>
    <w:basedOn w:val="a"/>
    <w:next w:val="a"/>
    <w:link w:val="Char4"/>
    <w:qFormat/>
    <w:rsid w:val="002A69A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2A69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qFormat/>
    <w:rsid w:val="002A69A2"/>
    <w:rPr>
      <w:color w:val="0000FF"/>
      <w:u w:val="single"/>
    </w:rPr>
  </w:style>
  <w:style w:type="character" w:styleId="ac">
    <w:name w:val="footnote reference"/>
    <w:qFormat/>
    <w:rsid w:val="002A69A2"/>
    <w:rPr>
      <w:vertAlign w:val="superscript"/>
    </w:rPr>
  </w:style>
  <w:style w:type="character" w:customStyle="1" w:styleId="3Char">
    <w:name w:val="正文文本缩进 3 Char"/>
    <w:basedOn w:val="a0"/>
    <w:link w:val="30"/>
    <w:qFormat/>
    <w:rsid w:val="002A69A2"/>
    <w:rPr>
      <w:rFonts w:ascii="Times New Roman" w:eastAsia="宋体" w:hAnsi="Times New Roman" w:cs="Times New Roman"/>
      <w:sz w:val="16"/>
      <w:szCs w:val="16"/>
    </w:rPr>
  </w:style>
  <w:style w:type="character" w:customStyle="1" w:styleId="Char3">
    <w:name w:val="脚注文本 Char"/>
    <w:basedOn w:val="a0"/>
    <w:link w:val="a7"/>
    <w:qFormat/>
    <w:rsid w:val="002A69A2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2A69A2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9"/>
    <w:qFormat/>
    <w:rsid w:val="002A69A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A69A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A69A2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A69A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0">
    <w:name w:val="标题 3 Char"/>
    <w:basedOn w:val="a0"/>
    <w:link w:val="3"/>
    <w:uiPriority w:val="99"/>
    <w:qFormat/>
    <w:rsid w:val="002A69A2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sid w:val="002A69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2A69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批注文字 Char"/>
    <w:basedOn w:val="a0"/>
    <w:link w:val="a3"/>
    <w:qFormat/>
    <w:rsid w:val="002A69A2"/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2A69A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0">
    <w:name w:val="正文_2"/>
    <w:qFormat/>
    <w:rsid w:val="002A69A2"/>
    <w:pPr>
      <w:widowControl w:val="0"/>
      <w:jc w:val="both"/>
    </w:pPr>
    <w:rPr>
      <w:kern w:val="2"/>
      <w:sz w:val="21"/>
      <w:szCs w:val="24"/>
    </w:rPr>
  </w:style>
  <w:style w:type="character" w:customStyle="1" w:styleId="4Char1">
    <w:name w:val="标题 4 Char1"/>
    <w:basedOn w:val="a0"/>
    <w:link w:val="4"/>
    <w:rsid w:val="002A69A2"/>
    <w:rPr>
      <w:rFonts w:ascii="Cambria" w:eastAsia="Cambria" w:hAnsi="Cambria" w:cs="Cambria" w:hint="default"/>
      <w:b/>
      <w:bCs/>
      <w:kern w:val="2"/>
      <w:sz w:val="28"/>
      <w:szCs w:val="28"/>
    </w:rPr>
  </w:style>
  <w:style w:type="character" w:customStyle="1" w:styleId="3Char1">
    <w:name w:val="标题 3 Char1"/>
    <w:basedOn w:val="a0"/>
    <w:link w:val="3"/>
    <w:rsid w:val="002A69A2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5994B-1DCD-4FE7-9366-FFE67A08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467</Words>
  <Characters>2665</Characters>
  <Application>Microsoft Office Word</Application>
  <DocSecurity>0</DocSecurity>
  <Lines>22</Lines>
  <Paragraphs>6</Paragraphs>
  <ScaleCrop>false</ScaleCrop>
  <Company>微软公司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25</cp:revision>
  <dcterms:created xsi:type="dcterms:W3CDTF">2018-05-08T11:13:00Z</dcterms:created>
  <dcterms:modified xsi:type="dcterms:W3CDTF">2021-09-30T02:35:00Z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7DB6DD8FCB384A84A650A6FD8B13553D</vt:lpwstr>
  </property>
</Properties>
</file>