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36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吉林省高速公路广告设施投资建设专项工</w:t>
      </w:r>
      <w:r>
        <w:rPr>
          <w:rFonts w:hint="eastAsia" w:ascii="宋体" w:hAnsi="宋体" w:eastAsia="宋体" w:cs="宋体"/>
          <w:b w:val="0"/>
          <w:bCs w:val="0"/>
          <w:color w:val="auto"/>
          <w:sz w:val="21"/>
          <w:szCs w:val="21"/>
          <w:highlight w:val="none"/>
          <w:lang w:eastAsia="zh-CN"/>
        </w:rPr>
        <w:t>程施工</w:t>
      </w:r>
    </w:p>
    <w:p>
      <w:pPr>
        <w:pageBreakBefore w:val="0"/>
        <w:tabs>
          <w:tab w:val="left" w:pos="5010"/>
        </w:tabs>
        <w:kinsoku/>
        <w:wordWrap/>
        <w:overflowPunct/>
        <w:topLinePunct w:val="0"/>
        <w:autoSpaceDE w:val="0"/>
        <w:autoSpaceDN w:val="0"/>
        <w:bidi w:val="0"/>
        <w:adjustRightInd w:val="0"/>
        <w:snapToGrid w:val="0"/>
        <w:spacing w:line="360" w:lineRule="exact"/>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lang w:eastAsia="zh-CN"/>
        </w:rPr>
        <w:t>招标文件</w:t>
      </w:r>
      <w:r>
        <w:rPr>
          <w:rFonts w:hint="eastAsia" w:ascii="宋体" w:hAnsi="宋体" w:eastAsia="宋体" w:cs="宋体"/>
          <w:b w:val="0"/>
          <w:bCs w:val="0"/>
          <w:color w:val="auto"/>
          <w:sz w:val="21"/>
          <w:szCs w:val="21"/>
          <w:highlight w:val="none"/>
        </w:rPr>
        <w:t>关键内容</w:t>
      </w:r>
    </w:p>
    <w:p>
      <w:pPr>
        <w:pStyle w:val="34"/>
        <w:pageBreakBefore w:val="0"/>
        <w:kinsoku/>
        <w:overflowPunct/>
        <w:topLinePunct w:val="0"/>
        <w:bidi w:val="0"/>
        <w:snapToGrid w:val="0"/>
        <w:spacing w:before="0" w:line="360" w:lineRule="exact"/>
        <w:rPr>
          <w:rFonts w:hint="eastAsia" w:ascii="宋体" w:hAnsi="宋体" w:eastAsia="宋体" w:cs="宋体"/>
          <w:b w:val="0"/>
          <w:bCs w:val="0"/>
          <w:color w:val="auto"/>
          <w:sz w:val="21"/>
          <w:szCs w:val="21"/>
          <w:highlight w:val="none"/>
          <w:u w:val="none"/>
        </w:rPr>
      </w:pPr>
      <w:bookmarkStart w:id="0" w:name="_Toc144974480"/>
      <w:bookmarkStart w:id="1" w:name="_Toc152042288"/>
      <w:bookmarkStart w:id="2" w:name="_Toc179632528"/>
      <w:bookmarkStart w:id="3" w:name="_Toc152045512"/>
      <w:bookmarkStart w:id="4" w:name="_Toc498955117"/>
      <w:bookmarkStart w:id="5" w:name="_Toc462671337"/>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u w:val="none"/>
        </w:rPr>
        <w:t>. 招标条件</w:t>
      </w:r>
      <w:bookmarkEnd w:id="0"/>
      <w:bookmarkEnd w:id="1"/>
      <w:bookmarkEnd w:id="2"/>
      <w:bookmarkEnd w:id="3"/>
    </w:p>
    <w:p>
      <w:pPr>
        <w:pageBreakBefore w:val="0"/>
        <w:kinsoku/>
        <w:overflowPunct/>
        <w:topLinePunct w:val="0"/>
        <w:bidi w:val="0"/>
        <w:snapToGrid w:val="0"/>
        <w:spacing w:line="360" w:lineRule="exact"/>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本招标项目吉林省高速公路广告设施投资建设专项工程（项目名称），项目业主为吉林省高速公路集团经营开发有限公司，建设资金来自自筹（资金来源），项目出资比例为 100% ，招标人为吉林省高速公路集团经营开发有限公司。项目已具备招标条件，现对该项目的施工进行公开招标。</w:t>
      </w:r>
    </w:p>
    <w:p>
      <w:pPr>
        <w:pStyle w:val="34"/>
        <w:pageBreakBefore w:val="0"/>
        <w:kinsoku/>
        <w:overflowPunct/>
        <w:topLinePunct w:val="0"/>
        <w:bidi w:val="0"/>
        <w:snapToGrid w:val="0"/>
        <w:spacing w:before="0" w:line="360" w:lineRule="exact"/>
        <w:rPr>
          <w:rFonts w:hint="eastAsia" w:ascii="宋体" w:hAnsi="宋体" w:eastAsia="宋体" w:cs="宋体"/>
          <w:b w:val="0"/>
          <w:bCs w:val="0"/>
          <w:color w:val="auto"/>
          <w:sz w:val="21"/>
          <w:szCs w:val="21"/>
          <w:highlight w:val="none"/>
          <w:u w:val="none"/>
        </w:rPr>
      </w:pPr>
      <w:bookmarkStart w:id="6" w:name="_Toc179632529"/>
      <w:bookmarkStart w:id="7" w:name="_Toc152045513"/>
      <w:bookmarkStart w:id="8" w:name="_Toc144974481"/>
      <w:bookmarkStart w:id="9" w:name="_Toc152042289"/>
      <w:r>
        <w:rPr>
          <w:rFonts w:hint="eastAsia" w:ascii="宋体" w:hAnsi="宋体" w:eastAsia="宋体" w:cs="宋体"/>
          <w:b w:val="0"/>
          <w:bCs w:val="0"/>
          <w:color w:val="auto"/>
          <w:sz w:val="21"/>
          <w:szCs w:val="21"/>
          <w:highlight w:val="none"/>
          <w:u w:val="none"/>
        </w:rPr>
        <w:t>2. 项目概况与招标范围</w:t>
      </w:r>
      <w:bookmarkEnd w:id="6"/>
      <w:bookmarkEnd w:id="7"/>
      <w:bookmarkEnd w:id="8"/>
      <w:bookmarkEnd w:id="9"/>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t>建设地点</w:t>
      </w:r>
      <w:r>
        <w:rPr>
          <w:rFonts w:hint="eastAsia" w:ascii="宋体" w:hAnsi="宋体" w:eastAsia="宋体" w:cs="宋体"/>
          <w:b w:val="0"/>
          <w:bCs w:val="0"/>
          <w:color w:val="auto"/>
          <w:sz w:val="21"/>
          <w:szCs w:val="21"/>
          <w:highlight w:val="none"/>
        </w:rPr>
        <w:t>：吉林省鹤大高速、长长高速、伊开高速、营东高速、长平高速、大广高速、长余高速、长深高速、嫩江高速、集双高速、珲乌高速。</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t>规模</w:t>
      </w:r>
      <w:r>
        <w:rPr>
          <w:rFonts w:hint="eastAsia" w:ascii="宋体" w:hAnsi="宋体" w:eastAsia="宋体" w:cs="宋体"/>
          <w:b w:val="0"/>
          <w:bCs w:val="0"/>
          <w:color w:val="auto"/>
          <w:sz w:val="21"/>
          <w:szCs w:val="21"/>
          <w:highlight w:val="none"/>
        </w:rPr>
        <w:t>：此次广告设施投资建设专项工程共设置150处，分别为鹤大高速14处、长长高速11处、伊开高速4处、营东高速6处、长平高速10处、大广高速11处、长余高速22处、长深高速15处、嫩江高速6处、集双高速5处、珲乌高速46处广告宣传牌。</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t>计划工期</w:t>
      </w:r>
      <w:r>
        <w:rPr>
          <w:rFonts w:hint="eastAsia" w:ascii="宋体" w:hAnsi="宋体" w:eastAsia="宋体" w:cs="宋体"/>
          <w:b w:val="0"/>
          <w:bCs w:val="0"/>
          <w:color w:val="auto"/>
          <w:sz w:val="21"/>
          <w:szCs w:val="21"/>
          <w:highlight w:val="none"/>
        </w:rPr>
        <w:t>：自合同签订之日起至2021年12月30日。（其中，2021年10月25日前完成基础部分，2021年12月10日前完成钢结构安装工程）</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t>招标范围</w:t>
      </w:r>
      <w:r>
        <w:rPr>
          <w:rFonts w:hint="eastAsia" w:ascii="宋体" w:hAnsi="宋体" w:eastAsia="宋体" w:cs="宋体"/>
          <w:b w:val="0"/>
          <w:bCs w:val="0"/>
          <w:color w:val="auto"/>
          <w:sz w:val="21"/>
          <w:szCs w:val="21"/>
          <w:highlight w:val="none"/>
        </w:rPr>
        <w:t>：此次广告设施共设置150处，投标人根据现场踏勘情况设立广告宣传牌。广告宣传牌基础分为：扩大基础形式和桩基础形式，两种基础形式视地形条件择优选择。内容包含广告牌地基勘测、基础施工、立柱和面板的采购、加工和安装等，以及工程量清单及施工图纸要求的全部内容</w:t>
      </w:r>
      <w:r>
        <w:rPr>
          <w:rFonts w:hint="eastAsia" w:ascii="宋体" w:hAnsi="宋体" w:eastAsia="宋体" w:cs="宋体"/>
          <w:b w:val="0"/>
          <w:bCs w:val="0"/>
          <w:color w:val="auto"/>
          <w:sz w:val="21"/>
          <w:szCs w:val="21"/>
          <w:highlight w:val="none"/>
          <w:lang w:eastAsia="zh-CN"/>
        </w:rPr>
        <w:t>。</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2.5工程质量要求：</w:t>
      </w:r>
      <w:r>
        <w:rPr>
          <w:rFonts w:hint="eastAsia" w:ascii="宋体" w:hAnsi="宋体" w:eastAsia="宋体" w:cs="宋体"/>
          <w:b w:val="0"/>
          <w:bCs w:val="0"/>
          <w:color w:val="auto"/>
          <w:sz w:val="21"/>
          <w:szCs w:val="21"/>
          <w:highlight w:val="none"/>
        </w:rPr>
        <w:t>符合国家现行工程施工质量验收统一标准的合格工程</w:t>
      </w:r>
      <w:r>
        <w:rPr>
          <w:rFonts w:hint="eastAsia" w:ascii="宋体" w:hAnsi="宋体" w:eastAsia="宋体" w:cs="宋体"/>
          <w:b w:val="0"/>
          <w:bCs w:val="0"/>
          <w:color w:val="auto"/>
          <w:sz w:val="21"/>
          <w:szCs w:val="21"/>
          <w:highlight w:val="none"/>
        </w:rPr>
        <w:t>。</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t>标段划分</w:t>
      </w:r>
      <w:r>
        <w:rPr>
          <w:rFonts w:hint="eastAsia" w:ascii="宋体" w:hAnsi="宋体" w:eastAsia="宋体" w:cs="宋体"/>
          <w:b w:val="0"/>
          <w:bCs w:val="0"/>
          <w:color w:val="auto"/>
          <w:sz w:val="21"/>
          <w:szCs w:val="21"/>
          <w:highlight w:val="none"/>
        </w:rPr>
        <w:t>：本次招标划分为</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个标段，具体如下：</w:t>
      </w:r>
    </w:p>
    <w:tbl>
      <w:tblPr>
        <w:tblStyle w:val="15"/>
        <w:tblW w:w="0" w:type="auto"/>
        <w:tblInd w:w="359" w:type="dxa"/>
        <w:tblLayout w:type="fixed"/>
        <w:tblCellMar>
          <w:top w:w="0" w:type="dxa"/>
          <w:left w:w="108" w:type="dxa"/>
          <w:bottom w:w="0" w:type="dxa"/>
          <w:right w:w="108" w:type="dxa"/>
        </w:tblCellMar>
      </w:tblPr>
      <w:tblGrid>
        <w:gridCol w:w="1256"/>
        <w:gridCol w:w="881"/>
        <w:gridCol w:w="3581"/>
        <w:gridCol w:w="2850"/>
      </w:tblGrid>
      <w:tr>
        <w:tblPrEx>
          <w:tblCellMar>
            <w:top w:w="0" w:type="dxa"/>
            <w:left w:w="108" w:type="dxa"/>
            <w:bottom w:w="0" w:type="dxa"/>
            <w:right w:w="108" w:type="dxa"/>
          </w:tblCellMar>
        </w:tblPrEx>
        <w:trPr>
          <w:trHeight w:val="405" w:hRule="atLeast"/>
        </w:trPr>
        <w:tc>
          <w:tcPr>
            <w:tcW w:w="8568" w:type="dxa"/>
            <w:gridSpan w:val="4"/>
            <w:tcBorders>
              <w:top w:val="nil"/>
              <w:left w:val="nil"/>
              <w:bottom w:val="single" w:color="000000" w:sz="4" w:space="0"/>
              <w:right w:val="nil"/>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bookmarkStart w:id="10" w:name="_Toc179632530"/>
            <w:bookmarkStart w:id="11" w:name="_Toc152045514"/>
            <w:bookmarkStart w:id="12" w:name="_Toc152042290"/>
            <w:bookmarkStart w:id="13" w:name="_Toc144974482"/>
            <w:r>
              <w:rPr>
                <w:rFonts w:hint="eastAsia" w:ascii="宋体" w:hAnsi="宋体" w:eastAsia="宋体" w:cs="宋体"/>
                <w:b w:val="0"/>
                <w:bCs w:val="0"/>
                <w:color w:val="auto"/>
                <w:kern w:val="0"/>
                <w:sz w:val="21"/>
                <w:szCs w:val="21"/>
                <w:highlight w:val="none"/>
                <w:lang w:bidi="ar"/>
              </w:rPr>
              <w:t>吉林省高速公路广告设施投资建设专项工程标段划分明细</w:t>
            </w:r>
          </w:p>
        </w:tc>
      </w:tr>
      <w:tr>
        <w:tblPrEx>
          <w:tblCellMar>
            <w:top w:w="0" w:type="dxa"/>
            <w:left w:w="108" w:type="dxa"/>
            <w:bottom w:w="0" w:type="dxa"/>
            <w:right w:w="108" w:type="dxa"/>
          </w:tblCellMar>
        </w:tblPrEx>
        <w:trPr>
          <w:trHeight w:val="270" w:hRule="atLeast"/>
        </w:trPr>
        <w:tc>
          <w:tcPr>
            <w:tcW w:w="125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标段</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序号</w:t>
            </w:r>
          </w:p>
        </w:tc>
        <w:tc>
          <w:tcPr>
            <w:tcW w:w="358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路线名称</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数量</w:t>
            </w:r>
          </w:p>
        </w:tc>
      </w:tr>
      <w:tr>
        <w:trPr>
          <w:trHeight w:val="28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SG01</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（东南）</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鹤大高速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14</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珲乌高速（吉珲段）</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27</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3</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长吉高速（机场路）</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44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小计：</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51</w:t>
            </w:r>
          </w:p>
        </w:tc>
      </w:tr>
      <w:tr>
        <w:tblPrEx>
          <w:tblCellMar>
            <w:top w:w="0" w:type="dxa"/>
            <w:left w:w="108" w:type="dxa"/>
            <w:bottom w:w="0" w:type="dxa"/>
            <w:right w:w="108" w:type="dxa"/>
          </w:tblCellMar>
        </w:tblPrEx>
        <w:trPr>
          <w:trHeight w:val="28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SG02</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（南部）</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长深高速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京哈高速（长平段）</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r>
      <w:tr>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营东高速（营东梅段）</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7</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伊开高速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8</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集双高速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w:t>
            </w:r>
          </w:p>
        </w:tc>
      </w:tr>
      <w:tr>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长长高速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w:t>
            </w:r>
          </w:p>
        </w:tc>
      </w:tr>
      <w:tr>
        <w:tblPrEx>
          <w:tblCellMar>
            <w:top w:w="0" w:type="dxa"/>
            <w:left w:w="108" w:type="dxa"/>
            <w:bottom w:w="0" w:type="dxa"/>
            <w:right w:w="108" w:type="dxa"/>
          </w:tblCellMar>
        </w:tblPrEx>
        <w:trPr>
          <w:trHeight w:val="288" w:hRule="atLeast"/>
        </w:trPr>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SG03</w:t>
            </w:r>
            <w:r>
              <w:rPr>
                <w:rFonts w:hint="eastAsia" w:ascii="宋体" w:hAnsi="宋体" w:eastAsia="宋体" w:cs="宋体"/>
                <w:b w:val="0"/>
                <w:bCs w:val="0"/>
                <w:color w:val="auto"/>
                <w:kern w:val="0"/>
                <w:sz w:val="21"/>
                <w:szCs w:val="21"/>
                <w:highlight w:val="none"/>
                <w:lang w:bidi="ar"/>
              </w:rPr>
              <w:br w:type="textWrapping"/>
            </w:r>
            <w:r>
              <w:rPr>
                <w:rFonts w:hint="eastAsia" w:ascii="宋体" w:hAnsi="宋体" w:eastAsia="宋体" w:cs="宋体"/>
                <w:b w:val="0"/>
                <w:bCs w:val="0"/>
                <w:color w:val="auto"/>
                <w:kern w:val="0"/>
                <w:sz w:val="21"/>
                <w:szCs w:val="21"/>
                <w:highlight w:val="none"/>
                <w:lang w:bidi="ar"/>
              </w:rPr>
              <w:t>（西北）</w:t>
            </w:r>
          </w:p>
        </w:tc>
        <w:tc>
          <w:tcPr>
            <w:tcW w:w="44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小计：</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51</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10</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珲乌高速（长松石段）</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9</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双嫩高速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6</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12</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大广高速</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11</w:t>
            </w:r>
          </w:p>
        </w:tc>
      </w:tr>
      <w:tr>
        <w:tblPrEx>
          <w:tblCellMar>
            <w:top w:w="0" w:type="dxa"/>
            <w:left w:w="108" w:type="dxa"/>
            <w:bottom w:w="0" w:type="dxa"/>
            <w:right w:w="108" w:type="dxa"/>
          </w:tblCellMar>
        </w:tblPrEx>
        <w:trPr>
          <w:trHeight w:val="270"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13</w:t>
            </w:r>
          </w:p>
        </w:tc>
        <w:tc>
          <w:tcPr>
            <w:tcW w:w="3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京哈高速（长余段）</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22</w:t>
            </w:r>
          </w:p>
        </w:tc>
      </w:tr>
      <w:tr>
        <w:tblPrEx>
          <w:tblCellMar>
            <w:top w:w="0" w:type="dxa"/>
            <w:left w:w="108" w:type="dxa"/>
            <w:bottom w:w="0" w:type="dxa"/>
            <w:right w:w="108" w:type="dxa"/>
          </w:tblCellMar>
        </w:tblPrEx>
        <w:trPr>
          <w:trHeight w:val="375" w:hRule="atLeast"/>
        </w:trPr>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overflowPunct/>
              <w:topLinePunct w:val="0"/>
              <w:bidi w:val="0"/>
              <w:snapToGrid w:val="0"/>
              <w:spacing w:line="360" w:lineRule="exact"/>
              <w:jc w:val="center"/>
              <w:rPr>
                <w:rFonts w:hint="eastAsia" w:ascii="宋体" w:hAnsi="宋体" w:eastAsia="宋体" w:cs="宋体"/>
                <w:b w:val="0"/>
                <w:bCs w:val="0"/>
                <w:color w:val="auto"/>
                <w:sz w:val="21"/>
                <w:szCs w:val="21"/>
                <w:highlight w:val="none"/>
              </w:rPr>
            </w:pPr>
          </w:p>
        </w:tc>
        <w:tc>
          <w:tcPr>
            <w:tcW w:w="44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小计：</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48</w:t>
            </w:r>
          </w:p>
        </w:tc>
      </w:tr>
      <w:tr>
        <w:tblPrEx>
          <w:tblCellMar>
            <w:top w:w="0" w:type="dxa"/>
            <w:left w:w="108" w:type="dxa"/>
            <w:bottom w:w="0" w:type="dxa"/>
            <w:right w:w="108" w:type="dxa"/>
          </w:tblCellMar>
        </w:tblPrEx>
        <w:trPr>
          <w:trHeight w:val="375" w:hRule="atLeast"/>
        </w:trPr>
        <w:tc>
          <w:tcPr>
            <w:tcW w:w="5718"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合计：</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bidi w:val="0"/>
              <w:snapToGrid w:val="0"/>
              <w:spacing w:line="36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150</w:t>
            </w:r>
          </w:p>
        </w:tc>
      </w:tr>
    </w:tbl>
    <w:p>
      <w:pPr>
        <w:pStyle w:val="34"/>
        <w:pageBreakBefore w:val="0"/>
        <w:kinsoku/>
        <w:overflowPunct/>
        <w:topLinePunct w:val="0"/>
        <w:bidi w:val="0"/>
        <w:snapToGrid w:val="0"/>
        <w:spacing w:before="0"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 投标人资格要求</w:t>
      </w:r>
      <w:bookmarkEnd w:id="10"/>
      <w:bookmarkEnd w:id="11"/>
      <w:bookmarkEnd w:id="12"/>
      <w:bookmarkEnd w:id="13"/>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t>本次招标要求投标人须具备</w:t>
      </w:r>
      <w:r>
        <w:rPr>
          <w:rFonts w:hint="eastAsia" w:ascii="宋体" w:hAnsi="宋体" w:eastAsia="宋体" w:cs="宋体"/>
          <w:b w:val="0"/>
          <w:bCs w:val="0"/>
          <w:color w:val="auto"/>
          <w:sz w:val="21"/>
          <w:szCs w:val="21"/>
          <w:highlight w:val="none"/>
        </w:rPr>
        <w:t>建筑工程总承包三级及以上资质和钢结构工程专业三级及以上资质</w:t>
      </w:r>
      <w:r>
        <w:rPr>
          <w:rFonts w:hint="eastAsia" w:ascii="宋体" w:hAnsi="宋体" w:eastAsia="宋体" w:cs="宋体"/>
          <w:b w:val="0"/>
          <w:bCs w:val="0"/>
          <w:color w:val="auto"/>
          <w:sz w:val="21"/>
          <w:szCs w:val="21"/>
          <w:highlight w:val="none"/>
        </w:rPr>
        <w:t>，并在人员、设备、资金等方面具有相应的施工能力。</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3.2投标人近三年（2018年1月1日至今，以竣工日期为准）至少完成过钢结构工程累计合同额1500万元，其中至少完成过1个单项合同额不少于500万元的钢结构施工业绩。</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投标人类似业绩的认定：在“吉林省建筑市场监管公共服务平台”工程项目信息中可查的业绩；不需任何权限即可在“全国建筑市场监管公共服务平台”中可查的业绩；在其它网站可查询的业绩。如果网站公示业绩中不能体现与本次招标类似的钢结构工程内容，则投标人需提供相关证明材料）</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3.3项目经理：为投标人自有人员，具有建筑工程专业二级及以上注册建造师资格并具备有效的安全生产考核合格证书，且未担任其他在施建设工程项目的项目经理。</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3.4与招标人存在利害关系可能影响招标公正性的法人、其他组织或者个人，不得参加投标；单位负责人为同一人或者存在控股、管理关系的不同单位，不得参加同一标段投标。</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3.5本次招标不接受联合体投标。</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3.6拒绝在吉林省住房和城乡建设厅发布的《关于2020年度全省建筑业企业信用评价结果的通告》（吉林省住房和城乡建设厅2021年第573号）中被评价为“不合格”的企业投标。</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3.7在“信用中国”网站中被列入失信被执行人名单的投标人，不得参加投标。</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投标人需充分考虑高速公路正常运营情况下的施工状况。办理施工许可手续和采取的相应安全措施及高速公路通行费等全部费用均包含在投标报价中。</w:t>
      </w:r>
    </w:p>
    <w:p>
      <w:pPr>
        <w:pageBreakBefore w:val="0"/>
        <w:kinsoku/>
        <w:overflowPunct/>
        <w:topLinePunct w:val="0"/>
        <w:bidi w:val="0"/>
        <w:snapToGrid w:val="0"/>
        <w:spacing w:line="36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3.9</w:t>
      </w:r>
      <w:r>
        <w:rPr>
          <w:rFonts w:hint="eastAsia" w:ascii="宋体" w:hAnsi="宋体" w:eastAsia="宋体" w:cs="宋体"/>
          <w:b w:val="0"/>
          <w:bCs w:val="0"/>
          <w:color w:val="auto"/>
          <w:sz w:val="21"/>
          <w:szCs w:val="21"/>
          <w:highlight w:val="none"/>
        </w:rPr>
        <w:t>投标人可对所有标段进行投标，最多只能在1个标段中标。</w:t>
      </w:r>
    </w:p>
    <w:p>
      <w:pPr>
        <w:pageBreakBefore w:val="0"/>
        <w:kinsoku/>
        <w:wordWrap/>
        <w:overflowPunct/>
        <w:topLinePunct w:val="0"/>
        <w:bidi w:val="0"/>
        <w:adjustRightInd w:val="0"/>
        <w:snapToGrid w:val="0"/>
        <w:spacing w:line="360" w:lineRule="exact"/>
        <w:ind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评标按照SG01、SG02、SG03标段进行评审，在前一标段中被推荐为第一中标候选人的在后续标段评审中不再被推荐。</w:t>
      </w:r>
    </w:p>
    <w:p>
      <w:pPr>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资格审查办法</w:t>
      </w:r>
    </w:p>
    <w:p>
      <w:pPr>
        <w:pageBreakBefore w:val="0"/>
        <w:widowControl w:val="0"/>
        <w:kinsoku/>
        <w:wordWrap/>
        <w:overflowPunct/>
        <w:topLinePunct w:val="0"/>
        <w:autoSpaceDE/>
        <w:autoSpaceDN/>
        <w:bidi w:val="0"/>
        <w:adjustRightInd w:val="0"/>
        <w:snapToGrid w:val="0"/>
        <w:spacing w:line="360" w:lineRule="exact"/>
        <w:ind w:firstLine="315" w:firstLineChars="15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本项目采用资格后审，资格审查条件如下：</w:t>
      </w:r>
    </w:p>
    <w:p>
      <w:pPr>
        <w:pStyle w:val="2"/>
        <w:keepNext/>
        <w:keepLines/>
        <w:pageBreakBefore w:val="0"/>
        <w:widowControl w:val="0"/>
        <w:kinsoku/>
        <w:wordWrap/>
        <w:overflowPunct/>
        <w:topLinePunct w:val="0"/>
        <w:autoSpaceDE/>
        <w:autoSpaceDN/>
        <w:bidi w:val="0"/>
        <w:adjustRightInd/>
        <w:snapToGrid w:val="0"/>
        <w:spacing w:before="0" w:after="0" w:line="360" w:lineRule="exact"/>
        <w:textAlignment w:val="auto"/>
        <w:rPr>
          <w:b w:val="0"/>
          <w:color w:val="auto"/>
          <w:sz w:val="21"/>
          <w:szCs w:val="21"/>
          <w:highlight w:val="none"/>
        </w:rPr>
      </w:pPr>
      <w:bookmarkStart w:id="14" w:name="_Toc527626936"/>
      <w:bookmarkStart w:id="15" w:name="_Toc478456012"/>
      <w:bookmarkStart w:id="16" w:name="_Toc327432506"/>
      <w:bookmarkStart w:id="17" w:name="_Hlk49077372"/>
      <w:r>
        <w:rPr>
          <w:rFonts w:hint="eastAsia"/>
          <w:b w:val="0"/>
          <w:color w:val="auto"/>
          <w:sz w:val="21"/>
          <w:szCs w:val="21"/>
          <w:highlight w:val="none"/>
        </w:rPr>
        <w:t>附录1  资格审查条件（资质最低要求）</w:t>
      </w:r>
      <w:bookmarkEnd w:id="14"/>
      <w:bookmarkEnd w:id="15"/>
      <w:bookmarkEnd w:id="1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075" w:type="dxa"/>
            <w:noWrap w:val="0"/>
            <w:vAlign w:val="center"/>
          </w:tcPr>
          <w:p>
            <w:pPr>
              <w:pageBreakBefore w:val="0"/>
              <w:kinsoku/>
              <w:overflowPunct/>
              <w:topLinePunct w:val="0"/>
              <w:bidi w:val="0"/>
              <w:adjustRightInd w:val="0"/>
              <w:snapToGrid w:val="0"/>
              <w:spacing w:before="48" w:beforeLines="20" w:after="48" w:afterLines="20" w:line="360" w:lineRule="exact"/>
              <w:jc w:val="center"/>
              <w:rPr>
                <w:color w:val="auto"/>
                <w:sz w:val="21"/>
                <w:szCs w:val="21"/>
                <w:highlight w:val="none"/>
              </w:rPr>
            </w:pPr>
            <w:r>
              <w:rPr>
                <w:rFonts w:hint="eastAsia" w:ascii="宋体" w:hAnsi="宋体"/>
                <w:color w:val="auto"/>
                <w:sz w:val="21"/>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5" w:type="dxa"/>
            <w:noWrap w:val="0"/>
            <w:vAlign w:val="center"/>
          </w:tcPr>
          <w:p>
            <w:pPr>
              <w:pStyle w:val="32"/>
              <w:pageBreakBefore w:val="0"/>
              <w:kinsoku/>
              <w:overflowPunct/>
              <w:topLinePunct w:val="0"/>
              <w:bidi w:val="0"/>
              <w:adjustRightInd w:val="0"/>
              <w:snapToGrid w:val="0"/>
              <w:spacing w:line="360" w:lineRule="exact"/>
              <w:ind w:firstLine="420" w:firstLineChars="200"/>
              <w:rPr>
                <w:rFonts w:hint="eastAsia" w:ascii="宋体" w:hAnsi="宋体" w:eastAsia="宋体"/>
                <w:b/>
                <w:color w:val="auto"/>
                <w:kern w:val="0"/>
                <w:sz w:val="21"/>
                <w:szCs w:val="21"/>
                <w:highlight w:val="none"/>
                <w:lang w:eastAsia="zh-CN"/>
              </w:rPr>
            </w:pPr>
            <w:r>
              <w:rPr>
                <w:rFonts w:hint="eastAsia" w:ascii="宋体" w:hAnsi="宋体" w:cs="宋体"/>
                <w:color w:val="auto"/>
                <w:sz w:val="21"/>
                <w:szCs w:val="21"/>
                <w:highlight w:val="none"/>
              </w:rPr>
              <w:t>具备建筑工程总承包三级及以上资质和钢结构工程专业三级及以上资质</w:t>
            </w:r>
            <w:r>
              <w:rPr>
                <w:rFonts w:hint="eastAsia" w:ascii="宋体" w:hAnsi="宋体" w:cs="宋体"/>
                <w:color w:val="auto"/>
                <w:sz w:val="21"/>
                <w:szCs w:val="21"/>
                <w:highlight w:val="none"/>
                <w:lang w:eastAsia="zh-CN"/>
              </w:rPr>
              <w:t>。</w:t>
            </w:r>
          </w:p>
        </w:tc>
      </w:tr>
    </w:tbl>
    <w:p>
      <w:pPr>
        <w:pStyle w:val="2"/>
        <w:keepNext/>
        <w:keepLines/>
        <w:pageBreakBefore w:val="0"/>
        <w:widowControl w:val="0"/>
        <w:kinsoku/>
        <w:wordWrap/>
        <w:overflowPunct/>
        <w:topLinePunct w:val="0"/>
        <w:autoSpaceDE/>
        <w:autoSpaceDN/>
        <w:bidi w:val="0"/>
        <w:adjustRightInd/>
        <w:snapToGrid w:val="0"/>
        <w:spacing w:before="0" w:after="0" w:line="360" w:lineRule="exact"/>
        <w:textAlignment w:val="auto"/>
        <w:rPr>
          <w:b w:val="0"/>
          <w:color w:val="auto"/>
          <w:sz w:val="21"/>
          <w:szCs w:val="21"/>
          <w:highlight w:val="none"/>
        </w:rPr>
      </w:pPr>
      <w:bookmarkStart w:id="18" w:name="_Toc478456013"/>
      <w:bookmarkStart w:id="19" w:name="_Toc327432507"/>
      <w:bookmarkStart w:id="20" w:name="_Toc527626937"/>
      <w:r>
        <w:rPr>
          <w:rFonts w:hint="eastAsia"/>
          <w:b w:val="0"/>
          <w:color w:val="auto"/>
          <w:sz w:val="21"/>
          <w:szCs w:val="21"/>
          <w:highlight w:val="none"/>
        </w:rPr>
        <w:t>附录</w:t>
      </w:r>
      <w:r>
        <w:rPr>
          <w:rFonts w:hint="eastAsia"/>
          <w:b w:val="0"/>
          <w:color w:val="auto"/>
          <w:sz w:val="21"/>
          <w:szCs w:val="21"/>
          <w:highlight w:val="none"/>
          <w:lang w:val="en-US" w:eastAsia="zh-CN"/>
        </w:rPr>
        <w:t>2</w:t>
      </w:r>
      <w:r>
        <w:rPr>
          <w:rFonts w:hint="eastAsia"/>
          <w:b w:val="0"/>
          <w:color w:val="auto"/>
          <w:sz w:val="21"/>
          <w:szCs w:val="21"/>
          <w:highlight w:val="none"/>
        </w:rPr>
        <w:t xml:space="preserve">  资格审查条件（业绩最低要求）</w:t>
      </w:r>
      <w:bookmarkEnd w:id="18"/>
      <w:bookmarkEnd w:id="19"/>
      <w:bookmarkEnd w:id="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1" w:type="dxa"/>
            <w:noWrap w:val="0"/>
            <w:vAlign w:val="center"/>
          </w:tcPr>
          <w:p>
            <w:pPr>
              <w:pageBreakBefore w:val="0"/>
              <w:kinsoku/>
              <w:overflowPunct/>
              <w:topLinePunct w:val="0"/>
              <w:bidi w:val="0"/>
              <w:adjustRightInd w:val="0"/>
              <w:snapToGrid w:val="0"/>
              <w:spacing w:before="48" w:beforeLines="20" w:after="48" w:afterLines="20" w:line="360" w:lineRule="exact"/>
              <w:jc w:val="center"/>
              <w:rPr>
                <w:color w:val="auto"/>
                <w:sz w:val="21"/>
                <w:szCs w:val="21"/>
                <w:highlight w:val="none"/>
              </w:rPr>
            </w:pPr>
            <w:r>
              <w:rPr>
                <w:rFonts w:hint="eastAsia" w:ascii="宋体" w:hAnsi="宋体"/>
                <w:color w:val="auto"/>
                <w:sz w:val="21"/>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091" w:type="dxa"/>
            <w:noWrap w:val="0"/>
            <w:vAlign w:val="center"/>
          </w:tcPr>
          <w:p>
            <w:pPr>
              <w:pStyle w:val="32"/>
              <w:pageBreakBefore w:val="0"/>
              <w:kinsoku/>
              <w:overflowPunct/>
              <w:topLinePunct w:val="0"/>
              <w:bidi w:val="0"/>
              <w:adjustRightInd w:val="0"/>
              <w:snapToGrid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投标人近三年（2018年1月1日至今，以竣工日期为准）至少完成过钢结构工程累计合同额1500万元，其中至少完成过1个单项合同额不少于500万元的钢结构施工业绩。</w:t>
            </w:r>
          </w:p>
          <w:p>
            <w:pPr>
              <w:pStyle w:val="32"/>
              <w:pageBreakBefore w:val="0"/>
              <w:kinsoku/>
              <w:overflowPunct/>
              <w:topLinePunct w:val="0"/>
              <w:bidi w:val="0"/>
              <w:adjustRightInd w:val="0"/>
              <w:snapToGrid w:val="0"/>
              <w:spacing w:line="360" w:lineRule="exact"/>
              <w:ind w:firstLine="420" w:firstLineChars="200"/>
              <w:rPr>
                <w:rFonts w:ascii="楷体" w:hAnsi="楷体" w:eastAsia="楷体"/>
                <w:color w:val="auto"/>
                <w:sz w:val="21"/>
                <w:szCs w:val="21"/>
                <w:highlight w:val="none"/>
              </w:rPr>
            </w:pPr>
            <w:r>
              <w:rPr>
                <w:rFonts w:hint="eastAsia" w:ascii="仿宋" w:hAnsi="仿宋" w:eastAsia="仿宋" w:cs="仿宋"/>
                <w:color w:val="auto"/>
                <w:kern w:val="2"/>
                <w:sz w:val="21"/>
                <w:szCs w:val="21"/>
                <w:highlight w:val="none"/>
                <w:lang w:val="en-US" w:eastAsia="zh-CN" w:bidi="ar-SA"/>
              </w:rPr>
              <w:t>投标人类似业绩的认定：在“吉林省建筑市场监管公共服务平台”工程项目信息中可查的业绩；不需任何权限即可在“全国建筑市场监管公共服务平台”中可查的业绩；在其它网站可查询的业绩。如果网站公示业绩中不能体现与本次招标类似的钢结构工程内容，则投标人需提供相关证明材料。</w:t>
            </w:r>
          </w:p>
        </w:tc>
      </w:tr>
    </w:tbl>
    <w:p>
      <w:pPr>
        <w:pStyle w:val="2"/>
        <w:keepNext/>
        <w:keepLines/>
        <w:pageBreakBefore w:val="0"/>
        <w:widowControl w:val="0"/>
        <w:kinsoku/>
        <w:wordWrap/>
        <w:overflowPunct/>
        <w:topLinePunct w:val="0"/>
        <w:autoSpaceDE/>
        <w:autoSpaceDN/>
        <w:bidi w:val="0"/>
        <w:adjustRightInd/>
        <w:snapToGrid w:val="0"/>
        <w:spacing w:before="0" w:after="0" w:line="360" w:lineRule="exact"/>
        <w:textAlignment w:val="auto"/>
        <w:rPr>
          <w:b w:val="0"/>
          <w:color w:val="auto"/>
          <w:sz w:val="21"/>
          <w:szCs w:val="21"/>
          <w:highlight w:val="none"/>
        </w:rPr>
      </w:pPr>
      <w:bookmarkStart w:id="21" w:name="_Toc527626938"/>
      <w:r>
        <w:rPr>
          <w:rFonts w:hint="eastAsia"/>
          <w:b w:val="0"/>
          <w:color w:val="auto"/>
          <w:sz w:val="21"/>
          <w:szCs w:val="21"/>
          <w:highlight w:val="none"/>
        </w:rPr>
        <w:t>附录</w:t>
      </w:r>
      <w:r>
        <w:rPr>
          <w:rFonts w:hint="eastAsia"/>
          <w:b w:val="0"/>
          <w:color w:val="auto"/>
          <w:sz w:val="21"/>
          <w:szCs w:val="21"/>
          <w:highlight w:val="none"/>
          <w:lang w:val="en-US" w:eastAsia="zh-CN"/>
        </w:rPr>
        <w:t>3</w:t>
      </w:r>
      <w:r>
        <w:rPr>
          <w:rFonts w:hint="eastAsia"/>
          <w:b w:val="0"/>
          <w:color w:val="auto"/>
          <w:sz w:val="21"/>
          <w:szCs w:val="21"/>
          <w:highlight w:val="none"/>
        </w:rPr>
        <w:t xml:space="preserve">  资格审查条件（信誉最低要求）</w:t>
      </w:r>
      <w:bookmarkEnd w:id="2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5" w:type="dxa"/>
            <w:noWrap w:val="0"/>
            <w:vAlign w:val="center"/>
          </w:tcPr>
          <w:p>
            <w:pPr>
              <w:pageBreakBefore w:val="0"/>
              <w:kinsoku/>
              <w:overflowPunct/>
              <w:topLinePunct w:val="0"/>
              <w:bidi w:val="0"/>
              <w:snapToGrid w:val="0"/>
              <w:spacing w:line="360" w:lineRule="exact"/>
              <w:jc w:val="center"/>
              <w:rPr>
                <w:color w:val="auto"/>
                <w:sz w:val="21"/>
                <w:szCs w:val="21"/>
                <w:highlight w:val="none"/>
              </w:rPr>
            </w:pPr>
            <w:r>
              <w:rPr>
                <w:rFonts w:hint="eastAsia" w:ascii="宋体" w:hAnsi="宋体"/>
                <w:color w:val="auto"/>
                <w:sz w:val="21"/>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5" w:type="dxa"/>
            <w:noWrap w:val="0"/>
            <w:vAlign w:val="center"/>
          </w:tcPr>
          <w:p>
            <w:pPr>
              <w:pageBreakBefore w:val="0"/>
              <w:kinsoku/>
              <w:wordWrap w:val="0"/>
              <w:overflowPunct/>
              <w:topLinePunct w:val="0"/>
              <w:bidi w:val="0"/>
              <w:snapToGrid w:val="0"/>
              <w:spacing w:line="360" w:lineRule="exact"/>
              <w:ind w:firstLine="210" w:firstLineChars="100"/>
              <w:rPr>
                <w:color w:val="auto"/>
                <w:sz w:val="21"/>
                <w:szCs w:val="21"/>
                <w:highlight w:val="none"/>
              </w:rPr>
            </w:pPr>
            <w:r>
              <w:rPr>
                <w:rFonts w:hint="eastAsia"/>
                <w:color w:val="auto"/>
                <w:sz w:val="21"/>
                <w:szCs w:val="21"/>
                <w:highlight w:val="none"/>
              </w:rPr>
              <w:t>符合第二章“投标人须知”第1.4.</w:t>
            </w:r>
            <w:r>
              <w:rPr>
                <w:color w:val="auto"/>
                <w:sz w:val="21"/>
                <w:szCs w:val="21"/>
                <w:highlight w:val="none"/>
              </w:rPr>
              <w:t>3</w:t>
            </w:r>
            <w:r>
              <w:rPr>
                <w:rFonts w:hint="eastAsia"/>
                <w:color w:val="auto"/>
                <w:sz w:val="21"/>
                <w:szCs w:val="21"/>
                <w:highlight w:val="none"/>
              </w:rPr>
              <w:t>项规定，且满足下列要求：</w:t>
            </w:r>
          </w:p>
          <w:p>
            <w:pPr>
              <w:pageBreakBefore w:val="0"/>
              <w:kinsoku/>
              <w:wordWrap w:val="0"/>
              <w:overflowPunct/>
              <w:topLinePunct w:val="0"/>
              <w:bidi w:val="0"/>
              <w:snapToGrid w:val="0"/>
              <w:spacing w:line="360" w:lineRule="exact"/>
              <w:ind w:firstLine="210" w:firstLineChars="100"/>
              <w:rPr>
                <w:rFonts w:hint="eastAsia"/>
                <w:color w:val="auto"/>
                <w:sz w:val="21"/>
                <w:szCs w:val="21"/>
                <w:highlight w:val="none"/>
                <w:lang w:eastAsia="zh-CN"/>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lang w:val="en-US" w:eastAsia="zh-CN"/>
              </w:rPr>
              <w:t>不是</w:t>
            </w:r>
            <w:r>
              <w:rPr>
                <w:rFonts w:hint="eastAsia"/>
                <w:color w:val="auto"/>
                <w:sz w:val="21"/>
                <w:szCs w:val="21"/>
                <w:highlight w:val="none"/>
              </w:rPr>
              <w:t>在吉林省住房和城乡建设厅发布的《关于2020年度全省建筑业企业信用评价结果的通告》（吉林省住房和城乡建设厅2021年第573号）中被评价为“不合格”的企业</w:t>
            </w:r>
            <w:r>
              <w:rPr>
                <w:rFonts w:hint="eastAsia"/>
                <w:color w:val="auto"/>
                <w:sz w:val="21"/>
                <w:szCs w:val="21"/>
                <w:highlight w:val="none"/>
                <w:lang w:eastAsia="zh-CN"/>
              </w:rPr>
              <w:t>；</w:t>
            </w:r>
          </w:p>
          <w:p>
            <w:pPr>
              <w:pageBreakBefore w:val="0"/>
              <w:kinsoku/>
              <w:wordWrap w:val="0"/>
              <w:overflowPunct/>
              <w:topLinePunct w:val="0"/>
              <w:bidi w:val="0"/>
              <w:snapToGrid w:val="0"/>
              <w:spacing w:line="360" w:lineRule="exact"/>
              <w:ind w:firstLine="210" w:firstLineChars="100"/>
              <w:rPr>
                <w:rFonts w:hint="eastAsia"/>
                <w:color w:val="auto"/>
                <w:sz w:val="21"/>
                <w:szCs w:val="21"/>
                <w:highlight w:val="none"/>
              </w:rPr>
            </w:pPr>
            <w:r>
              <w:rPr>
                <w:rFonts w:hint="eastAsia"/>
                <w:color w:val="auto"/>
                <w:sz w:val="21"/>
                <w:szCs w:val="21"/>
                <w:highlight w:val="none"/>
              </w:rPr>
              <w:t>（</w:t>
            </w:r>
            <w:r>
              <w:rPr>
                <w:color w:val="auto"/>
                <w:sz w:val="21"/>
                <w:szCs w:val="21"/>
                <w:highlight w:val="none"/>
              </w:rPr>
              <w:t>2）未在</w:t>
            </w:r>
            <w:r>
              <w:rPr>
                <w:rFonts w:hint="eastAsia"/>
                <w:color w:val="auto"/>
                <w:sz w:val="21"/>
                <w:szCs w:val="21"/>
                <w:highlight w:val="none"/>
                <w:lang w:eastAsia="zh-CN"/>
              </w:rPr>
              <w:t>“</w:t>
            </w:r>
            <w:r>
              <w:rPr>
                <w:color w:val="auto"/>
                <w:sz w:val="21"/>
                <w:szCs w:val="21"/>
                <w:highlight w:val="none"/>
              </w:rPr>
              <w:t>信用中国</w:t>
            </w:r>
            <w:r>
              <w:rPr>
                <w:rFonts w:hint="eastAsia"/>
                <w:color w:val="auto"/>
                <w:sz w:val="21"/>
                <w:szCs w:val="21"/>
                <w:highlight w:val="none"/>
                <w:lang w:eastAsia="zh-CN"/>
              </w:rPr>
              <w:t>”</w:t>
            </w:r>
            <w:r>
              <w:rPr>
                <w:color w:val="auto"/>
                <w:sz w:val="21"/>
                <w:szCs w:val="21"/>
                <w:highlight w:val="none"/>
              </w:rPr>
              <w:t>网站中</w:t>
            </w:r>
            <w:r>
              <w:rPr>
                <w:rFonts w:hint="eastAsia"/>
                <w:color w:val="auto"/>
                <w:sz w:val="21"/>
                <w:szCs w:val="21"/>
                <w:highlight w:val="none"/>
              </w:rPr>
              <w:t>被</w:t>
            </w:r>
            <w:r>
              <w:rPr>
                <w:color w:val="auto"/>
                <w:sz w:val="21"/>
                <w:szCs w:val="21"/>
                <w:highlight w:val="none"/>
              </w:rPr>
              <w:t>列入失信被执行人名单</w:t>
            </w:r>
            <w:r>
              <w:rPr>
                <w:rFonts w:hint="eastAsia"/>
                <w:color w:val="auto"/>
                <w:sz w:val="21"/>
                <w:szCs w:val="21"/>
                <w:highlight w:val="none"/>
                <w:lang w:eastAsia="zh-CN"/>
              </w:rPr>
              <w:t>。</w:t>
            </w:r>
          </w:p>
        </w:tc>
      </w:tr>
    </w:tbl>
    <w:p>
      <w:pPr>
        <w:pStyle w:val="2"/>
        <w:keepNext/>
        <w:keepLines/>
        <w:pageBreakBefore w:val="0"/>
        <w:widowControl w:val="0"/>
        <w:kinsoku/>
        <w:wordWrap/>
        <w:overflowPunct/>
        <w:topLinePunct w:val="0"/>
        <w:autoSpaceDE/>
        <w:autoSpaceDN/>
        <w:bidi w:val="0"/>
        <w:adjustRightInd/>
        <w:snapToGrid w:val="0"/>
        <w:spacing w:before="0" w:after="0" w:line="360" w:lineRule="exact"/>
        <w:textAlignment w:val="auto"/>
        <w:rPr>
          <w:b w:val="0"/>
          <w:color w:val="auto"/>
          <w:sz w:val="21"/>
          <w:szCs w:val="21"/>
          <w:highlight w:val="none"/>
        </w:rPr>
      </w:pPr>
      <w:bookmarkStart w:id="22" w:name="_Toc478456014"/>
      <w:bookmarkStart w:id="23" w:name="_Toc527626939"/>
      <w:r>
        <w:rPr>
          <w:rFonts w:hint="eastAsia"/>
          <w:b w:val="0"/>
          <w:color w:val="auto"/>
          <w:sz w:val="21"/>
          <w:szCs w:val="21"/>
          <w:highlight w:val="none"/>
        </w:rPr>
        <w:t>附录</w:t>
      </w:r>
      <w:r>
        <w:rPr>
          <w:rFonts w:hint="eastAsia"/>
          <w:b w:val="0"/>
          <w:color w:val="auto"/>
          <w:sz w:val="21"/>
          <w:szCs w:val="21"/>
          <w:highlight w:val="none"/>
          <w:lang w:val="en-US" w:eastAsia="zh-CN"/>
        </w:rPr>
        <w:t>4</w:t>
      </w:r>
      <w:r>
        <w:rPr>
          <w:rFonts w:hint="eastAsia"/>
          <w:b w:val="0"/>
          <w:color w:val="auto"/>
          <w:sz w:val="21"/>
          <w:szCs w:val="21"/>
          <w:highlight w:val="none"/>
        </w:rPr>
        <w:t xml:space="preserve">  资格审查条件（项目经理最低要求）</w:t>
      </w:r>
      <w:bookmarkEnd w:id="22"/>
      <w:bookmarkEnd w:id="2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916"/>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noWrap w:val="0"/>
            <w:vAlign w:val="center"/>
          </w:tcPr>
          <w:p>
            <w:pPr>
              <w:pageBreakBefore w:val="0"/>
              <w:kinsoku/>
              <w:overflowPunct/>
              <w:topLinePunct w:val="0"/>
              <w:bidi w:val="0"/>
              <w:snapToGrid w:val="0"/>
              <w:spacing w:line="360" w:lineRule="exact"/>
              <w:jc w:val="center"/>
              <w:rPr>
                <w:color w:val="auto"/>
                <w:sz w:val="21"/>
                <w:szCs w:val="21"/>
                <w:highlight w:val="none"/>
              </w:rPr>
            </w:pPr>
            <w:r>
              <w:rPr>
                <w:rFonts w:hint="eastAsia" w:ascii="宋体" w:hAnsi="宋体"/>
                <w:color w:val="auto"/>
                <w:sz w:val="21"/>
                <w:szCs w:val="21"/>
                <w:highlight w:val="none"/>
              </w:rPr>
              <w:t>人 员</w:t>
            </w:r>
          </w:p>
        </w:tc>
        <w:tc>
          <w:tcPr>
            <w:tcW w:w="916" w:type="dxa"/>
            <w:noWrap w:val="0"/>
            <w:vAlign w:val="center"/>
          </w:tcPr>
          <w:p>
            <w:pPr>
              <w:pageBreakBefore w:val="0"/>
              <w:kinsoku/>
              <w:overflowPunct/>
              <w:topLinePunct w:val="0"/>
              <w:bidi w:val="0"/>
              <w:snapToGrid w:val="0"/>
              <w:spacing w:line="360" w:lineRule="exact"/>
              <w:jc w:val="center"/>
              <w:rPr>
                <w:color w:val="auto"/>
                <w:sz w:val="21"/>
                <w:szCs w:val="21"/>
                <w:highlight w:val="none"/>
              </w:rPr>
            </w:pPr>
            <w:r>
              <w:rPr>
                <w:rFonts w:hint="eastAsia" w:ascii="宋体" w:hAnsi="宋体"/>
                <w:color w:val="auto"/>
                <w:sz w:val="21"/>
                <w:szCs w:val="21"/>
                <w:highlight w:val="none"/>
              </w:rPr>
              <w:t>数量</w:t>
            </w:r>
          </w:p>
        </w:tc>
        <w:tc>
          <w:tcPr>
            <w:tcW w:w="6593" w:type="dxa"/>
            <w:noWrap w:val="0"/>
            <w:vAlign w:val="center"/>
          </w:tcPr>
          <w:p>
            <w:pPr>
              <w:pageBreakBefore w:val="0"/>
              <w:kinsoku/>
              <w:overflowPunct/>
              <w:topLinePunct w:val="0"/>
              <w:bidi w:val="0"/>
              <w:snapToGrid w:val="0"/>
              <w:spacing w:line="360" w:lineRule="exact"/>
              <w:jc w:val="center"/>
              <w:rPr>
                <w:color w:val="auto"/>
                <w:sz w:val="21"/>
                <w:szCs w:val="21"/>
                <w:highlight w:val="none"/>
              </w:rPr>
            </w:pPr>
            <w:r>
              <w:rPr>
                <w:rFonts w:hint="eastAsia" w:ascii="宋体" w:hAnsi="宋体"/>
                <w:color w:val="auto"/>
                <w:sz w:val="21"/>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noWrap w:val="0"/>
            <w:vAlign w:val="center"/>
          </w:tcPr>
          <w:p>
            <w:pPr>
              <w:pageBreakBefore w:val="0"/>
              <w:kinsoku/>
              <w:overflowPunct/>
              <w:topLinePunct w:val="0"/>
              <w:bidi w:val="0"/>
              <w:snapToGrid w:val="0"/>
              <w:spacing w:line="360" w:lineRule="exact"/>
              <w:jc w:val="center"/>
              <w:rPr>
                <w:color w:val="auto"/>
                <w:sz w:val="21"/>
                <w:szCs w:val="21"/>
                <w:highlight w:val="none"/>
              </w:rPr>
            </w:pPr>
            <w:r>
              <w:rPr>
                <w:rFonts w:hint="eastAsia" w:ascii="宋体" w:hAnsi="宋体"/>
                <w:color w:val="auto"/>
                <w:sz w:val="21"/>
                <w:szCs w:val="21"/>
                <w:highlight w:val="none"/>
              </w:rPr>
              <w:t>项目经理</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color w:val="auto"/>
                <w:sz w:val="21"/>
                <w:szCs w:val="21"/>
                <w:highlight w:val="none"/>
              </w:rPr>
            </w:pPr>
            <w:r>
              <w:rPr>
                <w:rFonts w:hint="eastAsia" w:ascii="宋体" w:hAnsi="宋体"/>
                <w:color w:val="auto"/>
                <w:sz w:val="21"/>
                <w:szCs w:val="21"/>
                <w:highlight w:val="none"/>
              </w:rPr>
              <w:t>1</w:t>
            </w:r>
          </w:p>
        </w:tc>
        <w:tc>
          <w:tcPr>
            <w:tcW w:w="6593" w:type="dxa"/>
            <w:noWrap w:val="0"/>
            <w:vAlign w:val="center"/>
          </w:tcPr>
          <w:p>
            <w:pPr>
              <w:pageBreakBefore w:val="0"/>
              <w:kinsoku/>
              <w:overflowPunct/>
              <w:topLinePunct w:val="0"/>
              <w:bidi w:val="0"/>
              <w:snapToGrid w:val="0"/>
              <w:spacing w:line="360" w:lineRule="exact"/>
              <w:rPr>
                <w:rFonts w:ascii="宋体" w:hAnsi="宋体"/>
                <w:color w:val="auto"/>
                <w:sz w:val="21"/>
                <w:szCs w:val="21"/>
                <w:highlight w:val="none"/>
              </w:rPr>
            </w:pPr>
            <w:r>
              <w:rPr>
                <w:rFonts w:hint="eastAsia" w:ascii="宋体" w:hAnsi="宋体"/>
                <w:color w:val="auto"/>
                <w:sz w:val="21"/>
                <w:szCs w:val="21"/>
                <w:highlight w:val="none"/>
              </w:rPr>
              <w:t>自有人员，具备建设行政主管部门核发的</w:t>
            </w:r>
            <w:r>
              <w:rPr>
                <w:rFonts w:ascii="宋体" w:hAnsi="宋体"/>
                <w:color w:val="auto"/>
                <w:sz w:val="21"/>
                <w:szCs w:val="21"/>
                <w:highlight w:val="none"/>
              </w:rPr>
              <w:t>有效的</w:t>
            </w:r>
            <w:r>
              <w:rPr>
                <w:rFonts w:hint="eastAsia" w:ascii="宋体" w:hAnsi="宋体"/>
                <w:color w:val="auto"/>
                <w:sz w:val="21"/>
                <w:szCs w:val="21"/>
                <w:highlight w:val="none"/>
              </w:rPr>
              <w:t>建筑工程二级注册建造师执业资格，具备有效的安全生产考核合格证书，且未担任其他在施建设工程项目的项目经理。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技术负责人</w:t>
            </w:r>
          </w:p>
        </w:tc>
        <w:tc>
          <w:tcPr>
            <w:tcW w:w="916"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1</w:t>
            </w:r>
          </w:p>
        </w:tc>
        <w:tc>
          <w:tcPr>
            <w:tcW w:w="6593" w:type="dxa"/>
            <w:noWrap w:val="0"/>
            <w:vAlign w:val="center"/>
          </w:tcPr>
          <w:p>
            <w:pPr>
              <w:pStyle w:val="3"/>
              <w:pageBreakBefore w:val="0"/>
              <w:kinsoku/>
              <w:overflowPunct/>
              <w:topLinePunct w:val="0"/>
              <w:bidi w:val="0"/>
              <w:snapToGrid w:val="0"/>
              <w:spacing w:line="360" w:lineRule="exact"/>
              <w:ind w:firstLine="0" w:firstLineChars="0"/>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自有人员</w:t>
            </w:r>
            <w:r>
              <w:rPr>
                <w:rFonts w:hint="eastAsia" w:ascii="宋体" w:hAnsi="宋体"/>
                <w:color w:val="auto"/>
                <w:sz w:val="21"/>
                <w:szCs w:val="21"/>
                <w:highlight w:val="none"/>
                <w:lang w:eastAsia="zh-CN"/>
              </w:rPr>
              <w:t>，</w:t>
            </w:r>
            <w:r>
              <w:rPr>
                <w:rFonts w:hint="eastAsia" w:ascii="宋体" w:hAnsi="宋体"/>
                <w:color w:val="auto"/>
                <w:sz w:val="21"/>
                <w:szCs w:val="21"/>
                <w:highlight w:val="none"/>
              </w:rPr>
              <w:t>工程类</w:t>
            </w:r>
            <w:r>
              <w:rPr>
                <w:rFonts w:hint="eastAsia" w:ascii="宋体" w:hAnsi="宋体"/>
                <w:color w:val="auto"/>
                <w:sz w:val="21"/>
                <w:szCs w:val="21"/>
                <w:highlight w:val="none"/>
                <w:lang w:val="en-US" w:eastAsia="zh-CN"/>
              </w:rPr>
              <w:t>高级</w:t>
            </w:r>
            <w:r>
              <w:rPr>
                <w:rFonts w:hint="eastAsia" w:ascii="宋体" w:hAnsi="宋体"/>
                <w:color w:val="auto"/>
                <w:sz w:val="21"/>
                <w:szCs w:val="21"/>
                <w:highlight w:val="none"/>
              </w:rPr>
              <w:t>技术职称</w:t>
            </w:r>
          </w:p>
        </w:tc>
      </w:tr>
    </w:tbl>
    <w:p>
      <w:pPr>
        <w:pageBreakBefore w:val="0"/>
        <w:widowControl w:val="0"/>
        <w:kinsoku/>
        <w:wordWrap/>
        <w:overflowPunct/>
        <w:topLinePunct w:val="0"/>
        <w:autoSpaceDE/>
        <w:autoSpaceDN/>
        <w:bidi w:val="0"/>
        <w:adjustRightInd/>
        <w:snapToGrid w:val="0"/>
        <w:spacing w:line="360" w:lineRule="exact"/>
        <w:textAlignment w:val="auto"/>
        <w:rPr>
          <w:rFonts w:hint="eastAsia" w:ascii="楷体" w:hAnsi="楷体" w:eastAsia="楷体" w:cs="Times New Roman"/>
          <w:color w:val="auto"/>
          <w:kern w:val="2"/>
          <w:sz w:val="21"/>
          <w:szCs w:val="21"/>
          <w:highlight w:val="none"/>
          <w:lang w:val="en-US" w:eastAsia="zh-CN" w:bidi="ar-SA"/>
        </w:rPr>
      </w:pPr>
      <w:r>
        <w:rPr>
          <w:rFonts w:hint="eastAsia" w:ascii="楷体" w:hAnsi="楷体" w:eastAsia="楷体"/>
          <w:b w:val="0"/>
          <w:smallCaps w:val="0"/>
          <w:snapToGrid/>
          <w:color w:val="auto"/>
          <w:sz w:val="21"/>
          <w:szCs w:val="21"/>
          <w:highlight w:val="none"/>
        </w:rPr>
        <w:t>注：</w:t>
      </w:r>
      <w:r>
        <w:rPr>
          <w:rFonts w:hint="eastAsia" w:ascii="楷体" w:hAnsi="楷体" w:eastAsia="楷体" w:cs="Times New Roman"/>
          <w:color w:val="auto"/>
          <w:kern w:val="2"/>
          <w:sz w:val="21"/>
          <w:szCs w:val="21"/>
          <w:highlight w:val="none"/>
          <w:lang w:val="en-US" w:eastAsia="zh-CN" w:bidi="ar-SA"/>
        </w:rPr>
        <w:t>本表中投标人自有人员指投标人为其缴纳社会保险（指养老保险）的人员，参保截止日期应在申请截止时间前3个月内。</w:t>
      </w:r>
    </w:p>
    <w:p>
      <w:pPr>
        <w:pStyle w:val="2"/>
        <w:pageBreakBefore w:val="0"/>
        <w:widowControl w:val="0"/>
        <w:kinsoku/>
        <w:wordWrap/>
        <w:overflowPunct/>
        <w:topLinePunct w:val="0"/>
        <w:autoSpaceDE/>
        <w:autoSpaceDN/>
        <w:bidi w:val="0"/>
        <w:adjustRightInd/>
        <w:snapToGrid w:val="0"/>
        <w:spacing w:before="0" w:after="0" w:line="360" w:lineRule="exact"/>
        <w:textAlignment w:val="auto"/>
        <w:rPr>
          <w:rFonts w:hint="eastAsia"/>
          <w:b w:val="0"/>
          <w:color w:val="auto"/>
          <w:sz w:val="21"/>
          <w:szCs w:val="21"/>
          <w:highlight w:val="none"/>
        </w:rPr>
      </w:pPr>
      <w:r>
        <w:rPr>
          <w:rFonts w:hint="eastAsia"/>
          <w:b w:val="0"/>
          <w:color w:val="auto"/>
          <w:sz w:val="21"/>
          <w:szCs w:val="21"/>
          <w:highlight w:val="none"/>
        </w:rPr>
        <w:t>附录</w:t>
      </w:r>
      <w:r>
        <w:rPr>
          <w:rFonts w:hint="eastAsia"/>
          <w:b w:val="0"/>
          <w:color w:val="auto"/>
          <w:sz w:val="21"/>
          <w:szCs w:val="21"/>
          <w:highlight w:val="none"/>
          <w:lang w:val="en-US" w:eastAsia="zh-CN"/>
        </w:rPr>
        <w:t>5</w:t>
      </w:r>
      <w:r>
        <w:rPr>
          <w:rFonts w:hint="eastAsia"/>
          <w:b w:val="0"/>
          <w:color w:val="auto"/>
          <w:sz w:val="21"/>
          <w:szCs w:val="21"/>
          <w:highlight w:val="none"/>
        </w:rPr>
        <w:t xml:space="preserve">  资格审查条件（其他主要人员最低要求）</w:t>
      </w:r>
    </w:p>
    <w:tbl>
      <w:tblPr>
        <w:tblStyle w:val="1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717"/>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2"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人员类别</w:t>
            </w:r>
          </w:p>
        </w:tc>
        <w:tc>
          <w:tcPr>
            <w:tcW w:w="717"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数量</w:t>
            </w:r>
          </w:p>
        </w:tc>
        <w:tc>
          <w:tcPr>
            <w:tcW w:w="6675"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最低要求</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2"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施工员</w:t>
            </w:r>
          </w:p>
        </w:tc>
        <w:tc>
          <w:tcPr>
            <w:tcW w:w="717"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p>
        </w:tc>
        <w:tc>
          <w:tcPr>
            <w:tcW w:w="6675" w:type="dxa"/>
            <w:noWrap w:val="0"/>
            <w:vAlign w:val="center"/>
          </w:tcPr>
          <w:p>
            <w:pPr>
              <w:pStyle w:val="3"/>
              <w:pageBreakBefore w:val="0"/>
              <w:kinsoku/>
              <w:overflowPunct/>
              <w:topLinePunct w:val="0"/>
              <w:bidi w:val="0"/>
              <w:snapToGrid w:val="0"/>
              <w:spacing w:line="360" w:lineRule="exact"/>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具有工程类中级技术职称或建设行政主管部门核发的岗位资格证书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2"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质量员</w:t>
            </w:r>
          </w:p>
        </w:tc>
        <w:tc>
          <w:tcPr>
            <w:tcW w:w="717"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ascii="宋体" w:hAnsi="宋体"/>
                <w:color w:val="auto"/>
                <w:sz w:val="21"/>
                <w:szCs w:val="21"/>
                <w:highlight w:val="none"/>
              </w:rPr>
              <w:t>2</w:t>
            </w:r>
          </w:p>
        </w:tc>
        <w:tc>
          <w:tcPr>
            <w:tcW w:w="6675" w:type="dxa"/>
            <w:noWrap w:val="0"/>
            <w:vAlign w:val="center"/>
          </w:tcPr>
          <w:p>
            <w:pPr>
              <w:pStyle w:val="3"/>
              <w:pageBreakBefore w:val="0"/>
              <w:kinsoku/>
              <w:overflowPunct/>
              <w:topLinePunct w:val="0"/>
              <w:bidi w:val="0"/>
              <w:snapToGrid w:val="0"/>
              <w:spacing w:line="360" w:lineRule="exact"/>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具有工程类中级技术职称或建设行政主管部门核发的岗位资格证书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2"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安全员</w:t>
            </w:r>
          </w:p>
        </w:tc>
        <w:tc>
          <w:tcPr>
            <w:tcW w:w="717"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sz w:val="21"/>
                <w:szCs w:val="21"/>
                <w:highlight w:val="none"/>
              </w:rPr>
            </w:pPr>
            <w:r>
              <w:rPr>
                <w:rFonts w:ascii="宋体" w:hAnsi="宋体"/>
                <w:color w:val="auto"/>
                <w:sz w:val="21"/>
                <w:szCs w:val="21"/>
                <w:highlight w:val="none"/>
              </w:rPr>
              <w:t>2</w:t>
            </w:r>
          </w:p>
        </w:tc>
        <w:tc>
          <w:tcPr>
            <w:tcW w:w="6675" w:type="dxa"/>
            <w:noWrap w:val="0"/>
            <w:vAlign w:val="center"/>
          </w:tcPr>
          <w:p>
            <w:pPr>
              <w:pStyle w:val="3"/>
              <w:pageBreakBefore w:val="0"/>
              <w:kinsoku/>
              <w:overflowPunct/>
              <w:topLinePunct w:val="0"/>
              <w:bidi w:val="0"/>
              <w:snapToGrid w:val="0"/>
              <w:spacing w:line="360" w:lineRule="exact"/>
              <w:ind w:firstLine="0" w:firstLineChars="0"/>
              <w:rPr>
                <w:rFonts w:hint="eastAsia" w:ascii="宋体" w:hAnsi="宋体"/>
                <w:color w:val="auto"/>
                <w:sz w:val="21"/>
                <w:szCs w:val="21"/>
                <w:highlight w:val="none"/>
              </w:rPr>
            </w:pPr>
            <w:r>
              <w:rPr>
                <w:rFonts w:hint="eastAsia" w:ascii="宋体" w:hAnsi="宋体"/>
                <w:color w:val="auto"/>
                <w:sz w:val="21"/>
                <w:szCs w:val="21"/>
                <w:highlight w:val="none"/>
              </w:rPr>
              <w:t>具有建设行政主管部门核发的有效的</w:t>
            </w:r>
            <w:r>
              <w:rPr>
                <w:rFonts w:ascii="宋体" w:hAnsi="宋体"/>
                <w:color w:val="auto"/>
                <w:sz w:val="21"/>
                <w:szCs w:val="21"/>
                <w:highlight w:val="none"/>
              </w:rPr>
              <w:t>C</w:t>
            </w:r>
            <w:r>
              <w:rPr>
                <w:rFonts w:hint="eastAsia" w:ascii="宋体" w:hAnsi="宋体"/>
                <w:color w:val="auto"/>
                <w:sz w:val="21"/>
                <w:szCs w:val="21"/>
                <w:highlight w:val="none"/>
              </w:rPr>
              <w:t>类安全生产考核合格证书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02"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资料员</w:t>
            </w:r>
          </w:p>
        </w:tc>
        <w:tc>
          <w:tcPr>
            <w:tcW w:w="717" w:type="dxa"/>
            <w:noWrap w:val="0"/>
            <w:vAlign w:val="center"/>
          </w:tcPr>
          <w:p>
            <w:pPr>
              <w:pStyle w:val="3"/>
              <w:pageBreakBefore w:val="0"/>
              <w:kinsoku/>
              <w:overflowPunct/>
              <w:topLinePunct w:val="0"/>
              <w:bidi w:val="0"/>
              <w:snapToGrid w:val="0"/>
              <w:spacing w:line="360" w:lineRule="exact"/>
              <w:ind w:firstLine="0" w:firstLineChars="0"/>
              <w:jc w:val="center"/>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1</w:t>
            </w:r>
          </w:p>
        </w:tc>
        <w:tc>
          <w:tcPr>
            <w:tcW w:w="6675" w:type="dxa"/>
            <w:noWrap w:val="0"/>
            <w:vAlign w:val="center"/>
          </w:tcPr>
          <w:p>
            <w:pPr>
              <w:pStyle w:val="3"/>
              <w:pageBreakBefore w:val="0"/>
              <w:kinsoku/>
              <w:overflowPunct/>
              <w:topLinePunct w:val="0"/>
              <w:bidi w:val="0"/>
              <w:snapToGrid w:val="0"/>
              <w:spacing w:line="360" w:lineRule="exact"/>
              <w:ind w:firstLine="0" w:firstLineChars="0"/>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具有工程类初级技术职称或建设行政主管部门核发的岗位资格证书</w:t>
            </w:r>
          </w:p>
        </w:tc>
      </w:tr>
      <w:bookmarkEnd w:id="17"/>
    </w:tbl>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楷体" w:hAnsi="楷体" w:eastAsia="楷体"/>
          <w:b w:val="0"/>
          <w:smallCaps w:val="0"/>
          <w:snapToGrid/>
          <w:color w:val="auto"/>
          <w:sz w:val="21"/>
          <w:szCs w:val="21"/>
          <w:highlight w:val="none"/>
        </w:rPr>
        <w:t>注：附录</w:t>
      </w:r>
      <w:r>
        <w:rPr>
          <w:rFonts w:hint="eastAsia" w:ascii="楷体" w:hAnsi="楷体" w:eastAsia="楷体"/>
          <w:b w:val="0"/>
          <w:smallCaps w:val="0"/>
          <w:snapToGrid/>
          <w:color w:val="auto"/>
          <w:sz w:val="21"/>
          <w:szCs w:val="21"/>
          <w:highlight w:val="none"/>
          <w:lang w:val="en-US" w:eastAsia="zh-CN"/>
        </w:rPr>
        <w:t>5</w:t>
      </w:r>
      <w:r>
        <w:rPr>
          <w:rFonts w:hint="eastAsia" w:ascii="楷体" w:hAnsi="楷体" w:eastAsia="楷体"/>
          <w:b w:val="0"/>
          <w:smallCaps w:val="0"/>
          <w:snapToGrid/>
          <w:color w:val="auto"/>
          <w:sz w:val="21"/>
          <w:szCs w:val="21"/>
          <w:highlight w:val="none"/>
        </w:rPr>
        <w:t>所列其他主要人员不需在投标文件中填报，在合同签订阶段确定，中标人需根据项目需求配置满足项目管理需求人员，并不得低于吉林省建设主管部门最低要求。</w:t>
      </w:r>
      <w:r>
        <w:rPr>
          <w:rFonts w:ascii="楷体" w:hAnsi="楷体" w:eastAsia="楷体"/>
          <w:b w:val="0"/>
          <w:smallCaps w:val="0"/>
          <w:snapToGrid/>
          <w:color w:val="auto"/>
          <w:sz w:val="21"/>
          <w:szCs w:val="21"/>
          <w:highlight w:val="none"/>
        </w:rPr>
        <w:br w:type="page"/>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评标办法</w:t>
      </w:r>
    </w:p>
    <w:p>
      <w:pPr>
        <w:pStyle w:val="34"/>
        <w:pageBreakBefore w:val="0"/>
        <w:widowControl w:val="0"/>
        <w:kinsoku/>
        <w:wordWrap/>
        <w:overflowPunct/>
        <w:topLinePunct w:val="0"/>
        <w:autoSpaceDE/>
        <w:autoSpaceDN/>
        <w:bidi w:val="0"/>
        <w:snapToGrid w:val="0"/>
        <w:spacing w:line="360" w:lineRule="exact"/>
        <w:textAlignment w:val="auto"/>
        <w:rPr>
          <w:rFonts w:hint="eastAsia" w:ascii="宋体" w:hAnsi="宋体" w:eastAsia="宋体"/>
          <w:color w:val="auto"/>
          <w:sz w:val="21"/>
          <w:szCs w:val="21"/>
          <w:highlight w:val="none"/>
        </w:rPr>
      </w:pPr>
      <w:bookmarkStart w:id="24" w:name="_Toc179632617"/>
      <w:bookmarkStart w:id="25" w:name="_Toc144974566"/>
      <w:bookmarkStart w:id="26" w:name="_Toc152042376"/>
      <w:bookmarkStart w:id="27" w:name="_Toc152045599"/>
      <w:r>
        <w:rPr>
          <w:rFonts w:hint="eastAsia" w:ascii="宋体" w:hAnsi="宋体" w:eastAsia="宋体"/>
          <w:color w:val="auto"/>
          <w:sz w:val="21"/>
          <w:szCs w:val="21"/>
          <w:highlight w:val="none"/>
        </w:rPr>
        <w:t>评标办法前附表</w:t>
      </w:r>
      <w:bookmarkEnd w:id="24"/>
      <w:bookmarkEnd w:id="25"/>
      <w:bookmarkEnd w:id="26"/>
      <w:bookmarkEnd w:id="27"/>
    </w:p>
    <w:p>
      <w:pPr>
        <w:pageBreakBefore w:val="0"/>
        <w:kinsoku/>
        <w:overflowPunct/>
        <w:topLinePunct w:val="0"/>
        <w:bidi w:val="0"/>
        <w:snapToGrid w:val="0"/>
        <w:spacing w:line="360" w:lineRule="exact"/>
        <w:rPr>
          <w:rFonts w:ascii="宋体" w:hAnsi="宋体"/>
          <w:color w:val="auto"/>
          <w:sz w:val="21"/>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400"/>
        <w:gridCol w:w="3052"/>
        <w:gridCol w:w="4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2"/>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b/>
                <w:color w:val="auto"/>
                <w:sz w:val="21"/>
                <w:szCs w:val="21"/>
                <w:highlight w:val="none"/>
              </w:rPr>
            </w:pPr>
            <w:r>
              <w:rPr>
                <w:rFonts w:ascii="宋体" w:hAnsi="宋体"/>
                <w:b/>
                <w:color w:val="auto"/>
                <w:sz w:val="21"/>
                <w:szCs w:val="21"/>
                <w:highlight w:val="none"/>
              </w:rPr>
              <w:t>条款号</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b/>
                <w:color w:val="auto"/>
                <w:sz w:val="21"/>
                <w:szCs w:val="21"/>
                <w:highlight w:val="none"/>
              </w:rPr>
            </w:pPr>
            <w:r>
              <w:rPr>
                <w:rFonts w:ascii="宋体" w:hAnsi="宋体"/>
                <w:b/>
                <w:color w:val="auto"/>
                <w:sz w:val="21"/>
                <w:szCs w:val="21"/>
                <w:highlight w:val="none"/>
              </w:rPr>
              <w:t>评审因素</w:t>
            </w:r>
          </w:p>
        </w:tc>
        <w:tc>
          <w:tcPr>
            <w:tcW w:w="4326"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b/>
                <w:color w:val="auto"/>
                <w:sz w:val="21"/>
                <w:szCs w:val="21"/>
                <w:highlight w:val="none"/>
              </w:rPr>
            </w:pPr>
            <w:r>
              <w:rPr>
                <w:rFonts w:ascii="宋体" w:hAnsi="宋体"/>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400"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中标候选人排序方法</w:t>
            </w:r>
          </w:p>
        </w:tc>
        <w:tc>
          <w:tcPr>
            <w:tcW w:w="4326" w:type="dxa"/>
            <w:noWrap w:val="0"/>
            <w:vAlign w:val="center"/>
          </w:tcPr>
          <w:p>
            <w:pPr>
              <w:keepLines/>
              <w:pageBreakBefore w:val="0"/>
              <w:kinsoku/>
              <w:overflowPunct/>
              <w:topLinePunct w:val="0"/>
              <w:bidi w:val="0"/>
              <w:adjustRightInd w:val="0"/>
              <w:snapToGrid w:val="0"/>
              <w:spacing w:line="360" w:lineRule="exact"/>
              <w:jc w:val="left"/>
              <w:textAlignment w:val="baseline"/>
              <w:rPr>
                <w:rFonts w:ascii="宋体" w:hAnsi="宋体"/>
                <w:color w:val="auto"/>
                <w:sz w:val="21"/>
                <w:szCs w:val="21"/>
                <w:highlight w:val="none"/>
              </w:rPr>
            </w:pPr>
            <w:r>
              <w:rPr>
                <w:rFonts w:hint="eastAsia" w:ascii="宋体" w:hAnsi="宋体"/>
                <w:color w:val="auto"/>
                <w:sz w:val="2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综合评分相等时，评标委员会依次按照以下优先顺序</w:t>
            </w:r>
            <w:r>
              <w:rPr>
                <w:rFonts w:ascii="宋体" w:hAnsi="宋体"/>
                <w:color w:val="auto"/>
                <w:sz w:val="21"/>
                <w:szCs w:val="21"/>
                <w:highlight w:val="none"/>
              </w:rPr>
              <w:t>推荐中标候选人</w:t>
            </w:r>
            <w:r>
              <w:rPr>
                <w:rFonts w:hint="eastAsia" w:ascii="宋体" w:hAnsi="宋体"/>
                <w:color w:val="auto"/>
                <w:sz w:val="21"/>
                <w:szCs w:val="21"/>
                <w:highlight w:val="none"/>
              </w:rPr>
              <w:t>：</w:t>
            </w:r>
          </w:p>
          <w:p>
            <w:pPr>
              <w:pageBreakBefore w:val="0"/>
              <w:kinsoku/>
              <w:overflowPunct/>
              <w:topLinePunct w:val="0"/>
              <w:bidi w:val="0"/>
              <w:adjustRightInd w:val="0"/>
              <w:snapToGrid w:val="0"/>
              <w:spacing w:line="36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（1）报价得分高的投标人优先；</w:t>
            </w:r>
          </w:p>
          <w:p>
            <w:pPr>
              <w:pageBreakBefore w:val="0"/>
              <w:kinsoku/>
              <w:overflowPunct/>
              <w:topLinePunct w:val="0"/>
              <w:bidi w:val="0"/>
              <w:adjustRightInd w:val="0"/>
              <w:snapToGrid w:val="0"/>
              <w:spacing w:line="36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（2）施工组织设计得分高的投标人优先；</w:t>
            </w:r>
          </w:p>
          <w:p>
            <w:pPr>
              <w:pageBreakBefore w:val="0"/>
              <w:kinsoku/>
              <w:overflowPunct/>
              <w:topLinePunct w:val="0"/>
              <w:bidi w:val="0"/>
              <w:adjustRightInd w:val="0"/>
              <w:snapToGrid w:val="0"/>
              <w:spacing w:line="36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（3）企业业绩得分高的投标人优先；</w:t>
            </w:r>
          </w:p>
          <w:p>
            <w:pPr>
              <w:pageBreakBefore w:val="0"/>
              <w:kinsoku/>
              <w:overflowPunct/>
              <w:topLinePunct w:val="0"/>
              <w:bidi w:val="0"/>
              <w:adjustRightInd w:val="0"/>
              <w:snapToGrid w:val="0"/>
              <w:spacing w:line="36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（4）主要人员得分高的投标人优先。</w:t>
            </w:r>
          </w:p>
          <w:p>
            <w:pPr>
              <w:pageBreakBefore w:val="0"/>
              <w:kinsoku/>
              <w:overflowPunct/>
              <w:topLinePunct w:val="0"/>
              <w:bidi w:val="0"/>
              <w:adjustRightInd w:val="0"/>
              <w:snapToGrid w:val="0"/>
              <w:spacing w:line="360" w:lineRule="exact"/>
              <w:jc w:val="left"/>
              <w:textAlignment w:val="baseline"/>
              <w:rPr>
                <w:rFonts w:ascii="宋体" w:hAnsi="宋体"/>
                <w:b/>
                <w:color w:val="auto"/>
                <w:sz w:val="21"/>
                <w:szCs w:val="21"/>
                <w:highlight w:val="none"/>
              </w:rPr>
            </w:pPr>
            <w:r>
              <w:rPr>
                <w:rFonts w:hint="eastAsia" w:ascii="宋体" w:hAnsi="宋体"/>
                <w:color w:val="auto"/>
                <w:sz w:val="21"/>
                <w:szCs w:val="21"/>
                <w:highlight w:val="none"/>
              </w:rPr>
              <w:t>若以上均相等，则由评标委员会表决确定其排序先后。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2.1.1</w:t>
            </w:r>
          </w:p>
        </w:tc>
        <w:tc>
          <w:tcPr>
            <w:tcW w:w="1400"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形式评审标准</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投标人名称</w:t>
            </w:r>
          </w:p>
        </w:tc>
        <w:tc>
          <w:tcPr>
            <w:tcW w:w="4326" w:type="dxa"/>
            <w:noWrap w:val="0"/>
            <w:vAlign w:val="center"/>
          </w:tcPr>
          <w:p>
            <w:pPr>
              <w:pageBreakBefore w:val="0"/>
              <w:kinsoku/>
              <w:overflowPunct/>
              <w:topLinePunct w:val="0"/>
              <w:bidi w:val="0"/>
              <w:adjustRightInd w:val="0"/>
              <w:snapToGrid w:val="0"/>
              <w:spacing w:line="360" w:lineRule="exact"/>
              <w:jc w:val="left"/>
              <w:textAlignment w:val="baseline"/>
              <w:rPr>
                <w:rFonts w:ascii="宋体" w:hAnsi="宋体"/>
                <w:color w:val="auto"/>
                <w:sz w:val="21"/>
                <w:szCs w:val="21"/>
                <w:highlight w:val="none"/>
              </w:rPr>
            </w:pPr>
            <w:r>
              <w:rPr>
                <w:rFonts w:ascii="宋体" w:hAnsi="宋体"/>
                <w:color w:val="auto"/>
                <w:sz w:val="21"/>
                <w:szCs w:val="21"/>
                <w:highlight w:val="none"/>
              </w:rPr>
              <w:t>与营业执照、资质证书</w:t>
            </w:r>
            <w:r>
              <w:rPr>
                <w:rFonts w:hint="eastAsia" w:ascii="宋体" w:hAnsi="宋体"/>
                <w:color w:val="auto"/>
                <w:sz w:val="21"/>
                <w:szCs w:val="21"/>
                <w:highlight w:val="none"/>
              </w:rPr>
              <w:t>、安全生产许可证</w:t>
            </w:r>
            <w:r>
              <w:rPr>
                <w:rFonts w:ascii="宋体" w:hAnsi="宋体"/>
                <w:color w:val="auto"/>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投标函签字盖章</w:t>
            </w:r>
          </w:p>
        </w:tc>
        <w:tc>
          <w:tcPr>
            <w:tcW w:w="4326" w:type="dxa"/>
            <w:noWrap w:val="0"/>
            <w:vAlign w:val="center"/>
          </w:tcPr>
          <w:p>
            <w:pPr>
              <w:pageBreakBefore w:val="0"/>
              <w:kinsoku/>
              <w:overflowPunct/>
              <w:topLinePunct w:val="0"/>
              <w:bidi w:val="0"/>
              <w:adjustRightInd w:val="0"/>
              <w:snapToGrid w:val="0"/>
              <w:spacing w:line="360" w:lineRule="exact"/>
              <w:jc w:val="left"/>
              <w:textAlignment w:val="baseline"/>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有法定代表人或其委托代理人签字或加盖单位章。由法定代表人签字的，应附法定代表人身份证明，由代理人签字的，应附授权委托书，身份证明或授权委托书应符合第八章“投标文件格式”的规定</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投标文件格式</w:t>
            </w:r>
          </w:p>
        </w:tc>
        <w:tc>
          <w:tcPr>
            <w:tcW w:w="4326" w:type="dxa"/>
            <w:noWrap w:val="0"/>
            <w:vAlign w:val="center"/>
          </w:tcPr>
          <w:p>
            <w:pPr>
              <w:pageBreakBefore w:val="0"/>
              <w:kinsoku/>
              <w:overflowPunct/>
              <w:topLinePunct w:val="0"/>
              <w:bidi w:val="0"/>
              <w:adjustRightInd w:val="0"/>
              <w:snapToGrid w:val="0"/>
              <w:spacing w:line="360" w:lineRule="exact"/>
              <w:jc w:val="left"/>
              <w:textAlignment w:val="baseline"/>
              <w:rPr>
                <w:rFonts w:ascii="宋体" w:hAnsi="宋体"/>
                <w:color w:val="auto"/>
                <w:sz w:val="21"/>
                <w:szCs w:val="21"/>
                <w:highlight w:val="none"/>
              </w:rPr>
            </w:pPr>
            <w:r>
              <w:rPr>
                <w:rFonts w:ascii="宋体" w:hAnsi="宋体"/>
                <w:color w:val="auto"/>
                <w:sz w:val="21"/>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报价唯一</w:t>
            </w:r>
          </w:p>
        </w:tc>
        <w:tc>
          <w:tcPr>
            <w:tcW w:w="4326" w:type="dxa"/>
            <w:noWrap w:val="0"/>
            <w:vAlign w:val="center"/>
          </w:tcPr>
          <w:p>
            <w:pPr>
              <w:pageBreakBefore w:val="0"/>
              <w:kinsoku/>
              <w:overflowPunct/>
              <w:topLinePunct w:val="0"/>
              <w:bidi w:val="0"/>
              <w:adjustRightInd w:val="0"/>
              <w:snapToGrid w:val="0"/>
              <w:spacing w:line="360" w:lineRule="exact"/>
              <w:jc w:val="left"/>
              <w:textAlignment w:val="baseline"/>
              <w:rPr>
                <w:rFonts w:ascii="宋体" w:hAnsi="宋体"/>
                <w:color w:val="auto"/>
                <w:sz w:val="21"/>
                <w:szCs w:val="21"/>
                <w:highlight w:val="none"/>
              </w:rPr>
            </w:pPr>
            <w:r>
              <w:rPr>
                <w:rFonts w:ascii="宋体" w:hAnsi="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2.1.2</w:t>
            </w:r>
          </w:p>
        </w:tc>
        <w:tc>
          <w:tcPr>
            <w:tcW w:w="1400"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资格评审标准</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olor w:val="auto"/>
                <w:sz w:val="21"/>
                <w:szCs w:val="21"/>
                <w:highlight w:val="none"/>
              </w:rPr>
            </w:pPr>
            <w:r>
              <w:rPr>
                <w:rFonts w:ascii="宋体" w:hAnsi="宋体"/>
                <w:color w:val="auto"/>
                <w:sz w:val="21"/>
                <w:szCs w:val="21"/>
                <w:highlight w:val="none"/>
              </w:rPr>
              <w:t>营业执照</w:t>
            </w:r>
          </w:p>
        </w:tc>
        <w:tc>
          <w:tcPr>
            <w:tcW w:w="4326" w:type="dxa"/>
            <w:noWrap w:val="0"/>
            <w:vAlign w:val="center"/>
          </w:tcPr>
          <w:p>
            <w:pPr>
              <w:pageBreakBefore w:val="0"/>
              <w:kinsoku/>
              <w:overflowPunct/>
              <w:topLinePunct w:val="0"/>
              <w:bidi w:val="0"/>
              <w:adjustRightInd w:val="0"/>
              <w:snapToGrid w:val="0"/>
              <w:spacing w:line="360" w:lineRule="exact"/>
              <w:jc w:val="left"/>
              <w:textAlignment w:val="baseline"/>
              <w:rPr>
                <w:rFonts w:ascii="宋体" w:hAnsi="宋体"/>
                <w:color w:val="auto"/>
                <w:sz w:val="21"/>
                <w:szCs w:val="21"/>
                <w:highlight w:val="none"/>
              </w:rPr>
            </w:pPr>
            <w:r>
              <w:rPr>
                <w:rFonts w:ascii="宋体" w:hAnsi="宋体"/>
                <w:color w:val="auto"/>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hint="eastAsia" w:ascii="宋体" w:hAnsi="宋体" w:cs="宋体"/>
                <w:color w:val="auto"/>
                <w:sz w:val="21"/>
                <w:szCs w:val="21"/>
                <w:highlight w:val="none"/>
              </w:rPr>
              <w:t>资质条件</w:t>
            </w:r>
          </w:p>
        </w:tc>
        <w:tc>
          <w:tcPr>
            <w:tcW w:w="4326" w:type="dxa"/>
            <w:noWrap w:val="0"/>
            <w:vAlign w:val="center"/>
          </w:tcPr>
          <w:p>
            <w:pPr>
              <w:pageBreakBefore w:val="0"/>
              <w:kinsoku/>
              <w:overflowPunct/>
              <w:topLinePunct w:val="0"/>
              <w:bidi w:val="0"/>
              <w:adjustRightInd w:val="0"/>
              <w:snapToGrid w:val="0"/>
              <w:spacing w:line="36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符合</w:t>
            </w:r>
            <w:r>
              <w:rPr>
                <w:rFonts w:ascii="宋体" w:hAnsi="宋体"/>
                <w:color w:val="auto"/>
                <w:sz w:val="21"/>
                <w:szCs w:val="21"/>
                <w:highlight w:val="none"/>
              </w:rPr>
              <w:t>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类似项目业绩</w:t>
            </w:r>
          </w:p>
        </w:tc>
        <w:tc>
          <w:tcPr>
            <w:tcW w:w="4326" w:type="dxa"/>
            <w:noWrap w:val="0"/>
            <w:vAlign w:val="top"/>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信誉</w:t>
            </w:r>
          </w:p>
        </w:tc>
        <w:tc>
          <w:tcPr>
            <w:tcW w:w="4326" w:type="dxa"/>
            <w:noWrap w:val="0"/>
            <w:vAlign w:val="top"/>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项目经理</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符合第二章“投标人须知”第1.4.1</w:t>
            </w:r>
            <w:r>
              <w:rPr>
                <w:rFonts w:hint="eastAsia" w:ascii="宋体" w:hAnsi="宋体"/>
                <w:color w:val="auto"/>
                <w:sz w:val="21"/>
                <w:szCs w:val="21"/>
                <w:highlight w:val="none"/>
              </w:rPr>
              <w:t>项</w:t>
            </w:r>
            <w:r>
              <w:rPr>
                <w:rFonts w:ascii="宋体" w:hAnsi="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hint="eastAsia" w:ascii="宋体" w:hAnsi="宋体"/>
                <w:color w:val="auto"/>
                <w:sz w:val="21"/>
                <w:szCs w:val="21"/>
                <w:highlight w:val="none"/>
              </w:rPr>
              <w:t>其他要求</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联合体投标人</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olor w:val="auto"/>
                <w:sz w:val="21"/>
                <w:szCs w:val="21"/>
                <w:highlight w:val="none"/>
              </w:rPr>
            </w:pPr>
            <w:r>
              <w:rPr>
                <w:rFonts w:ascii="宋体" w:hAnsi="宋体"/>
                <w:color w:val="auto"/>
                <w:sz w:val="21"/>
                <w:szCs w:val="21"/>
                <w:highlight w:val="none"/>
              </w:rPr>
              <w:t>2.1.3</w:t>
            </w:r>
          </w:p>
        </w:tc>
        <w:tc>
          <w:tcPr>
            <w:tcW w:w="1400"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olor w:val="auto"/>
                <w:sz w:val="21"/>
                <w:szCs w:val="21"/>
                <w:highlight w:val="none"/>
              </w:rPr>
            </w:pPr>
            <w:r>
              <w:rPr>
                <w:rFonts w:ascii="宋体" w:hAnsi="宋体"/>
                <w:color w:val="auto"/>
                <w:sz w:val="21"/>
                <w:szCs w:val="21"/>
                <w:highlight w:val="none"/>
              </w:rPr>
              <w:t>响应性评审标准</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投标内容</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工期</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工程质量</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hint="eastAsia" w:ascii="宋体" w:hAnsi="宋体"/>
                <w:color w:val="auto"/>
                <w:sz w:val="21"/>
                <w:szCs w:val="21"/>
                <w:highlight w:val="none"/>
              </w:rPr>
              <w:t>投标有效期</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w:t>
            </w:r>
            <w:r>
              <w:rPr>
                <w:rFonts w:hint="eastAsia" w:ascii="宋体" w:hAnsi="宋体"/>
                <w:color w:val="auto"/>
                <w:sz w:val="21"/>
                <w:szCs w:val="21"/>
                <w:highlight w:val="none"/>
              </w:rPr>
              <w:t>3</w:t>
            </w:r>
            <w:r>
              <w:rPr>
                <w:rFonts w:ascii="宋体" w:hAnsi="宋体"/>
                <w:color w:val="auto"/>
                <w:sz w:val="21"/>
                <w:szCs w:val="21"/>
                <w:highlight w:val="none"/>
              </w:rPr>
              <w:t>.3.</w:t>
            </w:r>
            <w:r>
              <w:rPr>
                <w:rFonts w:hint="eastAsia" w:ascii="宋体" w:hAnsi="宋体"/>
                <w:color w:val="auto"/>
                <w:sz w:val="21"/>
                <w:szCs w:val="21"/>
                <w:highlight w:val="none"/>
              </w:rPr>
              <w:t>1</w:t>
            </w:r>
            <w:r>
              <w:rPr>
                <w:rFonts w:ascii="宋体" w:hAnsi="宋体"/>
                <w:color w:val="auto"/>
                <w:sz w:val="21"/>
                <w:szCs w:val="21"/>
                <w:highlight w:val="none"/>
              </w:rPr>
              <w:t>项规</w:t>
            </w:r>
            <w:r>
              <w:rPr>
                <w:rFonts w:hint="eastAsia" w:ascii="宋体" w:hAnsi="宋体"/>
                <w:color w:val="auto"/>
                <w:sz w:val="21"/>
                <w:szCs w:val="21"/>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投标保证金</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符合第二章“投标人须知”第3.4</w:t>
            </w:r>
            <w:r>
              <w:rPr>
                <w:rFonts w:hint="eastAsia" w:ascii="宋体" w:hAnsi="宋体"/>
                <w:color w:val="auto"/>
                <w:sz w:val="21"/>
                <w:szCs w:val="21"/>
                <w:highlight w:val="none"/>
              </w:rPr>
              <w:t>.1项</w:t>
            </w:r>
            <w:r>
              <w:rPr>
                <w:rFonts w:ascii="宋体" w:hAnsi="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权利义务</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已标价工程量清单</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hint="eastAsia" w:ascii="宋体" w:hAnsi="宋体"/>
                <w:color w:val="auto"/>
                <w:sz w:val="21"/>
                <w:szCs w:val="21"/>
                <w:highlight w:val="none"/>
              </w:rPr>
              <w:t>技术标准和要求</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hint="eastAsia" w:ascii="宋体" w:hAnsi="宋体"/>
                <w:color w:val="auto"/>
                <w:sz w:val="21"/>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s="等线"/>
                <w:color w:val="auto"/>
                <w:sz w:val="21"/>
                <w:szCs w:val="21"/>
                <w:highlight w:val="none"/>
              </w:rPr>
            </w:pPr>
            <w:r>
              <w:rPr>
                <w:rFonts w:hint="eastAsia" w:ascii="宋体" w:hAnsi="宋体" w:cs="等线"/>
                <w:color w:val="auto"/>
                <w:sz w:val="21"/>
                <w:szCs w:val="21"/>
                <w:highlight w:val="none"/>
              </w:rPr>
              <w:t>其他要求</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s="等线"/>
                <w:color w:val="auto"/>
                <w:sz w:val="21"/>
                <w:szCs w:val="21"/>
                <w:highlight w:val="none"/>
              </w:rPr>
            </w:pPr>
            <w:r>
              <w:rPr>
                <w:rFonts w:hint="eastAsia" w:ascii="宋体" w:hAnsi="宋体" w:cs="等线"/>
                <w:color w:val="auto"/>
                <w:sz w:val="21"/>
                <w:szCs w:val="21"/>
                <w:highlight w:val="none"/>
              </w:rPr>
              <w:t>满足招标文件的其他实质性要求及相关法律法规规定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2"/>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b/>
                <w:color w:val="auto"/>
                <w:sz w:val="21"/>
                <w:szCs w:val="21"/>
                <w:highlight w:val="none"/>
              </w:rPr>
            </w:pPr>
            <w:r>
              <w:rPr>
                <w:rFonts w:ascii="宋体" w:hAnsi="宋体"/>
                <w:b/>
                <w:color w:val="auto"/>
                <w:sz w:val="21"/>
                <w:szCs w:val="21"/>
                <w:highlight w:val="none"/>
              </w:rPr>
              <w:t>条款号</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b/>
                <w:color w:val="auto"/>
                <w:sz w:val="21"/>
                <w:szCs w:val="21"/>
                <w:highlight w:val="none"/>
              </w:rPr>
            </w:pPr>
            <w:r>
              <w:rPr>
                <w:rFonts w:ascii="宋体" w:hAnsi="宋体"/>
                <w:b/>
                <w:color w:val="auto"/>
                <w:sz w:val="21"/>
                <w:szCs w:val="21"/>
                <w:highlight w:val="none"/>
              </w:rPr>
              <w:t>条款内容</w:t>
            </w:r>
          </w:p>
        </w:tc>
        <w:tc>
          <w:tcPr>
            <w:tcW w:w="4326"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b/>
                <w:color w:val="auto"/>
                <w:sz w:val="21"/>
                <w:szCs w:val="21"/>
                <w:highlight w:val="none"/>
              </w:rPr>
            </w:pPr>
            <w:r>
              <w:rPr>
                <w:rFonts w:ascii="宋体" w:hAnsi="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2"/>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2.2.1</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分值构成</w:t>
            </w:r>
          </w:p>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(总分100分)</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施工组织设计：</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20</w:t>
            </w:r>
            <w:r>
              <w:rPr>
                <w:rFonts w:ascii="宋体" w:hAnsi="宋体"/>
                <w:color w:val="auto"/>
                <w:sz w:val="21"/>
                <w:szCs w:val="21"/>
                <w:highlight w:val="none"/>
              </w:rPr>
              <w:t>分</w:t>
            </w:r>
          </w:p>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项目管理机构：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5 </w:t>
            </w:r>
            <w:r>
              <w:rPr>
                <w:rFonts w:ascii="宋体" w:hAnsi="宋体"/>
                <w:color w:val="auto"/>
                <w:sz w:val="21"/>
                <w:szCs w:val="21"/>
                <w:highlight w:val="none"/>
              </w:rPr>
              <w:t>分</w:t>
            </w:r>
          </w:p>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投标报价：</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60</w:t>
            </w:r>
            <w:r>
              <w:rPr>
                <w:rFonts w:ascii="宋体" w:hAnsi="宋体"/>
                <w:color w:val="auto"/>
                <w:sz w:val="21"/>
                <w:szCs w:val="21"/>
                <w:highlight w:val="none"/>
                <w:u w:val="single"/>
              </w:rPr>
              <w:t xml:space="preserve">  </w:t>
            </w:r>
            <w:r>
              <w:rPr>
                <w:rFonts w:ascii="宋体" w:hAnsi="宋体"/>
                <w:color w:val="auto"/>
                <w:sz w:val="21"/>
                <w:szCs w:val="21"/>
                <w:highlight w:val="none"/>
              </w:rPr>
              <w:t>分</w:t>
            </w:r>
          </w:p>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ascii="宋体" w:hAnsi="宋体"/>
                <w:color w:val="auto"/>
                <w:sz w:val="21"/>
                <w:szCs w:val="21"/>
                <w:highlight w:val="none"/>
              </w:rPr>
              <w:t>其他评分因素：</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15</w:t>
            </w:r>
            <w:r>
              <w:rPr>
                <w:rFonts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2"/>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2.2.2</w:t>
            </w:r>
          </w:p>
        </w:tc>
        <w:tc>
          <w:tcPr>
            <w:tcW w:w="3052" w:type="dxa"/>
            <w:noWrap w:val="0"/>
            <w:vAlign w:val="center"/>
          </w:tcPr>
          <w:p>
            <w:pPr>
              <w:pageBreakBefore w:val="0"/>
              <w:kinsoku/>
              <w:overflowPunct/>
              <w:topLinePunct w:val="0"/>
              <w:bidi w:val="0"/>
              <w:snapToGrid w:val="0"/>
              <w:spacing w:line="360" w:lineRule="exact"/>
              <w:jc w:val="center"/>
              <w:rPr>
                <w:rFonts w:ascii="宋体" w:hAnsi="宋体"/>
                <w:b/>
                <w:color w:val="auto"/>
                <w:sz w:val="21"/>
                <w:szCs w:val="21"/>
                <w:highlight w:val="none"/>
              </w:rPr>
            </w:pPr>
            <w:r>
              <w:rPr>
                <w:rFonts w:ascii="宋体" w:hAnsi="宋体" w:cs="宋体"/>
                <w:color w:val="auto"/>
                <w:sz w:val="21"/>
                <w:szCs w:val="21"/>
                <w:highlight w:val="none"/>
              </w:rPr>
              <w:t>评标基准价计算方法</w:t>
            </w:r>
          </w:p>
        </w:tc>
        <w:tc>
          <w:tcPr>
            <w:tcW w:w="4326" w:type="dxa"/>
            <w:noWrap w:val="0"/>
            <w:vAlign w:val="top"/>
          </w:tcPr>
          <w:p>
            <w:pPr>
              <w:pageBreakBefore w:val="0"/>
              <w:kinsoku/>
              <w:overflowPunct/>
              <w:topLinePunct w:val="0"/>
              <w:bidi w:val="0"/>
              <w:snapToGrid w:val="0"/>
              <w:spacing w:line="360" w:lineRule="exact"/>
              <w:rPr>
                <w:color w:val="auto"/>
                <w:sz w:val="21"/>
                <w:szCs w:val="21"/>
                <w:highlight w:val="none"/>
              </w:rPr>
            </w:pPr>
            <w:r>
              <w:rPr>
                <w:rFonts w:hint="eastAsia" w:ascii="宋体" w:hAnsi="宋体"/>
                <w:color w:val="auto"/>
                <w:sz w:val="21"/>
                <w:szCs w:val="21"/>
                <w:highlight w:val="none"/>
              </w:rPr>
              <w:t>评标基准价的确定：通过初步评审的所有投标人的有效最低报价（投标人根据招标人给定的5种型式清单数量填报对应的单价，评委会对合计总金额进行评审）作为评标基准价。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548" w:type="dxa"/>
            <w:gridSpan w:val="2"/>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2.2.3</w:t>
            </w:r>
          </w:p>
        </w:tc>
        <w:tc>
          <w:tcPr>
            <w:tcW w:w="3052" w:type="dxa"/>
            <w:noWrap w:val="0"/>
            <w:vAlign w:val="center"/>
          </w:tcPr>
          <w:p>
            <w:pPr>
              <w:pageBreakBefore w:val="0"/>
              <w:kinsoku/>
              <w:overflowPunct/>
              <w:topLinePunct w:val="0"/>
              <w:bidi w:val="0"/>
              <w:snapToGrid w:val="0"/>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投标报价的偏差率</w:t>
            </w:r>
          </w:p>
          <w:p>
            <w:pPr>
              <w:pageBreakBefore w:val="0"/>
              <w:kinsoku/>
              <w:overflowPunct/>
              <w:topLinePunct w:val="0"/>
              <w:bidi w:val="0"/>
              <w:snapToGrid w:val="0"/>
              <w:spacing w:line="360" w:lineRule="exact"/>
              <w:jc w:val="center"/>
              <w:rPr>
                <w:rFonts w:hint="eastAsia" w:ascii="宋体" w:hAnsi="宋体"/>
                <w:color w:val="auto"/>
                <w:sz w:val="21"/>
                <w:szCs w:val="21"/>
                <w:highlight w:val="none"/>
              </w:rPr>
            </w:pPr>
            <w:r>
              <w:rPr>
                <w:rFonts w:hint="eastAsia" w:ascii="宋体" w:hAnsi="宋体" w:cs="宋体"/>
                <w:color w:val="auto"/>
                <w:sz w:val="21"/>
                <w:szCs w:val="21"/>
                <w:highlight w:val="none"/>
              </w:rPr>
              <w:t>计算公式</w:t>
            </w:r>
          </w:p>
        </w:tc>
        <w:tc>
          <w:tcPr>
            <w:tcW w:w="4326" w:type="dxa"/>
            <w:noWrap w:val="0"/>
            <w:vAlign w:val="center"/>
          </w:tcPr>
          <w:p>
            <w:pPr>
              <w:pageBreakBefore w:val="0"/>
              <w:kinsoku/>
              <w:overflowPunct/>
              <w:topLinePunct w:val="0"/>
              <w:bidi w:val="0"/>
              <w:snapToGrid w:val="0"/>
              <w:spacing w:line="360" w:lineRule="exact"/>
              <w:jc w:val="center"/>
              <w:rPr>
                <w:rFonts w:hint="eastAsia" w:ascii="宋体" w:hAnsi="宋体"/>
                <w:color w:val="auto"/>
                <w:sz w:val="21"/>
                <w:szCs w:val="21"/>
                <w:highlight w:val="none"/>
              </w:rPr>
            </w:pPr>
            <w:r>
              <w:rPr>
                <w:rFonts w:hint="eastAsia" w:ascii="宋体" w:hAnsi="宋体"/>
                <w:color w:val="auto"/>
                <w:sz w:val="21"/>
                <w:szCs w:val="21"/>
                <w:highlight w:val="none"/>
              </w:rPr>
              <w:t>偏差率=100%×（投标人评标价－评标基准价）</w:t>
            </w:r>
          </w:p>
          <w:p>
            <w:pPr>
              <w:pageBreakBefore w:val="0"/>
              <w:kinsoku/>
              <w:overflowPunct/>
              <w:topLinePunct w:val="0"/>
              <w:bidi w:val="0"/>
              <w:snapToGrid w:val="0"/>
              <w:spacing w:line="360" w:lineRule="exact"/>
              <w:jc w:val="center"/>
              <w:rPr>
                <w:color w:val="auto"/>
                <w:sz w:val="21"/>
                <w:szCs w:val="21"/>
                <w:highlight w:val="none"/>
              </w:rPr>
            </w:pPr>
            <w:r>
              <w:rPr>
                <w:rFonts w:hint="eastAsia" w:ascii="宋体" w:hAnsi="宋体"/>
                <w:color w:val="auto"/>
                <w:sz w:val="21"/>
                <w:szCs w:val="21"/>
                <w:highlight w:val="none"/>
              </w:rPr>
              <w:t>/评标基准价（百分号前保留2位小数）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8" w:type="dxa"/>
            <w:gridSpan w:val="2"/>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b/>
                <w:color w:val="auto"/>
                <w:sz w:val="21"/>
                <w:szCs w:val="21"/>
                <w:highlight w:val="none"/>
              </w:rPr>
              <w:t>条款号</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b/>
                <w:color w:val="auto"/>
                <w:sz w:val="21"/>
                <w:szCs w:val="21"/>
                <w:highlight w:val="none"/>
              </w:rPr>
              <w:t>评分因素</w:t>
            </w:r>
          </w:p>
        </w:tc>
        <w:tc>
          <w:tcPr>
            <w:tcW w:w="4326"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2.2.4(1)</w:t>
            </w:r>
          </w:p>
        </w:tc>
        <w:tc>
          <w:tcPr>
            <w:tcW w:w="1400"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施工组织设计评分标准</w:t>
            </w:r>
          </w:p>
        </w:tc>
        <w:tc>
          <w:tcPr>
            <w:tcW w:w="3052" w:type="dxa"/>
            <w:noWrap w:val="0"/>
            <w:vAlign w:val="center"/>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主要工程项目的施工方案、方法与技术措施（</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lang w:val="zh-CN"/>
              </w:rPr>
              <w:t>分）</w:t>
            </w:r>
          </w:p>
        </w:tc>
        <w:tc>
          <w:tcPr>
            <w:tcW w:w="4326" w:type="dxa"/>
            <w:noWrap w:val="0"/>
            <w:vAlign w:val="top"/>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施工方案与技术措施科学合理，优者得</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10</w:t>
            </w:r>
            <w:r>
              <w:rPr>
                <w:rFonts w:hint="eastAsia" w:ascii="宋体" w:hAnsi="宋体" w:cs="宋体"/>
                <w:bCs/>
                <w:color w:val="auto"/>
                <w:sz w:val="21"/>
                <w:szCs w:val="21"/>
                <w:highlight w:val="none"/>
                <w:lang w:val="zh-CN"/>
              </w:rPr>
              <w:t>分，良者得</w:t>
            </w:r>
            <w:r>
              <w:rPr>
                <w:rFonts w:hint="eastAsia" w:ascii="宋体" w:hAnsi="宋体"/>
                <w:color w:val="auto"/>
                <w:kern w:val="0"/>
                <w:sz w:val="21"/>
                <w:szCs w:val="21"/>
                <w:highlight w:val="none"/>
                <w:lang w:val="en-US" w:eastAsia="zh-CN"/>
              </w:rPr>
              <w:t>6</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8</w:t>
            </w:r>
            <w:r>
              <w:rPr>
                <w:rFonts w:hint="eastAsia" w:ascii="宋体" w:hAnsi="宋体" w:cs="宋体"/>
                <w:bCs/>
                <w:color w:val="auto"/>
                <w:sz w:val="21"/>
                <w:szCs w:val="21"/>
                <w:highlight w:val="none"/>
                <w:lang w:val="zh-CN"/>
              </w:rPr>
              <w:t>分，一般得</w:t>
            </w: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工程质量、安全生产、文明施工</w:t>
            </w:r>
          </w:p>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管理体系及保证措施（</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val="zh-CN"/>
              </w:rPr>
              <w:t>分）</w:t>
            </w:r>
          </w:p>
        </w:tc>
        <w:tc>
          <w:tcPr>
            <w:tcW w:w="4326" w:type="dxa"/>
            <w:noWrap w:val="0"/>
            <w:vAlign w:val="center"/>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sz w:val="21"/>
                <w:szCs w:val="21"/>
                <w:highlight w:val="none"/>
                <w:lang w:val="zh-CN"/>
              </w:rPr>
            </w:pPr>
            <w:r>
              <w:rPr>
                <w:rFonts w:hint="eastAsia" w:ascii="宋体" w:hAnsi="宋体"/>
                <w:color w:val="auto"/>
                <w:sz w:val="21"/>
                <w:szCs w:val="21"/>
                <w:highlight w:val="none"/>
              </w:rPr>
              <w:t>对质量、安全、环境保护管理体系与措施、工程进度计划与措施进行比较，内容完整、合理、可行</w:t>
            </w:r>
            <w:r>
              <w:rPr>
                <w:rFonts w:hint="eastAsia" w:ascii="宋体" w:hAnsi="宋体"/>
                <w:color w:val="auto"/>
                <w:sz w:val="21"/>
                <w:szCs w:val="21"/>
                <w:highlight w:val="none"/>
                <w:lang w:eastAsia="zh-CN"/>
              </w:rPr>
              <w:t>：</w:t>
            </w:r>
            <w:r>
              <w:rPr>
                <w:rFonts w:hint="eastAsia" w:ascii="宋体" w:hAnsi="宋体" w:cs="宋体"/>
                <w:bCs/>
                <w:color w:val="auto"/>
                <w:sz w:val="21"/>
                <w:szCs w:val="21"/>
                <w:highlight w:val="none"/>
                <w:lang w:val="zh-CN"/>
              </w:rPr>
              <w:t>优者得</w:t>
            </w:r>
            <w:r>
              <w:rPr>
                <w:rFonts w:hint="eastAsia" w:ascii="宋体" w:hAnsi="宋体"/>
                <w:color w:val="auto"/>
                <w:kern w:val="0"/>
                <w:sz w:val="21"/>
                <w:szCs w:val="21"/>
                <w:highlight w:val="none"/>
                <w:lang w:val="en-US" w:eastAsia="zh-CN"/>
              </w:rPr>
              <w:t>3.2</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4</w:t>
            </w:r>
            <w:r>
              <w:rPr>
                <w:rFonts w:hint="eastAsia" w:ascii="宋体" w:hAnsi="宋体" w:cs="宋体"/>
                <w:bCs/>
                <w:color w:val="auto"/>
                <w:sz w:val="21"/>
                <w:szCs w:val="21"/>
                <w:highlight w:val="none"/>
                <w:lang w:val="zh-CN"/>
              </w:rPr>
              <w:t>分，良者得</w:t>
            </w:r>
            <w:r>
              <w:rPr>
                <w:rFonts w:hint="eastAsia" w:ascii="宋体" w:hAnsi="宋体" w:cs="宋体"/>
                <w:bCs/>
                <w:color w:val="auto"/>
                <w:sz w:val="21"/>
                <w:szCs w:val="21"/>
                <w:highlight w:val="none"/>
                <w:lang w:val="en-US" w:eastAsia="zh-CN"/>
              </w:rPr>
              <w:t>2.4</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3.2</w:t>
            </w:r>
            <w:r>
              <w:rPr>
                <w:rFonts w:hint="eastAsia" w:ascii="宋体" w:hAnsi="宋体" w:cs="宋体"/>
                <w:bCs/>
                <w:color w:val="auto"/>
                <w:sz w:val="21"/>
                <w:szCs w:val="21"/>
                <w:highlight w:val="none"/>
                <w:lang w:val="zh-CN"/>
              </w:rPr>
              <w:t>分，一般得</w:t>
            </w:r>
            <w:r>
              <w:rPr>
                <w:rFonts w:hint="eastAsia" w:ascii="宋体" w:hAnsi="宋体" w:cs="宋体"/>
                <w:bCs/>
                <w:color w:val="auto"/>
                <w:sz w:val="21"/>
                <w:szCs w:val="21"/>
                <w:highlight w:val="none"/>
                <w:lang w:val="en-US" w:eastAsia="zh-CN"/>
              </w:rPr>
              <w:t>2.4</w:t>
            </w:r>
            <w:r>
              <w:rPr>
                <w:rFonts w:hint="eastAsia" w:ascii="宋体" w:hAnsi="宋体" w:cs="宋体"/>
                <w:bCs/>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48" w:type="dxa"/>
            <w:vMerge w:val="continue"/>
            <w:noWrap w:val="0"/>
            <w:vAlign w:val="top"/>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top"/>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环境保护、水土保持保证体系及保证措施（</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w:t>
            </w:r>
            <w:r>
              <w:rPr>
                <w:rFonts w:hint="eastAsia" w:ascii="宋体" w:hAnsi="宋体" w:cs="宋体"/>
                <w:bCs/>
                <w:color w:val="auto"/>
                <w:sz w:val="21"/>
                <w:szCs w:val="21"/>
                <w:highlight w:val="none"/>
                <w:lang w:val="zh-CN"/>
              </w:rPr>
              <w:t>）</w:t>
            </w:r>
          </w:p>
        </w:tc>
        <w:tc>
          <w:tcPr>
            <w:tcW w:w="4326" w:type="dxa"/>
            <w:noWrap w:val="0"/>
            <w:vAlign w:val="center"/>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措施管理体系与措施完善、合理，优者得2.4～3分，良者得1.8～2.4分，一般得1.8分。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48" w:type="dxa"/>
            <w:vMerge w:val="continue"/>
            <w:noWrap w:val="0"/>
            <w:vAlign w:val="top"/>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top"/>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3052" w:type="dxa"/>
            <w:noWrap w:val="0"/>
            <w:vAlign w:val="center"/>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项目风险预测与防范，事故应急预案（</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分</w:t>
            </w:r>
            <w:r>
              <w:rPr>
                <w:rFonts w:hint="eastAsia" w:ascii="宋体" w:hAnsi="宋体" w:cs="宋体"/>
                <w:bCs/>
                <w:color w:val="auto"/>
                <w:sz w:val="21"/>
                <w:szCs w:val="21"/>
                <w:highlight w:val="none"/>
                <w:lang w:val="zh-CN"/>
              </w:rPr>
              <w:t>）</w:t>
            </w:r>
          </w:p>
        </w:tc>
        <w:tc>
          <w:tcPr>
            <w:tcW w:w="4326" w:type="dxa"/>
            <w:noWrap w:val="0"/>
            <w:vAlign w:val="top"/>
          </w:tcPr>
          <w:p>
            <w:pPr>
              <w:pageBreakBefore w:val="0"/>
              <w:kinsoku/>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事故应急预案以及抵抗风险的措施有效且可行，优者得2.4～3分，良者得1.8～2.4分，一般得1.8分。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1148"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olor w:val="auto"/>
                <w:sz w:val="21"/>
                <w:szCs w:val="21"/>
                <w:highlight w:val="none"/>
              </w:rPr>
            </w:pPr>
            <w:r>
              <w:rPr>
                <w:rFonts w:ascii="宋体" w:hAnsi="宋体"/>
                <w:color w:val="auto"/>
                <w:sz w:val="21"/>
                <w:szCs w:val="21"/>
                <w:highlight w:val="none"/>
              </w:rPr>
              <w:t>2.2.4</w:t>
            </w: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w:t>
            </w:r>
          </w:p>
        </w:tc>
        <w:tc>
          <w:tcPr>
            <w:tcW w:w="1400"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项目管理机构评分标准</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项目经理任职资格与业绩</w:t>
            </w:r>
            <w:r>
              <w:rPr>
                <w:rFonts w:hint="eastAsia" w:ascii="宋体" w:hAnsi="宋体"/>
                <w:color w:val="auto"/>
                <w:sz w:val="21"/>
                <w:szCs w:val="21"/>
                <w:highlight w:val="none"/>
              </w:rPr>
              <w:t>（5分）</w:t>
            </w:r>
          </w:p>
        </w:tc>
        <w:tc>
          <w:tcPr>
            <w:tcW w:w="4326" w:type="dxa"/>
            <w:noWrap w:val="0"/>
            <w:vAlign w:val="center"/>
          </w:tcPr>
          <w:p>
            <w:pPr>
              <w:pageBreakBefore w:val="0"/>
              <w:kinsoku/>
              <w:overflowPunct/>
              <w:topLinePunct w:val="0"/>
              <w:bidi w:val="0"/>
              <w:adjustRightInd w:val="0"/>
              <w:snapToGrid w:val="0"/>
              <w:spacing w:line="360" w:lineRule="exact"/>
              <w:textAlignment w:val="baseline"/>
              <w:rPr>
                <w:rFonts w:hint="eastAsia" w:ascii="宋体" w:hAnsi="宋体"/>
                <w:color w:val="auto"/>
                <w:sz w:val="21"/>
                <w:szCs w:val="21"/>
                <w:highlight w:val="none"/>
              </w:rPr>
            </w:pPr>
            <w:r>
              <w:rPr>
                <w:rFonts w:hint="eastAsia" w:ascii="宋体" w:hAnsi="宋体"/>
                <w:color w:val="auto"/>
                <w:sz w:val="21"/>
                <w:szCs w:val="21"/>
                <w:highlight w:val="none"/>
              </w:rPr>
              <w:t>项目经理满足最低资格条件得3分，每提供1项</w:t>
            </w:r>
            <w:r>
              <w:rPr>
                <w:rFonts w:hint="eastAsia" w:ascii="宋体" w:hAnsi="宋体" w:cs="宋体"/>
                <w:color w:val="auto"/>
                <w:sz w:val="21"/>
                <w:szCs w:val="21"/>
                <w:highlight w:val="none"/>
              </w:rPr>
              <w:t>钢结构工程</w:t>
            </w:r>
            <w:r>
              <w:rPr>
                <w:rFonts w:hint="eastAsia" w:ascii="宋体" w:hAnsi="宋体" w:cs="宋体"/>
                <w:color w:val="auto"/>
                <w:sz w:val="21"/>
                <w:szCs w:val="21"/>
                <w:highlight w:val="none"/>
                <w:lang w:val="en-US" w:eastAsia="zh-CN"/>
              </w:rPr>
              <w:t>或建筑工程（含钢结构）</w:t>
            </w:r>
            <w:r>
              <w:rPr>
                <w:rFonts w:hint="eastAsia" w:ascii="宋体" w:hAnsi="宋体"/>
                <w:color w:val="auto"/>
                <w:sz w:val="21"/>
                <w:szCs w:val="21"/>
                <w:highlight w:val="none"/>
              </w:rPr>
              <w:t>项目经理任职业绩加1分，最多加2分。</w:t>
            </w:r>
          </w:p>
          <w:p>
            <w:pPr>
              <w:pageBreakBefore w:val="0"/>
              <w:kinsoku/>
              <w:overflowPunct/>
              <w:topLinePunct w:val="0"/>
              <w:bidi w:val="0"/>
              <w:adjustRightInd w:val="0"/>
              <w:snapToGrid w:val="0"/>
              <w:spacing w:line="360" w:lineRule="exact"/>
              <w:textAlignment w:val="baseline"/>
              <w:rPr>
                <w:rFonts w:hint="eastAsia" w:ascii="楷体" w:hAnsi="楷体" w:eastAsia="楷体" w:cs="Times New Roman"/>
                <w:color w:val="auto"/>
                <w:kern w:val="2"/>
                <w:sz w:val="21"/>
                <w:szCs w:val="21"/>
                <w:highlight w:val="none"/>
                <w:lang w:val="en-US" w:eastAsia="zh-CN" w:bidi="ar-SA"/>
              </w:rPr>
            </w:pPr>
            <w:r>
              <w:rPr>
                <w:rFonts w:hint="eastAsia" w:ascii="楷体" w:hAnsi="楷体" w:eastAsia="楷体" w:cs="Times New Roman"/>
                <w:color w:val="auto"/>
                <w:kern w:val="2"/>
                <w:sz w:val="21"/>
                <w:szCs w:val="21"/>
                <w:highlight w:val="none"/>
                <w:lang w:val="en-US" w:eastAsia="zh-CN" w:bidi="ar-SA"/>
              </w:rPr>
              <w:t>业绩的认定：在“吉林省建筑市场监管公共服务平台”工程项目信息中可查的业绩；不需任何权限即可在“全国建筑市场监管公共服务平台”中可查的业绩；在其它网站可查询的业绩。如果网站公示业绩中不能体现与本次招标类似的钢结构工程内容，则投标人需提供相关证明材料。所提供的任意一项证明材料须体现项目经理姓名。</w:t>
            </w:r>
          </w:p>
          <w:p>
            <w:pPr>
              <w:pageBreakBefore w:val="0"/>
              <w:kinsoku/>
              <w:overflowPunct/>
              <w:topLinePunct w:val="0"/>
              <w:bidi w:val="0"/>
              <w:adjustRightInd w:val="0"/>
              <w:snapToGrid w:val="0"/>
              <w:spacing w:line="360" w:lineRule="exact"/>
              <w:textAlignment w:val="baseline"/>
              <w:rPr>
                <w:rFonts w:ascii="宋体" w:hAnsi="宋体"/>
                <w:color w:val="auto"/>
                <w:sz w:val="21"/>
                <w:szCs w:val="21"/>
                <w:highlight w:val="none"/>
              </w:rPr>
            </w:pPr>
            <w:r>
              <w:rPr>
                <w:rFonts w:hint="eastAsia" w:ascii="楷体" w:hAnsi="楷体" w:eastAsia="楷体" w:cs="Times New Roman"/>
                <w:color w:val="auto"/>
                <w:kern w:val="2"/>
                <w:sz w:val="21"/>
                <w:szCs w:val="21"/>
                <w:highlight w:val="none"/>
                <w:lang w:val="en-US" w:eastAsia="zh-CN" w:bidi="ar-SA"/>
              </w:rPr>
              <w:t>所有复印件及网页截图需加盖公章。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48"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kern w:val="2"/>
                <w:sz w:val="21"/>
                <w:szCs w:val="21"/>
                <w:highlight w:val="none"/>
                <w:lang w:val="en-US" w:eastAsia="zh-CN" w:bidi="ar-SA"/>
              </w:rPr>
            </w:pPr>
            <w:r>
              <w:rPr>
                <w:rFonts w:ascii="宋体" w:hAnsi="宋体"/>
                <w:color w:val="auto"/>
                <w:sz w:val="21"/>
                <w:szCs w:val="21"/>
                <w:highlight w:val="none"/>
              </w:rPr>
              <w:t>2.2.4(3)</w:t>
            </w:r>
          </w:p>
        </w:tc>
        <w:tc>
          <w:tcPr>
            <w:tcW w:w="1400" w:type="dxa"/>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kern w:val="2"/>
                <w:sz w:val="21"/>
                <w:szCs w:val="21"/>
                <w:highlight w:val="none"/>
                <w:lang w:val="en-US" w:eastAsia="zh-CN" w:bidi="ar-SA"/>
              </w:rPr>
            </w:pPr>
            <w:r>
              <w:rPr>
                <w:rFonts w:ascii="宋体" w:hAnsi="宋体"/>
                <w:color w:val="auto"/>
                <w:sz w:val="21"/>
                <w:szCs w:val="21"/>
                <w:highlight w:val="none"/>
              </w:rPr>
              <w:t>投标报价评分标准</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eastAsia="宋体" w:cs="等线"/>
                <w:color w:val="auto"/>
                <w:kern w:val="2"/>
                <w:sz w:val="21"/>
                <w:szCs w:val="21"/>
                <w:highlight w:val="none"/>
                <w:lang w:val="en-US" w:eastAsia="zh-CN" w:bidi="ar-SA"/>
              </w:rPr>
            </w:pPr>
            <w:r>
              <w:rPr>
                <w:rFonts w:hint="eastAsia" w:ascii="宋体" w:hAnsi="宋体" w:eastAsia="宋体" w:cs="等线"/>
                <w:color w:val="auto"/>
                <w:sz w:val="21"/>
                <w:szCs w:val="21"/>
                <w:highlight w:val="none"/>
              </w:rPr>
              <w:t>投标报价（</w:t>
            </w:r>
            <w:r>
              <w:rPr>
                <w:rFonts w:hint="eastAsia" w:ascii="宋体" w:hAnsi="宋体" w:eastAsia="宋体" w:cs="等线"/>
                <w:color w:val="auto"/>
                <w:sz w:val="21"/>
                <w:szCs w:val="21"/>
                <w:highlight w:val="none"/>
                <w:lang w:val="en-US" w:eastAsia="zh-CN"/>
              </w:rPr>
              <w:t>60</w:t>
            </w:r>
            <w:r>
              <w:rPr>
                <w:rFonts w:hint="eastAsia" w:ascii="宋体" w:hAnsi="宋体" w:eastAsia="宋体" w:cs="等线"/>
                <w:color w:val="auto"/>
                <w:sz w:val="21"/>
                <w:szCs w:val="21"/>
                <w:highlight w:val="none"/>
              </w:rPr>
              <w:t>分）</w:t>
            </w:r>
          </w:p>
        </w:tc>
        <w:tc>
          <w:tcPr>
            <w:tcW w:w="4326" w:type="dxa"/>
            <w:noWrap w:val="0"/>
            <w:vAlign w:val="top"/>
          </w:tcPr>
          <w:p>
            <w:pPr>
              <w:pageBreakBefore w:val="0"/>
              <w:kinsoku/>
              <w:overflowPunct/>
              <w:topLinePunct w:val="0"/>
              <w:autoSpaceDE w:val="0"/>
              <w:autoSpaceDN w:val="0"/>
              <w:bidi w:val="0"/>
              <w:adjustRightInd w:val="0"/>
              <w:snapToGrid w:val="0"/>
              <w:spacing w:line="360" w:lineRule="exact"/>
              <w:textAlignment w:val="baseline"/>
              <w:rPr>
                <w:rFonts w:hint="eastAsia"/>
                <w:color w:val="auto"/>
                <w:sz w:val="21"/>
                <w:szCs w:val="21"/>
                <w:highlight w:val="none"/>
              </w:rPr>
            </w:pPr>
            <w:bookmarkStart w:id="28" w:name="_Hlk37453801"/>
            <w:r>
              <w:rPr>
                <w:rFonts w:hint="eastAsia" w:ascii="宋体" w:hAnsi="宋体" w:eastAsia="宋体" w:cs="等线"/>
                <w:color w:val="auto"/>
                <w:sz w:val="21"/>
                <w:szCs w:val="21"/>
                <w:highlight w:val="none"/>
              </w:rPr>
              <w:t>评标基准价</w:t>
            </w:r>
            <w:r>
              <w:rPr>
                <w:rFonts w:hint="eastAsia" w:ascii="宋体" w:hAnsi="宋体" w:eastAsia="宋体" w:cs="等线"/>
                <w:color w:val="auto"/>
                <w:sz w:val="21"/>
                <w:szCs w:val="21"/>
                <w:highlight w:val="none"/>
                <w:lang w:val="en-US" w:eastAsia="zh-CN"/>
              </w:rPr>
              <w:t>为</w:t>
            </w:r>
            <w:r>
              <w:rPr>
                <w:rFonts w:hint="eastAsia" w:ascii="宋体" w:hAnsi="宋体" w:eastAsia="宋体" w:cs="等线"/>
                <w:color w:val="auto"/>
                <w:sz w:val="21"/>
                <w:szCs w:val="21"/>
                <w:highlight w:val="none"/>
              </w:rPr>
              <w:t>满分</w:t>
            </w:r>
            <w:r>
              <w:rPr>
                <w:rFonts w:hint="eastAsia" w:ascii="宋体" w:hAnsi="宋体" w:eastAsia="宋体" w:cs="等线"/>
                <w:color w:val="auto"/>
                <w:sz w:val="21"/>
                <w:szCs w:val="21"/>
                <w:highlight w:val="none"/>
                <w:lang w:val="en-US" w:eastAsia="zh-CN"/>
              </w:rPr>
              <w:t>60</w:t>
            </w:r>
            <w:r>
              <w:rPr>
                <w:rFonts w:hint="eastAsia" w:ascii="宋体" w:hAnsi="宋体" w:eastAsia="宋体" w:cs="等线"/>
                <w:color w:val="auto"/>
                <w:sz w:val="21"/>
                <w:szCs w:val="21"/>
                <w:highlight w:val="none"/>
              </w:rPr>
              <w:t>分，投标价每高于评标基准价一个百分点扣0.</w:t>
            </w:r>
            <w:r>
              <w:rPr>
                <w:rFonts w:hint="eastAsia" w:ascii="宋体" w:hAnsi="宋体" w:eastAsia="宋体" w:cs="等线"/>
                <w:color w:val="auto"/>
                <w:sz w:val="21"/>
                <w:szCs w:val="21"/>
                <w:highlight w:val="none"/>
                <w:lang w:val="en-US" w:eastAsia="zh-CN"/>
              </w:rPr>
              <w:t>2</w:t>
            </w:r>
            <w:r>
              <w:rPr>
                <w:rFonts w:hint="eastAsia" w:ascii="宋体" w:hAnsi="宋体" w:eastAsia="宋体" w:cs="等线"/>
                <w:color w:val="auto"/>
                <w:sz w:val="21"/>
                <w:szCs w:val="21"/>
                <w:highlight w:val="none"/>
              </w:rPr>
              <w:t>分。投标报价得分最低为0分。</w:t>
            </w:r>
            <w:bookmarkEnd w:id="28"/>
            <w:r>
              <w:rPr>
                <w:rFonts w:hint="eastAsia" w:ascii="宋体" w:hAnsi="宋体" w:eastAsia="宋体" w:cs="等线"/>
                <w:color w:val="auto"/>
                <w:sz w:val="21"/>
                <w:szCs w:val="21"/>
                <w:highlight w:val="none"/>
              </w:rPr>
              <w:t>报价得分精确到小数点后两位。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148"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2.2.4(4)</w:t>
            </w:r>
          </w:p>
        </w:tc>
        <w:tc>
          <w:tcPr>
            <w:tcW w:w="1400" w:type="dxa"/>
            <w:vMerge w:val="restart"/>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r>
              <w:rPr>
                <w:rFonts w:ascii="宋体" w:hAnsi="宋体"/>
                <w:color w:val="auto"/>
                <w:sz w:val="21"/>
                <w:szCs w:val="21"/>
                <w:highlight w:val="none"/>
              </w:rPr>
              <w:t>其他因素评分标准</w:t>
            </w:r>
          </w:p>
        </w:tc>
        <w:tc>
          <w:tcPr>
            <w:tcW w:w="3052" w:type="dxa"/>
            <w:noWrap w:val="0"/>
            <w:vAlign w:val="center"/>
          </w:tcPr>
          <w:p>
            <w:pPr>
              <w:pageBreakBefore w:val="0"/>
              <w:kinsoku/>
              <w:overflowPunct/>
              <w:topLinePunct w:val="0"/>
              <w:bidi w:val="0"/>
              <w:adjustRightInd w:val="0"/>
              <w:snapToGrid w:val="0"/>
              <w:spacing w:line="360" w:lineRule="exact"/>
              <w:jc w:val="center"/>
              <w:textAlignment w:val="baseline"/>
              <w:rPr>
                <w:rFonts w:hint="eastAsia" w:ascii="宋体" w:hAnsi="宋体"/>
                <w:color w:val="auto"/>
                <w:sz w:val="21"/>
                <w:szCs w:val="21"/>
                <w:highlight w:val="none"/>
              </w:rPr>
            </w:pPr>
            <w:r>
              <w:rPr>
                <w:rFonts w:hint="eastAsia" w:ascii="宋体" w:hAnsi="宋体"/>
                <w:color w:val="auto"/>
                <w:sz w:val="21"/>
                <w:szCs w:val="21"/>
                <w:highlight w:val="none"/>
              </w:rPr>
              <w:t>企业业绩（6分）</w:t>
            </w:r>
          </w:p>
        </w:tc>
        <w:tc>
          <w:tcPr>
            <w:tcW w:w="4326" w:type="dxa"/>
            <w:noWrap w:val="0"/>
            <w:vAlign w:val="top"/>
          </w:tcPr>
          <w:p>
            <w:pPr>
              <w:pageBreakBefore w:val="0"/>
              <w:kinsoku/>
              <w:overflowPunct/>
              <w:topLinePunct w:val="0"/>
              <w:bidi w:val="0"/>
              <w:adjustRightInd w:val="0"/>
              <w:snapToGrid w:val="0"/>
              <w:spacing w:line="360" w:lineRule="exact"/>
              <w:jc w:val="left"/>
              <w:textAlignment w:val="baseline"/>
              <w:rPr>
                <w:rFonts w:hint="eastAsia" w:ascii="宋体" w:hAnsi="宋体"/>
                <w:color w:val="auto"/>
                <w:sz w:val="21"/>
                <w:szCs w:val="21"/>
                <w:highlight w:val="none"/>
              </w:rPr>
            </w:pPr>
            <w:r>
              <w:rPr>
                <w:rFonts w:hint="eastAsia" w:ascii="宋体" w:hAnsi="宋体"/>
                <w:color w:val="auto"/>
                <w:sz w:val="21"/>
                <w:szCs w:val="21"/>
                <w:highlight w:val="none"/>
              </w:rPr>
              <w:t>满足资格审查条件最低要求，得3.6分；在此基础上，投标人自2018年1月1日起（以竣工时间为准）每增加1项单项合同额不少于</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00</w:t>
            </w:r>
            <w:r>
              <w:rPr>
                <w:rFonts w:hint="eastAsia" w:ascii="宋体" w:hAnsi="宋体"/>
                <w:color w:val="auto"/>
                <w:sz w:val="21"/>
                <w:szCs w:val="21"/>
                <w:highlight w:val="none"/>
              </w:rPr>
              <w:t>万元</w:t>
            </w:r>
            <w:r>
              <w:rPr>
                <w:rFonts w:hint="eastAsia" w:ascii="宋体" w:hAnsi="宋体"/>
                <w:color w:val="auto"/>
                <w:sz w:val="21"/>
                <w:szCs w:val="21"/>
                <w:highlight w:val="none"/>
                <w:lang w:val="en-US" w:eastAsia="zh-CN"/>
              </w:rPr>
              <w:t>的</w:t>
            </w:r>
            <w:r>
              <w:rPr>
                <w:rFonts w:hint="eastAsia" w:ascii="宋体" w:hAnsi="宋体" w:eastAsia="宋体" w:cs="宋体"/>
                <w:color w:val="auto"/>
                <w:kern w:val="2"/>
                <w:sz w:val="21"/>
                <w:szCs w:val="21"/>
                <w:highlight w:val="none"/>
                <w:lang w:val="en-US" w:eastAsia="zh-CN" w:bidi="ar-SA"/>
              </w:rPr>
              <w:t>钢结构施工</w:t>
            </w:r>
            <w:r>
              <w:rPr>
                <w:rFonts w:hint="eastAsia" w:ascii="宋体" w:hAnsi="宋体"/>
                <w:color w:val="auto"/>
                <w:sz w:val="21"/>
                <w:szCs w:val="21"/>
                <w:highlight w:val="none"/>
              </w:rPr>
              <w:t>业绩加1.2分，最多加2.4分。</w:t>
            </w:r>
          </w:p>
          <w:p>
            <w:pPr>
              <w:pageBreakBefore w:val="0"/>
              <w:kinsoku/>
              <w:overflowPunct/>
              <w:topLinePunct w:val="0"/>
              <w:bidi w:val="0"/>
              <w:adjustRightInd w:val="0"/>
              <w:snapToGrid w:val="0"/>
              <w:spacing w:line="360" w:lineRule="exact"/>
              <w:jc w:val="left"/>
              <w:textAlignment w:val="baseline"/>
              <w:rPr>
                <w:rFonts w:hint="eastAsia" w:ascii="楷体" w:hAnsi="楷体" w:eastAsia="楷体" w:cs="Times New Roman"/>
                <w:color w:val="auto"/>
                <w:kern w:val="2"/>
                <w:sz w:val="21"/>
                <w:szCs w:val="21"/>
                <w:highlight w:val="none"/>
                <w:lang w:val="en-US" w:eastAsia="zh-CN" w:bidi="ar-SA"/>
              </w:rPr>
            </w:pPr>
            <w:r>
              <w:rPr>
                <w:rFonts w:hint="eastAsia" w:ascii="楷体" w:hAnsi="楷体" w:eastAsia="楷体" w:cs="Times New Roman"/>
                <w:color w:val="auto"/>
                <w:kern w:val="2"/>
                <w:sz w:val="21"/>
                <w:szCs w:val="21"/>
                <w:highlight w:val="none"/>
                <w:lang w:val="en-US" w:eastAsia="zh-CN" w:bidi="ar-SA"/>
              </w:rPr>
              <w:t>投标人类似业绩的认定：在“吉林省建筑市场监管公共服务平台”工程项目信息中可查的业绩；不需任何权限即可在“全国建筑市场监管公共服务平台”中可查的业绩；在其它网站可查询的业绩。如果网站公示业绩中不能体现与本次招标类似的钢结构工程内容，则投标人需提供相关证明材料。</w:t>
            </w:r>
          </w:p>
          <w:p>
            <w:pPr>
              <w:pageBreakBefore w:val="0"/>
              <w:kinsoku/>
              <w:overflowPunct/>
              <w:topLinePunct w:val="0"/>
              <w:bidi w:val="0"/>
              <w:adjustRightInd w:val="0"/>
              <w:snapToGrid w:val="0"/>
              <w:spacing w:line="360" w:lineRule="exact"/>
              <w:jc w:val="left"/>
              <w:textAlignment w:val="baseline"/>
              <w:rPr>
                <w:rFonts w:hint="default" w:ascii="宋体" w:hAnsi="宋体"/>
                <w:color w:val="auto"/>
                <w:sz w:val="21"/>
                <w:szCs w:val="21"/>
                <w:highlight w:val="none"/>
                <w:lang w:val="en-US"/>
              </w:rPr>
            </w:pPr>
            <w:r>
              <w:rPr>
                <w:rFonts w:hint="eastAsia" w:ascii="楷体" w:hAnsi="楷体" w:eastAsia="楷体" w:cs="Times New Roman"/>
                <w:color w:val="auto"/>
                <w:kern w:val="2"/>
                <w:sz w:val="21"/>
                <w:szCs w:val="21"/>
                <w:highlight w:val="none"/>
                <w:lang w:val="en-US" w:eastAsia="zh-CN" w:bidi="ar-SA"/>
              </w:rPr>
              <w:t>所有复印件及网页截图需加盖公章。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snapToGrid w:val="0"/>
              <w:spacing w:line="360" w:lineRule="exact"/>
              <w:jc w:val="left"/>
              <w:rPr>
                <w:rFonts w:ascii="宋体" w:hAnsi="宋体"/>
                <w:color w:val="auto"/>
                <w:sz w:val="21"/>
                <w:szCs w:val="21"/>
                <w:highlight w:val="none"/>
              </w:rPr>
            </w:pPr>
          </w:p>
        </w:tc>
        <w:tc>
          <w:tcPr>
            <w:tcW w:w="3052" w:type="dxa"/>
            <w:noWrap w:val="0"/>
            <w:vAlign w:val="center"/>
          </w:tcPr>
          <w:p>
            <w:pPr>
              <w:pageBreakBefore w:val="0"/>
              <w:kinsoku/>
              <w:overflowPunct/>
              <w:topLinePunct w:val="0"/>
              <w:bidi w:val="0"/>
              <w:snapToGrid w:val="0"/>
              <w:spacing w:line="36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缺陷责任期（6分）</w:t>
            </w:r>
          </w:p>
        </w:tc>
        <w:tc>
          <w:tcPr>
            <w:tcW w:w="4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baseline"/>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缺陷责任期在满足最低要求（2年）基础上，承诺每增加1年得2分，最多加6分</w:t>
            </w:r>
            <w:r>
              <w:rPr>
                <w:rFonts w:hint="eastAsia" w:ascii="宋体" w:hAnsi="宋体"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val="0"/>
              <w:spacing w:line="360" w:lineRule="exact"/>
              <w:jc w:val="left"/>
              <w:rPr>
                <w:rFonts w:hint="eastAsia" w:ascii="宋体" w:hAnsi="宋体" w:eastAsia="宋体" w:cs="宋体"/>
                <w:color w:val="auto"/>
                <w:sz w:val="21"/>
                <w:szCs w:val="21"/>
                <w:highlight w:val="none"/>
                <w:lang w:eastAsia="zh-CN"/>
              </w:rPr>
            </w:pPr>
            <w:r>
              <w:rPr>
                <w:rFonts w:hint="eastAsia" w:ascii="楷体" w:hAnsi="楷体" w:eastAsia="楷体" w:cs="Times New Roman"/>
                <w:color w:val="auto"/>
                <w:kern w:val="2"/>
                <w:sz w:val="21"/>
                <w:szCs w:val="21"/>
                <w:highlight w:val="none"/>
                <w:lang w:val="en-US" w:eastAsia="zh-CN" w:bidi="ar-SA"/>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48" w:type="dxa"/>
            <w:vMerge w:val="continue"/>
            <w:noWrap w:val="0"/>
            <w:vAlign w:val="center"/>
          </w:tcPr>
          <w:p>
            <w:pPr>
              <w:pageBreakBefore w:val="0"/>
              <w:kinsoku/>
              <w:overflowPunct/>
              <w:topLinePunct w:val="0"/>
              <w:bidi w:val="0"/>
              <w:adjustRightInd w:val="0"/>
              <w:snapToGrid w:val="0"/>
              <w:spacing w:line="360" w:lineRule="exact"/>
              <w:jc w:val="center"/>
              <w:textAlignment w:val="baseline"/>
              <w:rPr>
                <w:rFonts w:ascii="宋体" w:hAnsi="宋体"/>
                <w:color w:val="auto"/>
                <w:sz w:val="21"/>
                <w:szCs w:val="21"/>
                <w:highlight w:val="none"/>
              </w:rPr>
            </w:pPr>
          </w:p>
        </w:tc>
        <w:tc>
          <w:tcPr>
            <w:tcW w:w="1400" w:type="dxa"/>
            <w:vMerge w:val="continue"/>
            <w:noWrap w:val="0"/>
            <w:vAlign w:val="center"/>
          </w:tcPr>
          <w:p>
            <w:pPr>
              <w:pageBreakBefore w:val="0"/>
              <w:kinsoku/>
              <w:overflowPunct/>
              <w:topLinePunct w:val="0"/>
              <w:bidi w:val="0"/>
              <w:snapToGrid w:val="0"/>
              <w:spacing w:line="360" w:lineRule="exact"/>
              <w:jc w:val="left"/>
              <w:rPr>
                <w:rFonts w:ascii="宋体" w:hAnsi="宋体"/>
                <w:color w:val="auto"/>
                <w:sz w:val="21"/>
                <w:szCs w:val="21"/>
                <w:highlight w:val="none"/>
              </w:rPr>
            </w:pPr>
          </w:p>
        </w:tc>
        <w:tc>
          <w:tcPr>
            <w:tcW w:w="30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信用评价（3分）</w:t>
            </w:r>
          </w:p>
        </w:tc>
        <w:tc>
          <w:tcPr>
            <w:tcW w:w="43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baseline"/>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根据吉林省住房和城乡建设厅《关于2020年度全省建筑业企业信用评价结果的通告》（吉林省住房和城乡建设厅2021年第573号）中的评价结果，“优良”得3分，“合格”或未列入此公告的得1.8分。</w:t>
            </w:r>
          </w:p>
        </w:tc>
      </w:tr>
    </w:tbl>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val="0"/>
          <w:color w:val="auto"/>
          <w:kern w:val="44"/>
          <w:sz w:val="21"/>
          <w:szCs w:val="21"/>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kern w:val="44"/>
          <w:sz w:val="21"/>
          <w:szCs w:val="21"/>
        </w:rPr>
        <w:t>公开时间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44"/>
          <w:sz w:val="21"/>
          <w:szCs w:val="21"/>
        </w:rPr>
        <w:t>本次</w:t>
      </w:r>
      <w:r>
        <w:rPr>
          <w:rFonts w:hint="eastAsia" w:ascii="宋体" w:hAnsi="宋体" w:eastAsia="宋体" w:cs="宋体"/>
          <w:b w:val="0"/>
          <w:bCs w:val="0"/>
          <w:color w:val="auto"/>
          <w:kern w:val="44"/>
          <w:sz w:val="21"/>
          <w:szCs w:val="21"/>
          <w:lang w:val="en-US" w:eastAsia="zh-CN"/>
        </w:rPr>
        <w:t>招标</w:t>
      </w:r>
      <w:r>
        <w:rPr>
          <w:rFonts w:hint="eastAsia" w:ascii="宋体" w:hAnsi="宋体" w:eastAsia="宋体" w:cs="宋体"/>
          <w:b w:val="0"/>
          <w:bCs w:val="0"/>
          <w:color w:val="auto"/>
          <w:kern w:val="44"/>
          <w:sz w:val="21"/>
          <w:szCs w:val="21"/>
        </w:rPr>
        <w:t>文件关键内容信息公开时间至</w:t>
      </w:r>
      <w:r>
        <w:rPr>
          <w:rFonts w:hint="eastAsia" w:ascii="宋体" w:hAnsi="宋体" w:eastAsia="宋体" w:cs="宋体"/>
          <w:b w:val="0"/>
          <w:bCs w:val="0"/>
          <w:color w:val="auto"/>
          <w:kern w:val="44"/>
          <w:sz w:val="21"/>
          <w:szCs w:val="21"/>
          <w:lang w:val="en-US" w:eastAsia="zh-CN"/>
        </w:rPr>
        <w:t>2021</w:t>
      </w:r>
      <w:r>
        <w:rPr>
          <w:rFonts w:hint="eastAsia" w:ascii="宋体" w:hAnsi="宋体" w:eastAsia="宋体" w:cs="宋体"/>
          <w:b w:val="0"/>
          <w:bCs w:val="0"/>
          <w:color w:val="auto"/>
          <w:kern w:val="44"/>
          <w:sz w:val="21"/>
          <w:szCs w:val="21"/>
        </w:rPr>
        <w:t>年</w:t>
      </w:r>
      <w:r>
        <w:rPr>
          <w:rFonts w:hint="eastAsia" w:ascii="宋体" w:hAnsi="宋体" w:eastAsia="宋体" w:cs="宋体"/>
          <w:b w:val="0"/>
          <w:bCs w:val="0"/>
          <w:color w:val="auto"/>
          <w:kern w:val="44"/>
          <w:sz w:val="21"/>
          <w:szCs w:val="21"/>
          <w:lang w:val="en-US" w:eastAsia="zh-CN"/>
        </w:rPr>
        <w:t>8</w:t>
      </w:r>
      <w:r>
        <w:rPr>
          <w:rFonts w:hint="eastAsia" w:ascii="宋体" w:hAnsi="宋体" w:eastAsia="宋体" w:cs="宋体"/>
          <w:b w:val="0"/>
          <w:bCs w:val="0"/>
          <w:color w:val="auto"/>
          <w:kern w:val="44"/>
          <w:sz w:val="21"/>
          <w:szCs w:val="21"/>
        </w:rPr>
        <w:t>月</w:t>
      </w:r>
      <w:r>
        <w:rPr>
          <w:rFonts w:hint="eastAsia" w:ascii="宋体" w:hAnsi="宋体" w:eastAsia="宋体" w:cs="宋体"/>
          <w:b w:val="0"/>
          <w:bCs w:val="0"/>
          <w:color w:val="auto"/>
          <w:kern w:val="44"/>
          <w:sz w:val="21"/>
          <w:szCs w:val="21"/>
          <w:lang w:val="en-US" w:eastAsia="zh-CN"/>
        </w:rPr>
        <w:t>12</w:t>
      </w:r>
      <w:r>
        <w:rPr>
          <w:rFonts w:hint="eastAsia" w:ascii="宋体" w:hAnsi="宋体" w:eastAsia="宋体" w:cs="宋体"/>
          <w:b w:val="0"/>
          <w:bCs w:val="0"/>
          <w:color w:val="auto"/>
          <w:kern w:val="44"/>
          <w:sz w:val="21"/>
          <w:szCs w:val="21"/>
        </w:rPr>
        <w:t>日24时00分结束</w:t>
      </w:r>
    </w:p>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联系方式</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 标 人：吉林省高速公路集团经营开发有限公司                                       </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址：吉林省长春市浦东路1658号    </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    编：130000                              </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 系 人：齐耕实 </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话：0431-82532859</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招标代理机构：国信招标集团股份有限公司</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执行机构： 国信招标集团股份有限公司吉林省分公司</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长春市净月旅游开发区生态大街3777号明宇广场A4栋32层</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编：130000</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人：张娉婷</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话：0431-81852896</w:t>
      </w:r>
    </w:p>
    <w:p>
      <w:pPr>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电子邮件：2232574732@qq.com</w:t>
      </w:r>
    </w:p>
    <w:p>
      <w:pPr>
        <w:pageBreakBefore w:val="0"/>
        <w:numPr>
          <w:ilvl w:val="0"/>
          <w:numId w:val="0"/>
        </w:numPr>
        <w:kinsoku/>
        <w:wordWrap/>
        <w:overflowPunct/>
        <w:topLinePunct w:val="0"/>
        <w:bidi w:val="0"/>
        <w:snapToGrid w:val="0"/>
        <w:spacing w:line="360" w:lineRule="exact"/>
        <w:rPr>
          <w:rFonts w:hint="eastAsia" w:ascii="宋体" w:hAnsi="宋体" w:eastAsia="宋体" w:cs="宋体"/>
          <w:b w:val="0"/>
          <w:bCs w:val="0"/>
          <w:color w:val="auto"/>
          <w:sz w:val="21"/>
          <w:szCs w:val="21"/>
          <w:highlight w:val="none"/>
        </w:rPr>
      </w:pPr>
    </w:p>
    <w:p>
      <w:pPr>
        <w:pageBreakBefore w:val="0"/>
        <w:kinsoku/>
        <w:wordWrap/>
        <w:overflowPunct/>
        <w:topLinePunct w:val="0"/>
        <w:bidi w:val="0"/>
        <w:snapToGrid w:val="0"/>
        <w:spacing w:line="360" w:lineRule="exact"/>
        <w:jc w:val="right"/>
        <w:rPr>
          <w:rFonts w:hint="eastAsia" w:ascii="宋体" w:hAnsi="宋体" w:eastAsia="宋体" w:cs="宋体"/>
          <w:b w:val="0"/>
          <w:bCs w:val="0"/>
          <w:color w:val="auto"/>
          <w:sz w:val="21"/>
          <w:szCs w:val="21"/>
          <w:highlight w:val="none"/>
        </w:rPr>
      </w:pPr>
    </w:p>
    <w:p>
      <w:pPr>
        <w:pageBreakBefore w:val="0"/>
        <w:kinsoku/>
        <w:wordWrap/>
        <w:overflowPunct/>
        <w:topLinePunct w:val="0"/>
        <w:bidi w:val="0"/>
        <w:snapToGrid w:val="0"/>
        <w:spacing w:line="360" w:lineRule="exact"/>
        <w:jc w:val="right"/>
        <w:rPr>
          <w:rFonts w:hint="eastAsia" w:ascii="宋体" w:hAnsi="宋体" w:eastAsia="宋体" w:cs="宋体"/>
          <w:b w:val="0"/>
          <w:bCs w:val="0"/>
          <w:color w:val="auto"/>
          <w:sz w:val="21"/>
          <w:szCs w:val="21"/>
          <w:highlight w:val="none"/>
        </w:rPr>
      </w:pPr>
    </w:p>
    <w:bookmarkEnd w:id="4"/>
    <w:bookmarkEnd w:id="5"/>
    <w:p>
      <w:pPr>
        <w:pageBreakBefore w:val="0"/>
        <w:kinsoku/>
        <w:wordWrap/>
        <w:overflowPunct/>
        <w:topLinePunct w:val="0"/>
        <w:bidi w:val="0"/>
        <w:snapToGrid w:val="0"/>
        <w:spacing w:line="360" w:lineRule="exact"/>
        <w:jc w:val="right"/>
        <w:rPr>
          <w:rFonts w:hint="eastAsia" w:ascii="宋体" w:hAnsi="宋体" w:eastAsia="宋体" w:cs="宋体"/>
          <w:b w:val="0"/>
          <w:bCs w:val="0"/>
          <w:color w:val="auto"/>
          <w:sz w:val="21"/>
          <w:szCs w:val="21"/>
          <w:highlight w:val="none"/>
        </w:rPr>
      </w:pPr>
    </w:p>
    <w:sectPr>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77"/>
    <w:rsid w:val="0005335B"/>
    <w:rsid w:val="001B2F15"/>
    <w:rsid w:val="001E7FD4"/>
    <w:rsid w:val="0021703D"/>
    <w:rsid w:val="002252DC"/>
    <w:rsid w:val="00231F0D"/>
    <w:rsid w:val="00233745"/>
    <w:rsid w:val="00282745"/>
    <w:rsid w:val="002B7B92"/>
    <w:rsid w:val="002D768F"/>
    <w:rsid w:val="002E465D"/>
    <w:rsid w:val="003B019A"/>
    <w:rsid w:val="004C5613"/>
    <w:rsid w:val="004F05E3"/>
    <w:rsid w:val="00502E88"/>
    <w:rsid w:val="00532828"/>
    <w:rsid w:val="005514D3"/>
    <w:rsid w:val="005972CD"/>
    <w:rsid w:val="005B2A43"/>
    <w:rsid w:val="005C21E4"/>
    <w:rsid w:val="005D37F2"/>
    <w:rsid w:val="00641857"/>
    <w:rsid w:val="006C38E4"/>
    <w:rsid w:val="007118D4"/>
    <w:rsid w:val="00791974"/>
    <w:rsid w:val="00812F23"/>
    <w:rsid w:val="00861859"/>
    <w:rsid w:val="00871362"/>
    <w:rsid w:val="008746CD"/>
    <w:rsid w:val="00916D20"/>
    <w:rsid w:val="00923518"/>
    <w:rsid w:val="00976577"/>
    <w:rsid w:val="009C3EDE"/>
    <w:rsid w:val="009E021E"/>
    <w:rsid w:val="00A7342F"/>
    <w:rsid w:val="00A806E0"/>
    <w:rsid w:val="00AE752B"/>
    <w:rsid w:val="00B06859"/>
    <w:rsid w:val="00B608ED"/>
    <w:rsid w:val="00B834AC"/>
    <w:rsid w:val="00B94549"/>
    <w:rsid w:val="00BD06B8"/>
    <w:rsid w:val="00BE0A41"/>
    <w:rsid w:val="00C55B37"/>
    <w:rsid w:val="00D94845"/>
    <w:rsid w:val="00E2099B"/>
    <w:rsid w:val="00E34D0C"/>
    <w:rsid w:val="00E87CC6"/>
    <w:rsid w:val="00EE2448"/>
    <w:rsid w:val="00F66AB9"/>
    <w:rsid w:val="01D94D73"/>
    <w:rsid w:val="0BAD6041"/>
    <w:rsid w:val="0E4E4614"/>
    <w:rsid w:val="105F2860"/>
    <w:rsid w:val="116E4B1F"/>
    <w:rsid w:val="17BD58E8"/>
    <w:rsid w:val="189E0C4A"/>
    <w:rsid w:val="1D4047D7"/>
    <w:rsid w:val="205C5E0E"/>
    <w:rsid w:val="234D3A9E"/>
    <w:rsid w:val="255E1D76"/>
    <w:rsid w:val="2A412370"/>
    <w:rsid w:val="2ADD1B61"/>
    <w:rsid w:val="2B2D3677"/>
    <w:rsid w:val="2B7F4518"/>
    <w:rsid w:val="2D507A58"/>
    <w:rsid w:val="2E3013F8"/>
    <w:rsid w:val="2EEC3FD8"/>
    <w:rsid w:val="361451D6"/>
    <w:rsid w:val="365B52C2"/>
    <w:rsid w:val="36FB4B70"/>
    <w:rsid w:val="39B75D73"/>
    <w:rsid w:val="3A9245FF"/>
    <w:rsid w:val="465D2588"/>
    <w:rsid w:val="47E90892"/>
    <w:rsid w:val="4867249E"/>
    <w:rsid w:val="4A55428B"/>
    <w:rsid w:val="4C5A6CE5"/>
    <w:rsid w:val="4CDA1B40"/>
    <w:rsid w:val="50A20A2A"/>
    <w:rsid w:val="56C90FDE"/>
    <w:rsid w:val="586C2914"/>
    <w:rsid w:val="5E006468"/>
    <w:rsid w:val="61BF5CDB"/>
    <w:rsid w:val="620F1C28"/>
    <w:rsid w:val="6A685578"/>
    <w:rsid w:val="6D636416"/>
    <w:rsid w:val="70CF739D"/>
    <w:rsid w:val="72384C87"/>
    <w:rsid w:val="78964661"/>
    <w:rsid w:val="7B324843"/>
    <w:rsid w:val="7D11161D"/>
    <w:rsid w:val="7D561B59"/>
    <w:rsid w:val="7F5A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3"/>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99"/>
    <w:pPr>
      <w:keepNext/>
      <w:keepLines/>
      <w:spacing w:before="260" w:after="260" w:line="416" w:lineRule="auto"/>
      <w:outlineLvl w:val="2"/>
    </w:pPr>
    <w:rPr>
      <w:rFonts w:ascii="Calibri" w:hAnsi="Calibri"/>
      <w:b/>
      <w:bCs/>
      <w:kern w:val="0"/>
      <w:sz w:val="32"/>
      <w:szCs w:val="32"/>
    </w:rPr>
  </w:style>
  <w:style w:type="paragraph" w:styleId="6">
    <w:name w:val="heading 4"/>
    <w:basedOn w:val="1"/>
    <w:next w:val="1"/>
    <w:link w:val="2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7">
    <w:name w:val="annotation text"/>
    <w:basedOn w:val="1"/>
    <w:link w:val="30"/>
    <w:qFormat/>
    <w:uiPriority w:val="0"/>
    <w:pPr>
      <w:jc w:val="left"/>
    </w:pPr>
    <w:rPr>
      <w:rFonts w:ascii="Calibri" w:hAnsi="Calibri"/>
      <w:szCs w:val="22"/>
    </w:rPr>
  </w:style>
  <w:style w:type="paragraph" w:styleId="8">
    <w:name w:val="Balloon Text"/>
    <w:basedOn w:val="1"/>
    <w:link w:val="24"/>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1"/>
    <w:unhideWhenUsed/>
    <w:qFormat/>
    <w:uiPriority w:val="0"/>
    <w:pPr>
      <w:snapToGrid w:val="0"/>
      <w:jc w:val="left"/>
    </w:pPr>
    <w:rPr>
      <w:rFonts w:ascii="Calibri" w:hAnsi="Calibri"/>
      <w:kern w:val="0"/>
      <w:sz w:val="18"/>
      <w:szCs w:val="18"/>
    </w:rPr>
  </w:style>
  <w:style w:type="paragraph" w:styleId="12">
    <w:name w:val="Body Text Indent 3"/>
    <w:basedOn w:val="1"/>
    <w:link w:val="20"/>
    <w:qFormat/>
    <w:uiPriority w:val="0"/>
    <w:pPr>
      <w:spacing w:after="120"/>
      <w:ind w:left="420" w:leftChars="200"/>
    </w:pPr>
    <w:rPr>
      <w:sz w:val="16"/>
      <w:szCs w:val="16"/>
    </w:rPr>
  </w:style>
  <w:style w:type="paragraph" w:styleId="13">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14">
    <w:name w:val="Title"/>
    <w:basedOn w:val="1"/>
    <w:next w:val="1"/>
    <w:link w:val="23"/>
    <w:qFormat/>
    <w:uiPriority w:val="0"/>
    <w:pPr>
      <w:spacing w:before="240" w:after="60"/>
      <w:jc w:val="center"/>
      <w:outlineLvl w:val="0"/>
    </w:pPr>
    <w:rPr>
      <w:rFonts w:ascii="Cambria" w:hAnsi="Cambria"/>
      <w:b/>
      <w:bCs/>
      <w:sz w:val="32"/>
      <w:szCs w:val="32"/>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character" w:styleId="19">
    <w:name w:val="footnote reference"/>
    <w:qFormat/>
    <w:uiPriority w:val="0"/>
    <w:rPr>
      <w:vertAlign w:val="superscript"/>
    </w:rPr>
  </w:style>
  <w:style w:type="character" w:customStyle="1" w:styleId="20">
    <w:name w:val="正文文本缩进 3 Char"/>
    <w:basedOn w:val="17"/>
    <w:link w:val="12"/>
    <w:qFormat/>
    <w:uiPriority w:val="0"/>
    <w:rPr>
      <w:rFonts w:ascii="Times New Roman" w:hAnsi="Times New Roman" w:eastAsia="宋体" w:cs="Times New Roman"/>
      <w:sz w:val="16"/>
      <w:szCs w:val="16"/>
    </w:rPr>
  </w:style>
  <w:style w:type="character" w:customStyle="1" w:styleId="21">
    <w:name w:val="脚注文本 Char"/>
    <w:basedOn w:val="17"/>
    <w:link w:val="11"/>
    <w:qFormat/>
    <w:uiPriority w:val="0"/>
    <w:rPr>
      <w:rFonts w:ascii="Calibri" w:hAnsi="Calibri" w:eastAsia="宋体" w:cs="Times New Roman"/>
      <w:kern w:val="0"/>
      <w:sz w:val="18"/>
      <w:szCs w:val="18"/>
    </w:rPr>
  </w:style>
  <w:style w:type="character" w:customStyle="1" w:styleId="22">
    <w:name w:val="页眉 Char"/>
    <w:basedOn w:val="17"/>
    <w:link w:val="10"/>
    <w:qFormat/>
    <w:uiPriority w:val="99"/>
    <w:rPr>
      <w:rFonts w:ascii="Times New Roman" w:hAnsi="Times New Roman" w:eastAsia="宋体" w:cs="Times New Roman"/>
      <w:sz w:val="18"/>
      <w:szCs w:val="18"/>
    </w:rPr>
  </w:style>
  <w:style w:type="character" w:customStyle="1" w:styleId="23">
    <w:name w:val="标题 Char"/>
    <w:basedOn w:val="17"/>
    <w:link w:val="14"/>
    <w:qFormat/>
    <w:uiPriority w:val="0"/>
    <w:rPr>
      <w:rFonts w:ascii="Cambria" w:hAnsi="Cambria" w:eastAsia="宋体" w:cs="Times New Roman"/>
      <w:b/>
      <w:bCs/>
      <w:sz w:val="32"/>
      <w:szCs w:val="32"/>
    </w:rPr>
  </w:style>
  <w:style w:type="character" w:customStyle="1" w:styleId="24">
    <w:name w:val="批注框文本 Char"/>
    <w:basedOn w:val="17"/>
    <w:link w:val="8"/>
    <w:semiHidden/>
    <w:qFormat/>
    <w:uiPriority w:val="99"/>
    <w:rPr>
      <w:rFonts w:ascii="Times New Roman" w:hAnsi="Times New Roman" w:eastAsia="宋体" w:cs="Times New Roman"/>
      <w:sz w:val="18"/>
      <w:szCs w:val="18"/>
    </w:rPr>
  </w:style>
  <w:style w:type="character" w:customStyle="1" w:styleId="25">
    <w:name w:val="页脚 Char"/>
    <w:basedOn w:val="17"/>
    <w:link w:val="9"/>
    <w:qFormat/>
    <w:uiPriority w:val="99"/>
    <w:rPr>
      <w:rFonts w:ascii="Times New Roman" w:hAnsi="Times New Roman" w:eastAsia="宋体" w:cs="Times New Roman"/>
      <w:sz w:val="18"/>
      <w:szCs w:val="18"/>
    </w:rPr>
  </w:style>
  <w:style w:type="character" w:customStyle="1" w:styleId="26">
    <w:name w:val="标题 1 Char"/>
    <w:basedOn w:val="17"/>
    <w:link w:val="4"/>
    <w:qFormat/>
    <w:uiPriority w:val="9"/>
    <w:rPr>
      <w:rFonts w:ascii="Calibri" w:hAnsi="Calibri" w:eastAsia="宋体" w:cs="Times New Roman"/>
      <w:b/>
      <w:bCs/>
      <w:kern w:val="44"/>
      <w:sz w:val="44"/>
      <w:szCs w:val="44"/>
    </w:rPr>
  </w:style>
  <w:style w:type="character" w:customStyle="1" w:styleId="27">
    <w:name w:val="标题 3 Char"/>
    <w:basedOn w:val="17"/>
    <w:link w:val="5"/>
    <w:qFormat/>
    <w:uiPriority w:val="99"/>
    <w:rPr>
      <w:rFonts w:ascii="Calibri" w:hAnsi="Calibri" w:eastAsia="宋体" w:cs="Times New Roman"/>
      <w:b/>
      <w:bCs/>
      <w:kern w:val="0"/>
      <w:sz w:val="32"/>
      <w:szCs w:val="32"/>
    </w:rPr>
  </w:style>
  <w:style w:type="character" w:customStyle="1" w:styleId="28">
    <w:name w:val="标题 2 Char"/>
    <w:basedOn w:val="17"/>
    <w:link w:val="2"/>
    <w:semiHidden/>
    <w:qFormat/>
    <w:uiPriority w:val="9"/>
    <w:rPr>
      <w:rFonts w:asciiTheme="majorHAnsi" w:hAnsiTheme="majorHAnsi" w:eastAsiaTheme="majorEastAsia" w:cstheme="majorBidi"/>
      <w:b/>
      <w:bCs/>
      <w:sz w:val="32"/>
      <w:szCs w:val="32"/>
    </w:rPr>
  </w:style>
  <w:style w:type="character" w:customStyle="1" w:styleId="29">
    <w:name w:val="标题 4 Char"/>
    <w:basedOn w:val="17"/>
    <w:link w:val="6"/>
    <w:semiHidden/>
    <w:qFormat/>
    <w:uiPriority w:val="9"/>
    <w:rPr>
      <w:rFonts w:asciiTheme="majorHAnsi" w:hAnsiTheme="majorHAnsi" w:eastAsiaTheme="majorEastAsia" w:cstheme="majorBidi"/>
      <w:b/>
      <w:bCs/>
      <w:sz w:val="28"/>
      <w:szCs w:val="28"/>
    </w:rPr>
  </w:style>
  <w:style w:type="character" w:customStyle="1" w:styleId="30">
    <w:name w:val="批注文字 Char"/>
    <w:basedOn w:val="17"/>
    <w:link w:val="7"/>
    <w:qFormat/>
    <w:uiPriority w:val="0"/>
    <w:rPr>
      <w:rFonts w:ascii="Calibri" w:hAnsi="Calibri" w:eastAsia="宋体" w:cs="Times New Roman"/>
    </w:rPr>
  </w:style>
  <w:style w:type="paragraph" w:customStyle="1" w:styleId="31">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 (2)"/>
    <w:basedOn w:val="1"/>
    <w:qFormat/>
    <w:uiPriority w:val="0"/>
    <w:pPr>
      <w:shd w:val="clear" w:color="auto" w:fill="FFFFFF"/>
      <w:spacing w:before="300" w:line="439" w:lineRule="exact"/>
      <w:jc w:val="distribute"/>
    </w:pPr>
    <w:rPr>
      <w:rFonts w:ascii="宋体" w:hAnsi="宋体"/>
      <w:kern w:val="0"/>
      <w:sz w:val="22"/>
      <w:szCs w:val="22"/>
      <w:lang w:val="zh-CN"/>
    </w:rPr>
  </w:style>
  <w:style w:type="paragraph" w:customStyle="1" w:styleId="3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5994B-1DCD-4FE7-9366-FFE67A0888A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815</Words>
  <Characters>4651</Characters>
  <Lines>38</Lines>
  <Paragraphs>10</Paragraphs>
  <TotalTime>4</TotalTime>
  <ScaleCrop>false</ScaleCrop>
  <LinksUpToDate>false</LinksUpToDate>
  <CharactersWithSpaces>5456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57578</cp:lastModifiedBy>
  <dcterms:modified xsi:type="dcterms:W3CDTF">2021-08-05T03:14:40Z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9A3678FEE1A148DE8943CD248A6EFE80</vt:lpwstr>
  </property>
</Properties>
</file>