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ind w:firstLine="300" w:firstLineChars="100"/>
        <w:jc w:val="center"/>
        <w:rPr>
          <w:rFonts w:ascii="黑体" w:hAnsi="黑体" w:eastAsia="黑体"/>
          <w:bCs/>
          <w:sz w:val="30"/>
          <w:szCs w:val="30"/>
        </w:rPr>
      </w:pPr>
      <w:r>
        <w:rPr>
          <w:rFonts w:hint="eastAsia" w:ascii="黑体" w:hAnsi="黑体" w:eastAsia="黑体"/>
          <w:bCs/>
          <w:sz w:val="30"/>
          <w:szCs w:val="30"/>
        </w:rPr>
        <w:t>吉林省高速公路视频云联网工程（部分二期工程）施工招标</w:t>
      </w:r>
    </w:p>
    <w:p>
      <w:pPr>
        <w:tabs>
          <w:tab w:val="left" w:pos="5010"/>
        </w:tabs>
        <w:autoSpaceDE w:val="0"/>
        <w:autoSpaceDN w:val="0"/>
        <w:adjustRightInd w:val="0"/>
        <w:jc w:val="center"/>
        <w:rPr>
          <w:rFonts w:ascii="黑体" w:hAnsi="宋体" w:eastAsia="黑体"/>
          <w:bCs/>
          <w:color w:val="000000"/>
          <w:kern w:val="0"/>
          <w:sz w:val="40"/>
          <w:szCs w:val="32"/>
        </w:rPr>
      </w:pPr>
      <w:r>
        <w:rPr>
          <w:rFonts w:hint="eastAsia" w:ascii="黑体" w:eastAsia="黑体"/>
          <w:color w:val="000000"/>
          <w:sz w:val="40"/>
          <w:szCs w:val="32"/>
        </w:rPr>
        <w:t>关键内容</w:t>
      </w:r>
    </w:p>
    <w:p>
      <w:pPr>
        <w:adjustRightInd w:val="0"/>
        <w:snapToGrid w:val="0"/>
        <w:spacing w:before="156" w:beforeLines="50" w:after="156" w:afterLines="50"/>
        <w:ind w:firstLine="280" w:firstLineChars="100"/>
        <w:rPr>
          <w:rFonts w:ascii="黑体" w:hAnsi="黑体" w:eastAsia="黑体"/>
          <w:sz w:val="28"/>
          <w:szCs w:val="28"/>
        </w:rPr>
      </w:pPr>
      <w:bookmarkStart w:id="0" w:name="_Toc498955117"/>
      <w:bookmarkStart w:id="1" w:name="_Toc462671337"/>
      <w:r>
        <w:rPr>
          <w:rFonts w:hint="eastAsia" w:ascii="黑体" w:hAnsi="黑体" w:eastAsia="黑体"/>
          <w:sz w:val="28"/>
          <w:szCs w:val="28"/>
        </w:rPr>
        <w:t>一、项目概况</w:t>
      </w:r>
    </w:p>
    <w:p>
      <w:pPr>
        <w:adjustRightInd w:val="0"/>
        <w:snapToGrid w:val="0"/>
        <w:spacing w:before="156" w:beforeLines="50" w:after="156" w:afterLines="50"/>
        <w:ind w:firstLine="240" w:firstLineChars="100"/>
        <w:rPr>
          <w:rFonts w:ascii="黑体" w:hAnsi="黑体" w:eastAsia="黑体"/>
          <w:sz w:val="24"/>
        </w:rPr>
      </w:pPr>
      <w:r>
        <w:rPr>
          <w:rFonts w:ascii="黑体" w:hAnsi="黑体" w:eastAsia="黑体"/>
          <w:sz w:val="24"/>
        </w:rPr>
        <w:t>1.招标条件</w:t>
      </w:r>
    </w:p>
    <w:p>
      <w:pPr>
        <w:adjustRightInd w:val="0"/>
        <w:snapToGrid w:val="0"/>
        <w:spacing w:before="156" w:beforeLines="50" w:after="156" w:afterLines="50"/>
        <w:ind w:firstLine="480" w:firstLineChars="200"/>
        <w:rPr>
          <w:rFonts w:ascii="宋体" w:hAnsi="宋体"/>
          <w:szCs w:val="21"/>
        </w:rPr>
      </w:pPr>
      <w:bookmarkStart w:id="2" w:name="_Toc436994094"/>
      <w:r>
        <w:rPr>
          <w:rFonts w:hint="eastAsia" w:ascii="宋体" w:hAnsi="宋体"/>
          <w:bCs/>
          <w:sz w:val="24"/>
        </w:rPr>
        <w:t>吉林省高速公路视频云联网工程已被</w:t>
      </w:r>
      <w:r>
        <w:rPr>
          <w:rFonts w:hint="eastAsia" w:ascii="宋体" w:hAnsi="宋体"/>
          <w:color w:val="000000"/>
          <w:sz w:val="24"/>
        </w:rPr>
        <w:t>批准建设</w:t>
      </w:r>
      <w:r>
        <w:rPr>
          <w:rFonts w:ascii="宋体" w:hAnsi="宋体"/>
          <w:sz w:val="24"/>
        </w:rPr>
        <w:t>，</w:t>
      </w:r>
      <w:r>
        <w:rPr>
          <w:rFonts w:ascii="宋体" w:hAnsi="宋体"/>
          <w:color w:val="000000"/>
          <w:sz w:val="24"/>
        </w:rPr>
        <w:t>项目</w:t>
      </w:r>
      <w:r>
        <w:rPr>
          <w:rFonts w:hint="eastAsia" w:ascii="宋体" w:hAnsi="宋体"/>
          <w:color w:val="000000"/>
          <w:sz w:val="24"/>
        </w:rPr>
        <w:t>法人（招标人）</w:t>
      </w:r>
      <w:r>
        <w:rPr>
          <w:rFonts w:ascii="宋体" w:hAnsi="宋体"/>
          <w:color w:val="000000"/>
          <w:sz w:val="24"/>
        </w:rPr>
        <w:t>为吉林省高速公路集团有限公司，建设资金</w:t>
      </w:r>
      <w:r>
        <w:rPr>
          <w:rFonts w:hint="eastAsia" w:ascii="宋体" w:hAnsi="宋体"/>
          <w:color w:val="000000"/>
          <w:sz w:val="24"/>
        </w:rPr>
        <w:t>来自项目法人自筹</w:t>
      </w:r>
      <w:r>
        <w:rPr>
          <w:rFonts w:ascii="宋体" w:hAnsi="宋体"/>
          <w:color w:val="000000"/>
          <w:sz w:val="24"/>
        </w:rPr>
        <w:t>。项目已具备招标条件，现对该</w:t>
      </w:r>
      <w:r>
        <w:rPr>
          <w:rFonts w:hint="eastAsia" w:ascii="宋体" w:hAnsi="宋体"/>
          <w:color w:val="000000"/>
          <w:sz w:val="24"/>
        </w:rPr>
        <w:t>项目部分二期工程的</w:t>
      </w:r>
      <w:r>
        <w:rPr>
          <w:rFonts w:ascii="宋体" w:hAnsi="宋体"/>
          <w:color w:val="000000"/>
          <w:sz w:val="24"/>
        </w:rPr>
        <w:t>施工进行公开招标</w:t>
      </w:r>
      <w:r>
        <w:rPr>
          <w:rFonts w:hint="eastAsia" w:ascii="宋体" w:hAnsi="宋体"/>
          <w:color w:val="000000"/>
          <w:sz w:val="24"/>
        </w:rPr>
        <w:t>。</w:t>
      </w:r>
    </w:p>
    <w:p>
      <w:pPr>
        <w:adjustRightInd w:val="0"/>
        <w:snapToGrid w:val="0"/>
        <w:spacing w:before="156" w:beforeLines="50" w:after="156" w:afterLines="50"/>
        <w:ind w:firstLine="240" w:firstLineChars="100"/>
        <w:rPr>
          <w:rFonts w:ascii="黑体" w:hAnsi="黑体" w:eastAsia="黑体"/>
          <w:sz w:val="24"/>
        </w:rPr>
      </w:pPr>
      <w:r>
        <w:rPr>
          <w:rFonts w:ascii="黑体" w:hAnsi="黑体" w:eastAsia="黑体"/>
          <w:sz w:val="24"/>
        </w:rPr>
        <w:t>2.项目概况与招标范围</w:t>
      </w:r>
      <w:bookmarkEnd w:id="2"/>
    </w:p>
    <w:p>
      <w:pPr>
        <w:adjustRightInd w:val="0"/>
        <w:snapToGrid w:val="0"/>
        <w:spacing w:before="156" w:beforeLines="50" w:after="156" w:afterLines="50"/>
        <w:ind w:firstLine="420" w:firstLineChars="200"/>
        <w:rPr>
          <w:rFonts w:ascii="宋体" w:hAnsi="宋体"/>
          <w:szCs w:val="21"/>
        </w:rPr>
      </w:pPr>
      <w:bookmarkStart w:id="3" w:name="_Toc436994095"/>
      <w:bookmarkStart w:id="4" w:name="_Toc257655328"/>
      <w:r>
        <w:rPr>
          <w:rFonts w:hint="eastAsia" w:ascii="宋体" w:hAnsi="宋体"/>
          <w:szCs w:val="21"/>
        </w:rPr>
        <w:t>2.1建设地点：吉林省内各高速公路。</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2.2工程内容：</w:t>
      </w:r>
      <w:r>
        <w:rPr>
          <w:rFonts w:ascii="宋体" w:hAnsi="宋体"/>
          <w:szCs w:val="21"/>
        </w:rPr>
        <w:t>吉林省高速公路视频云联网工程主要利用已有高速公路监控系统资源，并结合云计算、CDN技术、人工智能算法等先进设计理念和技术,实现以现分公司高清平台为基础，以省、部中心云联网架构为框架，以智能视频技术为导向的整体系统方案。</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二期</w:t>
      </w:r>
      <w:r>
        <w:rPr>
          <w:rFonts w:ascii="宋体" w:hAnsi="宋体"/>
          <w:szCs w:val="21"/>
        </w:rPr>
        <w:t>工程内容主要包括监控系统、通信系统、收费系统、供配电系统、预埋管线及基础工程的施工、采购、安装、调试、试运行及后续服务等。</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2.3计划工期：</w:t>
      </w:r>
      <w:r>
        <w:rPr>
          <w:rFonts w:ascii="宋体" w:hAnsi="宋体"/>
          <w:szCs w:val="21"/>
        </w:rPr>
        <w:t>自签订合同之日起至202</w:t>
      </w:r>
      <w:r>
        <w:rPr>
          <w:rFonts w:hint="eastAsia" w:ascii="宋体" w:hAnsi="宋体"/>
          <w:szCs w:val="21"/>
        </w:rPr>
        <w:t>1</w:t>
      </w:r>
      <w:r>
        <w:rPr>
          <w:rFonts w:ascii="宋体" w:hAnsi="宋体"/>
          <w:szCs w:val="21"/>
        </w:rPr>
        <w:t>年</w:t>
      </w:r>
      <w:r>
        <w:rPr>
          <w:rFonts w:hint="eastAsia" w:ascii="宋体" w:hAnsi="宋体"/>
          <w:szCs w:val="21"/>
        </w:rPr>
        <w:t>11</w:t>
      </w:r>
      <w:r>
        <w:rPr>
          <w:rFonts w:ascii="宋体" w:hAnsi="宋体"/>
          <w:szCs w:val="21"/>
        </w:rPr>
        <w:t>月</w:t>
      </w:r>
      <w:r>
        <w:rPr>
          <w:rFonts w:hint="eastAsia" w:ascii="宋体" w:hAnsi="宋体"/>
          <w:szCs w:val="21"/>
        </w:rPr>
        <w:t>15</w:t>
      </w:r>
      <w:r>
        <w:rPr>
          <w:rFonts w:ascii="宋体" w:hAnsi="宋体"/>
          <w:szCs w:val="21"/>
        </w:rPr>
        <w:t>日结束</w:t>
      </w:r>
      <w:r>
        <w:rPr>
          <w:rFonts w:hint="eastAsia" w:ascii="宋体" w:hAnsi="宋体"/>
          <w:szCs w:val="21"/>
        </w:rPr>
        <w:t>。</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2.4招标范围：机电工程的施工（具体见图纸及工程量清单）。</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2.5标段划分：共划分为一个标段，即JD03标段。</w:t>
      </w:r>
    </w:p>
    <w:bookmarkEnd w:id="3"/>
    <w:bookmarkEnd w:id="4"/>
    <w:p>
      <w:pPr>
        <w:adjustRightInd w:val="0"/>
        <w:snapToGrid w:val="0"/>
        <w:spacing w:before="156" w:beforeLines="50" w:after="156" w:afterLines="50"/>
        <w:ind w:firstLine="280" w:firstLineChars="100"/>
        <w:rPr>
          <w:rFonts w:ascii="黑体" w:hAnsi="黑体" w:eastAsia="黑体"/>
          <w:sz w:val="28"/>
          <w:szCs w:val="28"/>
        </w:rPr>
      </w:pPr>
      <w:r>
        <w:rPr>
          <w:rFonts w:hint="eastAsia" w:ascii="黑体" w:hAnsi="黑体" w:eastAsia="黑体"/>
          <w:sz w:val="28"/>
          <w:szCs w:val="28"/>
        </w:rPr>
        <w:t>二、对投标人的资格条件要求</w:t>
      </w:r>
    </w:p>
    <w:p>
      <w:pPr>
        <w:adjustRightInd w:val="0"/>
        <w:snapToGrid w:val="0"/>
        <w:spacing w:before="156" w:beforeLines="50" w:after="156" w:afterLines="50"/>
        <w:ind w:firstLine="420" w:firstLineChars="200"/>
        <w:rPr>
          <w:rFonts w:ascii="宋体" w:hAnsi="宋体"/>
          <w:szCs w:val="21"/>
        </w:rPr>
      </w:pPr>
      <w:bookmarkStart w:id="5" w:name="_Toc452639674"/>
      <w:bookmarkStart w:id="6" w:name="_Toc455238559"/>
      <w:bookmarkStart w:id="7" w:name="_Toc452639770"/>
      <w:r>
        <w:rPr>
          <w:rFonts w:hint="eastAsia" w:ascii="宋体" w:hAnsi="宋体"/>
          <w:szCs w:val="21"/>
        </w:rPr>
        <w:t xml:space="preserve">3.1本次招标要求投标人须具备公路交通工程（公路机电工程分项）专业承包一级资质，2016年1月1日后（以交工日期为准）累计完成过1项（1项指1个合同，下同）高速公路机电工程施工业绩，并在人员、设备、资金等方面具备相应的施工能力。 </w:t>
      </w:r>
    </w:p>
    <w:p>
      <w:pPr>
        <w:adjustRightInd w:val="0"/>
        <w:snapToGrid w:val="0"/>
        <w:spacing w:before="156" w:beforeLines="50" w:after="156" w:afterLines="50"/>
        <w:ind w:firstLine="420" w:firstLineChars="200"/>
        <w:rPr>
          <w:rFonts w:ascii="楷体" w:hAnsi="楷体" w:eastAsia="楷体"/>
          <w:szCs w:val="21"/>
        </w:rPr>
      </w:pPr>
      <w:r>
        <w:rPr>
          <w:rFonts w:hint="eastAsia" w:ascii="楷体" w:hAnsi="楷体" w:eastAsia="楷体"/>
          <w:szCs w:val="21"/>
        </w:rPr>
        <w:t>注：1.施工业绩均应为国内新建或改扩建高速公路机电工程，且已</w:t>
      </w:r>
      <w:r>
        <w:rPr>
          <w:rFonts w:ascii="楷体" w:hAnsi="楷体" w:eastAsia="楷体"/>
          <w:szCs w:val="21"/>
        </w:rPr>
        <w:t>列入交通运输主管部门“公路建设市场信用信息管理系统”并公开的</w:t>
      </w:r>
      <w:r>
        <w:rPr>
          <w:rFonts w:hint="eastAsia" w:ascii="楷体" w:hAnsi="楷体" w:eastAsia="楷体"/>
          <w:szCs w:val="21"/>
        </w:rPr>
        <w:t>总</w:t>
      </w:r>
      <w:r>
        <w:rPr>
          <w:rFonts w:ascii="楷体" w:hAnsi="楷体" w:eastAsia="楷体"/>
          <w:szCs w:val="21"/>
        </w:rPr>
        <w:t>包已建业绩</w:t>
      </w:r>
      <w:r>
        <w:rPr>
          <w:rFonts w:hint="eastAsia" w:ascii="楷体" w:hAnsi="楷体" w:eastAsia="楷体"/>
          <w:szCs w:val="21"/>
        </w:rPr>
        <w:t>。</w:t>
      </w:r>
    </w:p>
    <w:p>
      <w:pPr>
        <w:adjustRightInd w:val="0"/>
        <w:snapToGrid w:val="0"/>
        <w:spacing w:before="156" w:beforeLines="50" w:after="156" w:afterLines="50"/>
        <w:ind w:firstLine="840" w:firstLineChars="400"/>
        <w:rPr>
          <w:rFonts w:ascii="楷体" w:hAnsi="楷体" w:eastAsia="楷体"/>
          <w:szCs w:val="21"/>
        </w:rPr>
      </w:pPr>
      <w:r>
        <w:rPr>
          <w:rFonts w:hint="eastAsia" w:ascii="楷体" w:hAnsi="楷体" w:eastAsia="楷体"/>
          <w:szCs w:val="21"/>
        </w:rPr>
        <w:t>2.养护工程（如原有机电系统的改造、更新、升级、提升、完善、维护等）及国外工程业绩均不予认定。</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投标人应进入交通运输部“全国公路建设市场信用信息管理系统”</w:t>
      </w:r>
      <w:r>
        <w:rPr>
          <w:rFonts w:ascii="宋体" w:hAnsi="宋体"/>
          <w:szCs w:val="21"/>
        </w:rPr>
        <w:t xml:space="preserve">（http: </w:t>
      </w:r>
      <w:r>
        <w:rPr>
          <w:rFonts w:hint="eastAsia" w:ascii="宋体" w:hAnsi="宋体"/>
          <w:szCs w:val="21"/>
        </w:rPr>
        <w:t>//</w:t>
      </w:r>
      <w:r>
        <w:rPr>
          <w:rFonts w:ascii="宋体" w:hAnsi="宋体"/>
          <w:szCs w:val="21"/>
        </w:rPr>
        <w:t>glxy.mot.gov.cn)</w:t>
      </w:r>
      <w:r>
        <w:rPr>
          <w:rFonts w:hint="eastAsia" w:ascii="宋体" w:hAnsi="宋体"/>
          <w:szCs w:val="21"/>
        </w:rPr>
        <w:t>中的施工企业名录，且投标人</w:t>
      </w:r>
      <w:r>
        <w:rPr>
          <w:rFonts w:ascii="宋体" w:hAnsi="宋体"/>
          <w:szCs w:val="21"/>
        </w:rPr>
        <w:t>的</w:t>
      </w:r>
      <w:r>
        <w:rPr>
          <w:rFonts w:hint="eastAsia" w:ascii="宋体" w:hAnsi="宋体"/>
          <w:szCs w:val="21"/>
        </w:rPr>
        <w:t>名称和资质与该名录中的相应企业名称和资质完全一致。</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3.2本次招标不接受联合体投标。</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3.3</w:t>
      </w:r>
      <w:r>
        <w:rPr>
          <w:rFonts w:ascii="宋体" w:hAnsi="宋体"/>
          <w:szCs w:val="21"/>
        </w:rPr>
        <w:t>在“信用中国”网站（</w:t>
      </w:r>
      <w:r>
        <w:fldChar w:fldCharType="begin"/>
      </w:r>
      <w:r>
        <w:instrText xml:space="preserve"> HYPERLINK "http://www.creditchina.gov.cn/)%e4%b8%ad%e8%a2%ab%e5%88%97%e5%85%a5%e5%a4%b1%e4%bf%a1%e8%a2%ab%e6%89%a7%e8%a1%8c%e4%ba%ba" </w:instrText>
      </w:r>
      <w:r>
        <w:fldChar w:fldCharType="separate"/>
      </w:r>
      <w:r>
        <w:t>http://www.creditchina.gov.cn/)中被列入失信被执行人</w:t>
      </w:r>
      <w:r>
        <w:fldChar w:fldCharType="end"/>
      </w:r>
      <w:r>
        <w:rPr>
          <w:rFonts w:ascii="宋体" w:hAnsi="宋体"/>
          <w:szCs w:val="21"/>
        </w:rPr>
        <w:t>名单的投标人，不得参加投标。</w:t>
      </w:r>
    </w:p>
    <w:bookmarkEnd w:id="5"/>
    <w:bookmarkEnd w:id="6"/>
    <w:bookmarkEnd w:id="7"/>
    <w:p>
      <w:pPr>
        <w:adjustRightInd w:val="0"/>
        <w:snapToGrid w:val="0"/>
        <w:spacing w:before="156" w:beforeLines="50" w:after="156" w:afterLines="50"/>
        <w:ind w:firstLine="280" w:firstLineChars="100"/>
        <w:rPr>
          <w:rFonts w:ascii="黑体" w:hAnsi="黑体" w:eastAsia="黑体"/>
          <w:sz w:val="28"/>
          <w:szCs w:val="28"/>
        </w:rPr>
      </w:pPr>
      <w:r>
        <w:rPr>
          <w:rFonts w:hint="eastAsia" w:ascii="黑体" w:hAnsi="黑体" w:eastAsia="黑体"/>
          <w:sz w:val="28"/>
          <w:szCs w:val="28"/>
        </w:rPr>
        <w:t>三、资格审查办法</w:t>
      </w:r>
    </w:p>
    <w:p>
      <w:pPr>
        <w:adjustRightInd w:val="0"/>
        <w:snapToGrid w:val="0"/>
        <w:spacing w:before="156" w:beforeLines="50" w:after="156" w:afterLines="50"/>
        <w:ind w:firstLine="315" w:firstLineChars="150"/>
        <w:rPr>
          <w:rFonts w:ascii="宋体" w:hAnsi="宋体"/>
          <w:szCs w:val="21"/>
        </w:rPr>
      </w:pPr>
      <w:r>
        <w:rPr>
          <w:rFonts w:hint="eastAsia" w:ascii="宋体" w:hAnsi="宋体"/>
          <w:szCs w:val="21"/>
        </w:rPr>
        <w:t>本项目采用资格后审，资格审查条件如下：</w:t>
      </w:r>
    </w:p>
    <w:p>
      <w:pPr>
        <w:pStyle w:val="5"/>
        <w:tabs>
          <w:tab w:val="left" w:pos="315"/>
        </w:tabs>
        <w:adjustRightInd w:val="0"/>
        <w:snapToGrid w:val="0"/>
        <w:spacing w:before="156" w:beforeLines="50" w:after="0" w:line="240" w:lineRule="auto"/>
        <w:ind w:firstLine="281" w:firstLineChars="100"/>
        <w:jc w:val="center"/>
        <w:rPr>
          <w:rFonts w:ascii="黑体" w:hAnsi="黑体"/>
          <w:lang w:val="zh-CN"/>
        </w:rPr>
      </w:pPr>
      <w:r>
        <w:rPr>
          <w:rFonts w:hint="eastAsia" w:ascii="黑体" w:hAnsi="黑体"/>
          <w:lang w:val="zh-CN"/>
        </w:rPr>
        <w:t>附录1资格审查条件（资质最低要求）</w:t>
      </w:r>
    </w:p>
    <w:tbl>
      <w:tblPr>
        <w:tblStyle w:val="1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vAlign w:val="center"/>
          </w:tcPr>
          <w:p>
            <w:pPr>
              <w:adjustRightInd w:val="0"/>
              <w:snapToGrid w:val="0"/>
              <w:spacing w:before="156" w:beforeLines="50"/>
              <w:jc w:val="center"/>
              <w:rPr>
                <w:rFonts w:ascii="宋体" w:hAnsi="宋体"/>
                <w:color w:val="000000"/>
                <w:szCs w:val="21"/>
              </w:rPr>
            </w:pPr>
            <w:r>
              <w:rPr>
                <w:rFonts w:hint="eastAsia" w:ascii="宋体" w:hAnsi="宋体"/>
                <w:color w:val="000000"/>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9854" w:type="dxa"/>
            <w:vAlign w:val="center"/>
          </w:tcPr>
          <w:p>
            <w:pPr>
              <w:adjustRightInd w:val="0"/>
              <w:snapToGrid w:val="0"/>
              <w:spacing w:before="156" w:beforeLines="50"/>
              <w:jc w:val="left"/>
              <w:rPr>
                <w:rFonts w:ascii="宋体" w:hAnsi="宋体"/>
                <w:color w:val="000000"/>
                <w:szCs w:val="21"/>
              </w:rPr>
            </w:pPr>
            <w:r>
              <w:rPr>
                <w:rFonts w:hint="eastAsia" w:ascii="宋体" w:hAnsi="宋体"/>
                <w:szCs w:val="21"/>
              </w:rPr>
              <w:t>投标人须具备公路交通工程（公路机电工程分项）专业承包一级资质。</w:t>
            </w:r>
          </w:p>
        </w:tc>
      </w:tr>
    </w:tbl>
    <w:p>
      <w:pPr>
        <w:rPr>
          <w:lang w:val="zh-CN"/>
        </w:rPr>
      </w:pPr>
    </w:p>
    <w:p>
      <w:pPr>
        <w:pStyle w:val="5"/>
        <w:tabs>
          <w:tab w:val="left" w:pos="315"/>
        </w:tabs>
        <w:adjustRightInd w:val="0"/>
        <w:snapToGrid w:val="0"/>
        <w:spacing w:before="156" w:beforeLines="50" w:after="0" w:line="240" w:lineRule="auto"/>
        <w:ind w:firstLine="281" w:firstLineChars="100"/>
        <w:jc w:val="center"/>
        <w:rPr>
          <w:rFonts w:ascii="黑体" w:hAnsi="黑体"/>
          <w:lang w:val="zh-CN"/>
        </w:rPr>
      </w:pPr>
    </w:p>
    <w:p>
      <w:pPr>
        <w:pStyle w:val="5"/>
        <w:tabs>
          <w:tab w:val="left" w:pos="315"/>
        </w:tabs>
        <w:adjustRightInd w:val="0"/>
        <w:snapToGrid w:val="0"/>
        <w:spacing w:before="156" w:beforeLines="50" w:after="0" w:line="240" w:lineRule="auto"/>
        <w:ind w:firstLine="281" w:firstLineChars="100"/>
        <w:jc w:val="center"/>
        <w:rPr>
          <w:rFonts w:ascii="黑体" w:hAnsi="黑体"/>
          <w:lang w:val="zh-CN"/>
        </w:rPr>
      </w:pPr>
      <w:r>
        <w:rPr>
          <w:rFonts w:hint="eastAsia" w:ascii="黑体" w:hAnsi="黑体"/>
          <w:lang w:val="zh-CN"/>
        </w:rPr>
        <w:t>附录2资格审查条件（财务最低要求）</w:t>
      </w:r>
    </w:p>
    <w:tbl>
      <w:tblPr>
        <w:tblStyle w:val="1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vAlign w:val="center"/>
          </w:tcPr>
          <w:p>
            <w:pPr>
              <w:adjustRightInd w:val="0"/>
              <w:snapToGrid w:val="0"/>
              <w:spacing w:before="156" w:beforeLines="50"/>
              <w:jc w:val="center"/>
              <w:rPr>
                <w:rFonts w:ascii="宋体" w:hAnsi="宋体"/>
                <w:color w:val="000000"/>
                <w:szCs w:val="21"/>
              </w:rPr>
            </w:pPr>
            <w:r>
              <w:rPr>
                <w:rFonts w:hint="eastAsia" w:ascii="宋体" w:hAnsi="宋体"/>
                <w:color w:val="000000"/>
                <w:szCs w:val="21"/>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9854" w:type="dxa"/>
            <w:vAlign w:val="center"/>
          </w:tcPr>
          <w:p>
            <w:pPr>
              <w:pStyle w:val="7"/>
              <w:adjustRightInd w:val="0"/>
              <w:snapToGrid w:val="0"/>
              <w:spacing w:before="156" w:beforeLines="50"/>
              <w:rPr>
                <w:rFonts w:ascii="宋体" w:hAnsi="宋体" w:cs="宋体"/>
                <w:color w:val="000000"/>
                <w:kern w:val="0"/>
                <w:szCs w:val="21"/>
              </w:rPr>
            </w:pPr>
            <w:r>
              <w:rPr>
                <w:rFonts w:ascii="宋体" w:hAnsi="宋体"/>
                <w:szCs w:val="21"/>
              </w:rPr>
              <w:t>经审计的</w:t>
            </w:r>
            <w:r>
              <w:rPr>
                <w:rFonts w:ascii="宋体" w:hAnsi="宋体"/>
                <w:kern w:val="0"/>
                <w:szCs w:val="21"/>
                <w:lang w:val="zh-CN"/>
              </w:rPr>
              <w:t>投标人</w:t>
            </w:r>
            <w:r>
              <w:rPr>
                <w:rFonts w:ascii="宋体" w:hAnsi="宋体"/>
                <w:szCs w:val="21"/>
              </w:rPr>
              <w:t>的</w:t>
            </w:r>
            <w:r>
              <w:rPr>
                <w:rFonts w:hint="eastAsia" w:ascii="宋体" w:hAnsi="宋体"/>
                <w:szCs w:val="21"/>
              </w:rPr>
              <w:t>2020</w:t>
            </w:r>
            <w:r>
              <w:rPr>
                <w:rFonts w:ascii="宋体" w:hAnsi="宋体"/>
                <w:szCs w:val="21"/>
              </w:rPr>
              <w:t>年</w:t>
            </w:r>
            <w:r>
              <w:rPr>
                <w:rFonts w:hint="eastAsia" w:ascii="宋体" w:hAnsi="宋体"/>
                <w:szCs w:val="21"/>
              </w:rPr>
              <w:t>度</w:t>
            </w:r>
            <w:r>
              <w:rPr>
                <w:rFonts w:ascii="宋体" w:hAnsi="宋体"/>
                <w:szCs w:val="21"/>
              </w:rPr>
              <w:t>财务会计报告中流动资产</w:t>
            </w:r>
            <w:r>
              <w:rPr>
                <w:rFonts w:hint="eastAsia" w:ascii="宋体" w:hAnsi="宋体"/>
                <w:szCs w:val="21"/>
              </w:rPr>
              <w:t>大于</w:t>
            </w:r>
            <w:r>
              <w:rPr>
                <w:rFonts w:ascii="宋体" w:hAnsi="宋体"/>
                <w:szCs w:val="21"/>
              </w:rPr>
              <w:t>流动负债</w:t>
            </w:r>
            <w:r>
              <w:rPr>
                <w:rFonts w:hint="eastAsia" w:ascii="宋体" w:hAnsi="宋体"/>
                <w:bCs/>
                <w:szCs w:val="21"/>
              </w:rPr>
              <w:t>。</w:t>
            </w:r>
          </w:p>
        </w:tc>
      </w:tr>
    </w:tbl>
    <w:p>
      <w:pPr>
        <w:pStyle w:val="5"/>
        <w:tabs>
          <w:tab w:val="left" w:pos="315"/>
        </w:tabs>
        <w:adjustRightInd w:val="0"/>
        <w:snapToGrid w:val="0"/>
        <w:spacing w:before="156" w:beforeLines="50" w:after="0"/>
        <w:ind w:firstLine="281" w:firstLineChars="100"/>
        <w:jc w:val="center"/>
        <w:rPr>
          <w:rFonts w:ascii="黑体" w:hAnsi="黑体"/>
          <w:lang w:val="zh-CN"/>
        </w:rPr>
      </w:pPr>
      <w:r>
        <w:rPr>
          <w:rFonts w:hint="eastAsia" w:ascii="黑体" w:hAnsi="黑体"/>
          <w:lang w:val="zh-CN"/>
        </w:rPr>
        <w:t>附录3资格审查条件（业绩最低要求）</w:t>
      </w:r>
    </w:p>
    <w:tbl>
      <w:tblPr>
        <w:tblStyle w:val="14"/>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854" w:type="dxa"/>
            <w:vAlign w:val="center"/>
          </w:tcPr>
          <w:p>
            <w:pPr>
              <w:adjustRightInd w:val="0"/>
              <w:snapToGrid w:val="0"/>
              <w:spacing w:before="156" w:beforeLines="50"/>
              <w:jc w:val="center"/>
              <w:rPr>
                <w:rFonts w:ascii="楷体" w:hAnsi="楷体" w:eastAsia="楷体_GB2312"/>
                <w:color w:val="000000"/>
                <w:szCs w:val="21"/>
              </w:rPr>
            </w:pPr>
            <w:r>
              <w:rPr>
                <w:rFonts w:hint="eastAsia" w:ascii="宋体" w:hAnsi="宋体"/>
                <w:color w:val="000000"/>
                <w:szCs w:val="21"/>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9854" w:type="dxa"/>
            <w:vAlign w:val="center"/>
          </w:tcPr>
          <w:p>
            <w:pPr>
              <w:adjustRightInd w:val="0"/>
              <w:snapToGrid w:val="0"/>
              <w:spacing w:before="156" w:beforeLines="50" w:after="156" w:afterLines="50"/>
              <w:rPr>
                <w:rFonts w:ascii="宋体" w:hAnsi="宋体"/>
                <w:szCs w:val="21"/>
              </w:rPr>
            </w:pPr>
            <w:r>
              <w:rPr>
                <w:rFonts w:hint="eastAsia" w:ascii="宋体" w:hAnsi="宋体"/>
                <w:szCs w:val="21"/>
              </w:rPr>
              <w:t>2016年1月1日后（以交工日期为准）累计完成过1项（1项指1个合同，下同）高速公路机电工程施工业绩。</w:t>
            </w:r>
          </w:p>
          <w:p>
            <w:pPr>
              <w:adjustRightInd w:val="0"/>
              <w:snapToGrid w:val="0"/>
              <w:spacing w:line="320" w:lineRule="exact"/>
              <w:ind w:firstLine="210" w:firstLineChars="100"/>
              <w:rPr>
                <w:rFonts w:ascii="楷体" w:hAnsi="楷体" w:eastAsia="楷体"/>
                <w:szCs w:val="21"/>
              </w:rPr>
            </w:pPr>
            <w:r>
              <w:rPr>
                <w:rFonts w:hint="eastAsia" w:ascii="楷体" w:hAnsi="楷体" w:eastAsia="楷体"/>
                <w:szCs w:val="21"/>
              </w:rPr>
              <w:t>注：1.施工业绩均应为国内新建或改扩建高速公路机电工程，且已</w:t>
            </w:r>
            <w:r>
              <w:rPr>
                <w:rFonts w:ascii="楷体" w:hAnsi="楷体" w:eastAsia="楷体"/>
                <w:szCs w:val="21"/>
              </w:rPr>
              <w:t>列入交通运输主管部门“公路建设市场信用信息管理系统”并公开的</w:t>
            </w:r>
            <w:r>
              <w:rPr>
                <w:rFonts w:hint="eastAsia" w:ascii="楷体" w:hAnsi="楷体" w:eastAsia="楷体"/>
                <w:szCs w:val="21"/>
              </w:rPr>
              <w:t>总</w:t>
            </w:r>
            <w:r>
              <w:rPr>
                <w:rFonts w:ascii="楷体" w:hAnsi="楷体" w:eastAsia="楷体"/>
                <w:szCs w:val="21"/>
              </w:rPr>
              <w:t>包已建业绩</w:t>
            </w:r>
            <w:r>
              <w:rPr>
                <w:rFonts w:hint="eastAsia" w:ascii="楷体" w:hAnsi="楷体" w:eastAsia="楷体"/>
                <w:szCs w:val="21"/>
              </w:rPr>
              <w:t>。</w:t>
            </w:r>
          </w:p>
          <w:p>
            <w:pPr>
              <w:adjustRightInd w:val="0"/>
              <w:snapToGrid w:val="0"/>
              <w:spacing w:line="320" w:lineRule="exact"/>
              <w:ind w:firstLine="630" w:firstLineChars="300"/>
              <w:rPr>
                <w:rFonts w:ascii="楷体" w:hAnsi="楷体" w:eastAsia="楷体" w:cs="宋体"/>
                <w:color w:val="000000"/>
                <w:kern w:val="0"/>
                <w:szCs w:val="21"/>
              </w:rPr>
            </w:pPr>
            <w:r>
              <w:rPr>
                <w:rFonts w:hint="eastAsia" w:ascii="楷体" w:hAnsi="楷体" w:eastAsia="楷体"/>
                <w:szCs w:val="21"/>
              </w:rPr>
              <w:t>2.养护工程（原有机电工程系统</w:t>
            </w:r>
            <w:r>
              <w:rPr>
                <w:rFonts w:ascii="楷体" w:hAnsi="楷体" w:eastAsia="楷体"/>
                <w:szCs w:val="21"/>
              </w:rPr>
              <w:t>改造、更新、升级、提升、完善、维护</w:t>
            </w:r>
            <w:r>
              <w:rPr>
                <w:rFonts w:hint="eastAsia" w:ascii="楷体" w:hAnsi="楷体" w:eastAsia="楷体"/>
                <w:szCs w:val="21"/>
              </w:rPr>
              <w:t>等）及国外工程业绩均不予认定。</w:t>
            </w:r>
          </w:p>
        </w:tc>
      </w:tr>
    </w:tbl>
    <w:p>
      <w:pPr>
        <w:pStyle w:val="5"/>
        <w:tabs>
          <w:tab w:val="left" w:pos="315"/>
        </w:tabs>
        <w:adjustRightInd w:val="0"/>
        <w:snapToGrid w:val="0"/>
        <w:spacing w:before="156" w:beforeLines="50" w:after="0" w:line="240" w:lineRule="auto"/>
        <w:ind w:firstLine="281" w:firstLineChars="100"/>
        <w:jc w:val="center"/>
        <w:rPr>
          <w:rFonts w:ascii="黑体" w:hAnsi="黑体"/>
          <w:lang w:val="zh-CN"/>
        </w:rPr>
      </w:pPr>
      <w:r>
        <w:rPr>
          <w:rFonts w:hint="eastAsia" w:ascii="黑体" w:hAnsi="黑体"/>
          <w:lang w:val="zh-CN"/>
        </w:rPr>
        <w:t>附录4资格审查条件（信誉最低要求）</w:t>
      </w:r>
    </w:p>
    <w:tbl>
      <w:tblPr>
        <w:tblStyle w:val="1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vAlign w:val="center"/>
          </w:tcPr>
          <w:p>
            <w:pPr>
              <w:adjustRightInd w:val="0"/>
              <w:snapToGrid w:val="0"/>
              <w:spacing w:before="156" w:beforeLines="50"/>
              <w:jc w:val="center"/>
              <w:rPr>
                <w:rFonts w:ascii="宋体" w:hAnsi="宋体"/>
                <w:color w:val="000000"/>
                <w:szCs w:val="21"/>
              </w:rPr>
            </w:pPr>
            <w:r>
              <w:rPr>
                <w:rFonts w:hint="eastAsia" w:ascii="宋体" w:hAnsi="宋体"/>
                <w:color w:val="000000"/>
                <w:szCs w:val="21"/>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9854" w:type="dxa"/>
            <w:vAlign w:val="center"/>
          </w:tcPr>
          <w:p>
            <w:pPr>
              <w:adjustRightInd w:val="0"/>
              <w:snapToGrid w:val="0"/>
              <w:spacing w:before="156" w:beforeLines="50"/>
              <w:ind w:firstLine="210" w:firstLineChars="100"/>
              <w:rPr>
                <w:rFonts w:ascii="宋体" w:hAnsi="宋体"/>
                <w:szCs w:val="21"/>
              </w:rPr>
            </w:pPr>
            <w:r>
              <w:rPr>
                <w:rFonts w:hint="eastAsia" w:ascii="宋体" w:hAnsi="宋体" w:cs="宋体"/>
                <w:kern w:val="0"/>
                <w:szCs w:val="21"/>
              </w:rPr>
              <w:t>/</w:t>
            </w:r>
          </w:p>
        </w:tc>
      </w:tr>
    </w:tbl>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5"/>
        <w:tabs>
          <w:tab w:val="left" w:pos="315"/>
        </w:tabs>
        <w:adjustRightInd w:val="0"/>
        <w:snapToGrid w:val="0"/>
        <w:spacing w:before="156" w:beforeLines="50" w:after="0" w:line="240" w:lineRule="auto"/>
        <w:ind w:firstLine="281" w:firstLineChars="100"/>
        <w:jc w:val="center"/>
        <w:rPr>
          <w:lang w:val="zh-CN"/>
        </w:rPr>
      </w:pPr>
      <w:r>
        <w:rPr>
          <w:rFonts w:hint="eastAsia" w:ascii="黑体" w:hAnsi="黑体"/>
          <w:lang w:val="zh-CN"/>
        </w:rPr>
        <w:t>附录5资格审查条件（项目经理和项目总工最低要求）</w:t>
      </w:r>
    </w:p>
    <w:p>
      <w:pPr>
        <w:rPr>
          <w:rFonts w:ascii="Calibri" w:hAnsi="Calibri"/>
          <w:szCs w:val="22"/>
          <w:lang w:val="zh-CN"/>
        </w:rPr>
      </w:pPr>
    </w:p>
    <w:tbl>
      <w:tblPr>
        <w:tblStyle w:val="14"/>
        <w:tblW w:w="96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864"/>
        <w:gridCol w:w="4859"/>
        <w:gridCol w:w="28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94" w:type="dxa"/>
            <w:vAlign w:val="center"/>
          </w:tcPr>
          <w:p>
            <w:pPr>
              <w:snapToGrid w:val="0"/>
              <w:jc w:val="center"/>
              <w:rPr>
                <w:rFonts w:ascii="宋体" w:hAnsi="宋体"/>
                <w:color w:val="000000"/>
                <w:szCs w:val="21"/>
              </w:rPr>
            </w:pPr>
            <w:r>
              <w:rPr>
                <w:rFonts w:hint="eastAsia" w:ascii="宋体" w:hAnsi="宋体"/>
                <w:color w:val="000000"/>
                <w:szCs w:val="21"/>
              </w:rPr>
              <w:t>人员</w:t>
            </w:r>
          </w:p>
        </w:tc>
        <w:tc>
          <w:tcPr>
            <w:tcW w:w="864" w:type="dxa"/>
            <w:vAlign w:val="center"/>
          </w:tcPr>
          <w:p>
            <w:pPr>
              <w:snapToGrid w:val="0"/>
              <w:jc w:val="center"/>
              <w:rPr>
                <w:rFonts w:ascii="宋体" w:hAnsi="宋体"/>
                <w:color w:val="000000"/>
                <w:szCs w:val="21"/>
              </w:rPr>
            </w:pPr>
            <w:r>
              <w:rPr>
                <w:rFonts w:hint="eastAsia" w:ascii="宋体" w:hAnsi="宋体"/>
                <w:color w:val="000000"/>
                <w:szCs w:val="21"/>
              </w:rPr>
              <w:t>数量</w:t>
            </w:r>
          </w:p>
        </w:tc>
        <w:tc>
          <w:tcPr>
            <w:tcW w:w="4859" w:type="dxa"/>
            <w:vAlign w:val="center"/>
          </w:tcPr>
          <w:p>
            <w:pPr>
              <w:snapToGrid w:val="0"/>
              <w:jc w:val="center"/>
              <w:rPr>
                <w:rFonts w:ascii="宋体" w:hAnsi="宋体"/>
                <w:color w:val="000000"/>
                <w:szCs w:val="21"/>
              </w:rPr>
            </w:pPr>
            <w:r>
              <w:rPr>
                <w:rFonts w:hint="eastAsia" w:ascii="宋体" w:hAnsi="宋体"/>
                <w:color w:val="000000"/>
                <w:szCs w:val="21"/>
              </w:rPr>
              <w:t>资格最低要求</w:t>
            </w:r>
          </w:p>
        </w:tc>
        <w:tc>
          <w:tcPr>
            <w:tcW w:w="2844" w:type="dxa"/>
            <w:vAlign w:val="center"/>
          </w:tcPr>
          <w:p>
            <w:pPr>
              <w:snapToGrid w:val="0"/>
              <w:jc w:val="center"/>
              <w:rPr>
                <w:rFonts w:ascii="宋体" w:hAnsi="宋体"/>
                <w:szCs w:val="21"/>
              </w:rPr>
            </w:pPr>
            <w:r>
              <w:rPr>
                <w:rFonts w:hint="eastAsia" w:ascii="宋体" w:hAnsi="宋体"/>
                <w:szCs w:val="21"/>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094" w:type="dxa"/>
            <w:vAlign w:val="center"/>
          </w:tcPr>
          <w:p>
            <w:pPr>
              <w:snapToGrid w:val="0"/>
              <w:spacing w:line="320" w:lineRule="exact"/>
              <w:jc w:val="center"/>
              <w:rPr>
                <w:rFonts w:ascii="宋体" w:hAnsi="宋体"/>
                <w:szCs w:val="21"/>
              </w:rPr>
            </w:pPr>
            <w:r>
              <w:rPr>
                <w:rFonts w:hint="eastAsia" w:ascii="宋体" w:hAnsi="宋体"/>
                <w:szCs w:val="21"/>
              </w:rPr>
              <w:t>项目经理</w:t>
            </w:r>
          </w:p>
        </w:tc>
        <w:tc>
          <w:tcPr>
            <w:tcW w:w="864" w:type="dxa"/>
            <w:vAlign w:val="center"/>
          </w:tcPr>
          <w:p>
            <w:pPr>
              <w:snapToGrid w:val="0"/>
              <w:spacing w:line="320" w:lineRule="exact"/>
              <w:jc w:val="center"/>
              <w:rPr>
                <w:rFonts w:ascii="宋体" w:hAnsi="宋体"/>
                <w:szCs w:val="21"/>
              </w:rPr>
            </w:pPr>
            <w:r>
              <w:rPr>
                <w:rFonts w:hint="eastAsia" w:ascii="宋体" w:hAnsi="宋体"/>
                <w:szCs w:val="21"/>
              </w:rPr>
              <w:t>1人</w:t>
            </w:r>
          </w:p>
        </w:tc>
        <w:tc>
          <w:tcPr>
            <w:tcW w:w="4859" w:type="dxa"/>
            <w:vAlign w:val="center"/>
          </w:tcPr>
          <w:p>
            <w:pPr>
              <w:numPr>
                <w:ilvl w:val="0"/>
                <w:numId w:val="1"/>
              </w:numPr>
              <w:adjustRightInd w:val="0"/>
              <w:snapToGrid w:val="0"/>
              <w:spacing w:line="320" w:lineRule="exact"/>
              <w:rPr>
                <w:rFonts w:ascii="宋体" w:hAnsi="宋体"/>
                <w:szCs w:val="21"/>
              </w:rPr>
            </w:pPr>
            <w:r>
              <w:rPr>
                <w:rFonts w:ascii="宋体" w:hAnsi="宋体"/>
                <w:szCs w:val="21"/>
              </w:rPr>
              <w:t>投标人自有人员</w:t>
            </w:r>
            <w:r>
              <w:rPr>
                <w:rFonts w:hint="eastAsia" w:ascii="宋体" w:hAnsi="宋体"/>
                <w:szCs w:val="21"/>
              </w:rPr>
              <w:t>；</w:t>
            </w:r>
          </w:p>
          <w:p>
            <w:pPr>
              <w:numPr>
                <w:ilvl w:val="0"/>
                <w:numId w:val="1"/>
              </w:numPr>
              <w:adjustRightInd w:val="0"/>
              <w:snapToGrid w:val="0"/>
              <w:spacing w:line="320" w:lineRule="exact"/>
              <w:rPr>
                <w:rFonts w:ascii="宋体" w:hAnsi="宋体"/>
                <w:szCs w:val="21"/>
              </w:rPr>
            </w:pPr>
            <w:r>
              <w:rPr>
                <w:rFonts w:ascii="宋体" w:hAnsi="宋体"/>
                <w:szCs w:val="21"/>
              </w:rPr>
              <w:t>具有</w:t>
            </w:r>
            <w:r>
              <w:rPr>
                <w:rFonts w:hint="eastAsia" w:ascii="宋体" w:hAnsi="宋体"/>
                <w:szCs w:val="21"/>
              </w:rPr>
              <w:t>公路工程或机电工程</w:t>
            </w:r>
            <w:r>
              <w:rPr>
                <w:rFonts w:ascii="宋体" w:hAnsi="宋体"/>
                <w:szCs w:val="21"/>
              </w:rPr>
              <w:t>相关专业</w:t>
            </w:r>
            <w:r>
              <w:rPr>
                <w:rFonts w:hint="eastAsia" w:ascii="宋体" w:hAnsi="宋体"/>
                <w:szCs w:val="21"/>
              </w:rPr>
              <w:t>中</w:t>
            </w:r>
            <w:r>
              <w:rPr>
                <w:rFonts w:ascii="宋体" w:hAnsi="宋体"/>
                <w:szCs w:val="21"/>
              </w:rPr>
              <w:t>级技术职称</w:t>
            </w:r>
            <w:r>
              <w:rPr>
                <w:rFonts w:hint="eastAsia" w:ascii="宋体" w:hAnsi="宋体"/>
                <w:szCs w:val="21"/>
              </w:rPr>
              <w:t>；</w:t>
            </w:r>
          </w:p>
          <w:p>
            <w:pPr>
              <w:numPr>
                <w:ilvl w:val="0"/>
                <w:numId w:val="1"/>
              </w:numPr>
              <w:adjustRightInd w:val="0"/>
              <w:snapToGrid w:val="0"/>
              <w:spacing w:line="320" w:lineRule="exact"/>
              <w:rPr>
                <w:rFonts w:ascii="宋体" w:hAnsi="宋体"/>
                <w:szCs w:val="21"/>
              </w:rPr>
            </w:pPr>
            <w:r>
              <w:rPr>
                <w:rFonts w:ascii="宋体" w:hAnsi="宋体"/>
                <w:szCs w:val="21"/>
              </w:rPr>
              <w:t>持有建设行政主管部门颁发的</w:t>
            </w:r>
            <w:r>
              <w:rPr>
                <w:rFonts w:hint="eastAsia" w:ascii="宋体" w:hAnsi="宋体"/>
                <w:szCs w:val="21"/>
              </w:rPr>
              <w:t>有效的</w:t>
            </w:r>
            <w:r>
              <w:rPr>
                <w:rFonts w:ascii="宋体" w:hAnsi="宋体"/>
                <w:szCs w:val="21"/>
              </w:rPr>
              <w:t>“</w:t>
            </w:r>
            <w:r>
              <w:rPr>
                <w:rFonts w:hint="eastAsia" w:ascii="宋体" w:hAnsi="宋体"/>
                <w:szCs w:val="21"/>
              </w:rPr>
              <w:t>机电工程</w:t>
            </w:r>
            <w:r>
              <w:rPr>
                <w:rFonts w:ascii="宋体" w:hAnsi="宋体"/>
                <w:szCs w:val="21"/>
              </w:rPr>
              <w:t>”专业《</w:t>
            </w:r>
            <w:r>
              <w:rPr>
                <w:rFonts w:hint="eastAsia" w:ascii="宋体" w:hAnsi="宋体"/>
                <w:szCs w:val="21"/>
              </w:rPr>
              <w:t>一</w:t>
            </w:r>
            <w:r>
              <w:rPr>
                <w:rFonts w:ascii="宋体" w:hAnsi="宋体"/>
                <w:szCs w:val="21"/>
              </w:rPr>
              <w:t>级建造师注册证书》</w:t>
            </w:r>
            <w:r>
              <w:rPr>
                <w:rFonts w:hint="eastAsia" w:ascii="宋体" w:hAnsi="宋体"/>
                <w:bCs/>
                <w:szCs w:val="21"/>
              </w:rPr>
              <w:t>，且现注册单位</w:t>
            </w:r>
            <w:r>
              <w:rPr>
                <w:rFonts w:hint="eastAsia" w:ascii="宋体" w:hAnsi="宋体"/>
                <w:szCs w:val="21"/>
              </w:rPr>
              <w:t>为投标人；</w:t>
            </w:r>
          </w:p>
          <w:p>
            <w:pPr>
              <w:numPr>
                <w:ilvl w:val="0"/>
                <w:numId w:val="1"/>
              </w:numPr>
              <w:adjustRightInd w:val="0"/>
              <w:snapToGrid w:val="0"/>
              <w:spacing w:line="320" w:lineRule="exact"/>
              <w:rPr>
                <w:rFonts w:ascii="宋体" w:hAnsi="宋体"/>
                <w:szCs w:val="21"/>
              </w:rPr>
            </w:pPr>
            <w:r>
              <w:rPr>
                <w:rFonts w:ascii="宋体" w:hAnsi="宋体"/>
                <w:szCs w:val="21"/>
              </w:rPr>
              <w:t>具有</w:t>
            </w:r>
            <w:r>
              <w:rPr>
                <w:rFonts w:hint="eastAsia" w:ascii="宋体" w:hAnsi="宋体"/>
                <w:szCs w:val="21"/>
              </w:rPr>
              <w:t>交通运输主管部门</w:t>
            </w:r>
            <w:r>
              <w:rPr>
                <w:rFonts w:ascii="宋体" w:hAnsi="宋体"/>
                <w:szCs w:val="21"/>
              </w:rPr>
              <w:t>颁发的有效的</w:t>
            </w:r>
            <w:r>
              <w:rPr>
                <w:rFonts w:hint="eastAsia" w:ascii="宋体" w:hAnsi="宋体"/>
                <w:szCs w:val="21"/>
              </w:rPr>
              <w:t>B类</w:t>
            </w:r>
            <w:r>
              <w:rPr>
                <w:rFonts w:ascii="宋体" w:hAnsi="宋体"/>
                <w:szCs w:val="21"/>
              </w:rPr>
              <w:t>安全生产考核合格证书</w:t>
            </w:r>
            <w:r>
              <w:rPr>
                <w:rFonts w:hint="eastAsia" w:ascii="宋体" w:hAnsi="宋体"/>
                <w:szCs w:val="21"/>
              </w:rPr>
              <w:t>。</w:t>
            </w:r>
          </w:p>
        </w:tc>
        <w:tc>
          <w:tcPr>
            <w:tcW w:w="2844" w:type="dxa"/>
            <w:vMerge w:val="restart"/>
            <w:vAlign w:val="center"/>
          </w:tcPr>
          <w:p>
            <w:pPr>
              <w:adjustRightInd w:val="0"/>
              <w:snapToGrid w:val="0"/>
              <w:rPr>
                <w:rFonts w:ascii="宋体" w:hAnsi="宋体"/>
                <w:szCs w:val="21"/>
              </w:rPr>
            </w:pPr>
            <w:r>
              <w:rPr>
                <w:rFonts w:hint="eastAsia" w:ascii="宋体" w:hAnsi="宋体"/>
                <w:szCs w:val="21"/>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2" w:hRule="atLeast"/>
          <w:jc w:val="center"/>
        </w:trPr>
        <w:tc>
          <w:tcPr>
            <w:tcW w:w="1094" w:type="dxa"/>
            <w:vAlign w:val="center"/>
          </w:tcPr>
          <w:p>
            <w:pPr>
              <w:snapToGrid w:val="0"/>
              <w:spacing w:line="320" w:lineRule="exact"/>
              <w:jc w:val="center"/>
              <w:rPr>
                <w:rFonts w:ascii="宋体" w:hAnsi="宋体"/>
                <w:szCs w:val="21"/>
              </w:rPr>
            </w:pPr>
            <w:r>
              <w:rPr>
                <w:rFonts w:hint="eastAsia" w:ascii="宋体" w:hAnsi="宋体"/>
                <w:szCs w:val="21"/>
              </w:rPr>
              <w:t>项目总工</w:t>
            </w:r>
          </w:p>
        </w:tc>
        <w:tc>
          <w:tcPr>
            <w:tcW w:w="864" w:type="dxa"/>
            <w:vAlign w:val="center"/>
          </w:tcPr>
          <w:p>
            <w:pPr>
              <w:snapToGrid w:val="0"/>
              <w:spacing w:line="320" w:lineRule="exact"/>
              <w:jc w:val="center"/>
              <w:rPr>
                <w:rFonts w:ascii="宋体" w:hAnsi="宋体"/>
                <w:szCs w:val="21"/>
              </w:rPr>
            </w:pPr>
            <w:r>
              <w:rPr>
                <w:rFonts w:hint="eastAsia" w:ascii="宋体" w:hAnsi="宋体"/>
                <w:szCs w:val="21"/>
              </w:rPr>
              <w:t>1人</w:t>
            </w:r>
          </w:p>
        </w:tc>
        <w:tc>
          <w:tcPr>
            <w:tcW w:w="4859" w:type="dxa"/>
            <w:vAlign w:val="center"/>
          </w:tcPr>
          <w:p>
            <w:pPr>
              <w:numPr>
                <w:ilvl w:val="0"/>
                <w:numId w:val="2"/>
              </w:numPr>
              <w:adjustRightInd w:val="0"/>
              <w:snapToGrid w:val="0"/>
              <w:spacing w:line="320" w:lineRule="exact"/>
              <w:rPr>
                <w:rFonts w:ascii="宋体" w:hAnsi="宋体"/>
                <w:szCs w:val="21"/>
              </w:rPr>
            </w:pPr>
            <w:r>
              <w:rPr>
                <w:rFonts w:ascii="宋体" w:hAnsi="宋体"/>
                <w:szCs w:val="21"/>
              </w:rPr>
              <w:t>投标人自有人员</w:t>
            </w:r>
            <w:r>
              <w:rPr>
                <w:rFonts w:hint="eastAsia" w:ascii="宋体" w:hAnsi="宋体"/>
                <w:szCs w:val="21"/>
              </w:rPr>
              <w:t>；</w:t>
            </w:r>
          </w:p>
          <w:p>
            <w:pPr>
              <w:numPr>
                <w:ilvl w:val="0"/>
                <w:numId w:val="2"/>
              </w:numPr>
              <w:adjustRightInd w:val="0"/>
              <w:snapToGrid w:val="0"/>
              <w:spacing w:line="320" w:lineRule="exact"/>
              <w:rPr>
                <w:rFonts w:ascii="宋体" w:hAnsi="宋体"/>
                <w:szCs w:val="21"/>
              </w:rPr>
            </w:pPr>
            <w:r>
              <w:rPr>
                <w:rFonts w:ascii="宋体" w:hAnsi="宋体"/>
                <w:szCs w:val="21"/>
              </w:rPr>
              <w:t>具有</w:t>
            </w:r>
            <w:r>
              <w:rPr>
                <w:rFonts w:hint="eastAsia" w:ascii="宋体" w:hAnsi="宋体"/>
                <w:szCs w:val="21"/>
              </w:rPr>
              <w:t>公路工程或机电工程</w:t>
            </w:r>
            <w:r>
              <w:rPr>
                <w:rFonts w:ascii="宋体" w:hAnsi="宋体"/>
                <w:szCs w:val="21"/>
              </w:rPr>
              <w:t>相关专业高级技术职称</w:t>
            </w:r>
            <w:r>
              <w:rPr>
                <w:rFonts w:hint="eastAsia" w:ascii="宋体" w:hAnsi="宋体"/>
                <w:szCs w:val="21"/>
              </w:rPr>
              <w:t>；</w:t>
            </w:r>
          </w:p>
          <w:p>
            <w:pPr>
              <w:numPr>
                <w:ilvl w:val="0"/>
                <w:numId w:val="2"/>
              </w:numPr>
              <w:adjustRightInd w:val="0"/>
              <w:snapToGrid w:val="0"/>
              <w:spacing w:line="320" w:lineRule="exact"/>
              <w:rPr>
                <w:rFonts w:ascii="宋体" w:hAnsi="宋体"/>
                <w:szCs w:val="21"/>
              </w:rPr>
            </w:pPr>
            <w:r>
              <w:rPr>
                <w:rFonts w:ascii="宋体" w:hAnsi="宋体"/>
                <w:szCs w:val="21"/>
              </w:rPr>
              <w:t>具有</w:t>
            </w:r>
            <w:r>
              <w:rPr>
                <w:rFonts w:hint="eastAsia" w:ascii="宋体" w:hAnsi="宋体"/>
                <w:szCs w:val="21"/>
              </w:rPr>
              <w:t>交通运输主管部门</w:t>
            </w:r>
            <w:r>
              <w:rPr>
                <w:rFonts w:ascii="宋体" w:hAnsi="宋体"/>
                <w:szCs w:val="21"/>
              </w:rPr>
              <w:t>颁发的有效的</w:t>
            </w:r>
            <w:r>
              <w:rPr>
                <w:rFonts w:hint="eastAsia" w:ascii="宋体" w:hAnsi="宋体"/>
                <w:szCs w:val="21"/>
              </w:rPr>
              <w:t>B类</w:t>
            </w:r>
            <w:r>
              <w:rPr>
                <w:rFonts w:ascii="宋体" w:hAnsi="宋体"/>
                <w:szCs w:val="21"/>
              </w:rPr>
              <w:t>安全生产考核合格证书</w:t>
            </w:r>
            <w:r>
              <w:rPr>
                <w:rFonts w:hint="eastAsia" w:ascii="宋体" w:hAnsi="宋体"/>
                <w:szCs w:val="21"/>
              </w:rPr>
              <w:t>。</w:t>
            </w:r>
          </w:p>
        </w:tc>
        <w:tc>
          <w:tcPr>
            <w:tcW w:w="2844" w:type="dxa"/>
            <w:vMerge w:val="continue"/>
            <w:vAlign w:val="center"/>
          </w:tcPr>
          <w:p>
            <w:pPr>
              <w:adjustRightInd w:val="0"/>
              <w:snapToGrid w:val="0"/>
              <w:rPr>
                <w:rFonts w:ascii="宋体" w:hAnsi="宋体"/>
                <w:szCs w:val="21"/>
              </w:rPr>
            </w:pPr>
          </w:p>
        </w:tc>
      </w:tr>
    </w:tbl>
    <w:p>
      <w:pPr>
        <w:ind w:firstLine="420" w:firstLineChars="200"/>
        <w:rPr>
          <w:rFonts w:ascii="黑体" w:hAnsi="黑体" w:eastAsia="黑体"/>
          <w:sz w:val="28"/>
          <w:szCs w:val="28"/>
        </w:rPr>
      </w:pPr>
      <w:r>
        <w:rPr>
          <w:rFonts w:hint="eastAsia" w:ascii="楷体" w:hAnsi="楷体" w:eastAsia="楷体"/>
          <w:szCs w:val="21"/>
        </w:rPr>
        <w:t>注：“投标人自有人员”指投标人为其申报社会保险登记，并为其缴纳社会保险费的人员。如果投标人属事业法人单位，则由投标人的上级行政主管部门出具拟委任的项目经理和项目总工是投标人单位职工的有效书面证明材料，书面证明材料必须加盖上级行政主管部门单位章或人事专用章，不得使用电子制版印章。</w:t>
      </w:r>
    </w:p>
    <w:p>
      <w:pPr>
        <w:rPr>
          <w:rFonts w:ascii="黑体" w:hAnsi="黑体" w:eastAsia="黑体"/>
          <w:sz w:val="28"/>
          <w:szCs w:val="28"/>
        </w:rPr>
      </w:pPr>
      <w:r>
        <w:rPr>
          <w:rFonts w:hint="eastAsia" w:ascii="黑体" w:hAnsi="黑体" w:eastAsia="黑体"/>
          <w:sz w:val="28"/>
          <w:szCs w:val="28"/>
        </w:rPr>
        <w:t>四、评标办法</w:t>
      </w:r>
    </w:p>
    <w:p>
      <w:pPr>
        <w:adjustRightInd w:val="0"/>
        <w:snapToGrid w:val="0"/>
        <w:spacing w:before="156" w:beforeLines="50" w:after="156" w:afterLines="50"/>
        <w:ind w:firstLine="480" w:firstLineChars="200"/>
        <w:rPr>
          <w:rFonts w:ascii="宋体" w:hAnsi="宋体"/>
          <w:szCs w:val="21"/>
        </w:rPr>
      </w:pPr>
      <w:r>
        <w:rPr>
          <w:rFonts w:ascii="宋体" w:hAnsi="宋体"/>
          <w:sz w:val="24"/>
        </w:rPr>
        <w:t>本次评标采用综合评</w:t>
      </w:r>
      <w:r>
        <w:rPr>
          <w:rFonts w:hint="eastAsia" w:ascii="宋体" w:hAnsi="宋体"/>
          <w:sz w:val="24"/>
        </w:rPr>
        <w:t>分</w:t>
      </w:r>
      <w:r>
        <w:rPr>
          <w:rFonts w:ascii="宋体" w:hAnsi="宋体"/>
          <w:sz w:val="24"/>
        </w:rPr>
        <w:t>法。评标委员会对满足招标文件实质性要求的投标文件，按照本章规定的评分标准进行打分，并按得分由高到低顺序推荐中标候选人。</w:t>
      </w:r>
    </w:p>
    <w:p>
      <w:pPr>
        <w:keepNext/>
        <w:keepLines/>
        <w:adjustRightInd w:val="0"/>
        <w:snapToGrid w:val="0"/>
        <w:outlineLvl w:val="2"/>
        <w:rPr>
          <w:rFonts w:ascii="宋体" w:hAnsi="宋体"/>
          <w:bCs/>
          <w:kern w:val="0"/>
          <w:sz w:val="32"/>
          <w:szCs w:val="32"/>
        </w:rPr>
      </w:pPr>
      <w:bookmarkStart w:id="8" w:name="_Toc6295"/>
      <w:r>
        <w:rPr>
          <w:rFonts w:ascii="黑体" w:hAnsi="黑体" w:eastAsia="黑体"/>
          <w:bCs/>
          <w:kern w:val="0"/>
          <w:sz w:val="24"/>
        </w:rPr>
        <w:t>评标办法前附表</w:t>
      </w:r>
      <w:r>
        <w:rPr>
          <w:rFonts w:ascii="宋体" w:hAnsi="宋体"/>
          <w:bCs/>
          <w:kern w:val="0"/>
          <w:sz w:val="30"/>
          <w:szCs w:val="30"/>
          <w:vertAlign w:val="superscript"/>
        </w:rPr>
        <w:footnoteReference w:id="0"/>
      </w:r>
      <w:bookmarkEnd w:id="8"/>
    </w:p>
    <w:tbl>
      <w:tblPr>
        <w:tblStyle w:val="14"/>
        <w:tblW w:w="10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70" w:hRule="atLeast"/>
          <w:tblHeader/>
          <w:jc w:val="center"/>
        </w:trPr>
        <w:tc>
          <w:tcPr>
            <w:tcW w:w="2245" w:type="dxa"/>
            <w:gridSpan w:val="2"/>
            <w:shd w:val="clear" w:color="auto" w:fill="auto"/>
            <w:vAlign w:val="center"/>
          </w:tcPr>
          <w:p>
            <w:pPr>
              <w:autoSpaceDE w:val="0"/>
              <w:autoSpaceDN w:val="0"/>
              <w:adjustRightInd w:val="0"/>
              <w:snapToGrid w:val="0"/>
              <w:ind w:firstLine="210" w:firstLineChars="100"/>
              <w:jc w:val="center"/>
              <w:rPr>
                <w:rFonts w:ascii="宋体" w:hAnsi="宋体"/>
                <w:szCs w:val="21"/>
              </w:rPr>
            </w:pPr>
            <w:r>
              <w:rPr>
                <w:rFonts w:ascii="宋体" w:hAnsi="宋体"/>
                <w:szCs w:val="21"/>
              </w:rPr>
              <w:t>条款号</w:t>
            </w:r>
          </w:p>
        </w:tc>
        <w:tc>
          <w:tcPr>
            <w:tcW w:w="7816" w:type="dxa"/>
            <w:shd w:val="clear" w:color="auto" w:fill="auto"/>
            <w:vAlign w:val="center"/>
          </w:tcPr>
          <w:p>
            <w:pPr>
              <w:autoSpaceDE w:val="0"/>
              <w:autoSpaceDN w:val="0"/>
              <w:adjustRightInd w:val="0"/>
              <w:snapToGrid w:val="0"/>
              <w:ind w:firstLine="210" w:firstLineChars="100"/>
              <w:jc w:val="center"/>
              <w:rPr>
                <w:rFonts w:ascii="宋体" w:hAnsi="宋体"/>
                <w:szCs w:val="21"/>
              </w:rPr>
            </w:pPr>
            <w:r>
              <w:rPr>
                <w:rFonts w:ascii="宋体" w:hAnsi="宋体"/>
                <w:szCs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361" w:hRule="atLeast"/>
          <w:jc w:val="center"/>
        </w:trPr>
        <w:tc>
          <w:tcPr>
            <w:tcW w:w="856" w:type="dxa"/>
            <w:shd w:val="clear" w:color="auto" w:fill="auto"/>
            <w:vAlign w:val="center"/>
          </w:tcPr>
          <w:p>
            <w:pPr>
              <w:autoSpaceDE w:val="0"/>
              <w:autoSpaceDN w:val="0"/>
              <w:adjustRightInd w:val="0"/>
              <w:snapToGrid w:val="0"/>
              <w:spacing w:line="300" w:lineRule="auto"/>
              <w:ind w:firstLine="420" w:firstLineChars="200"/>
              <w:rPr>
                <w:rFonts w:ascii="宋体" w:hAnsi="宋体"/>
                <w:szCs w:val="21"/>
              </w:rPr>
            </w:pPr>
            <w:r>
              <w:rPr>
                <w:rFonts w:hint="eastAsia" w:ascii="宋体" w:hAnsi="宋体"/>
                <w:szCs w:val="21"/>
              </w:rPr>
              <w:t>1</w:t>
            </w:r>
          </w:p>
        </w:tc>
        <w:tc>
          <w:tcPr>
            <w:tcW w:w="1389" w:type="dxa"/>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评标方法</w:t>
            </w:r>
          </w:p>
        </w:tc>
        <w:tc>
          <w:tcPr>
            <w:tcW w:w="7816" w:type="dxa"/>
            <w:shd w:val="clear" w:color="auto" w:fill="auto"/>
            <w:vAlign w:val="center"/>
          </w:tcPr>
          <w:p>
            <w:pPr>
              <w:adjustRightInd w:val="0"/>
              <w:snapToGrid w:val="0"/>
              <w:spacing w:before="31" w:beforeLines="10" w:after="31" w:afterLines="10" w:line="320" w:lineRule="exact"/>
              <w:ind w:firstLine="420" w:firstLineChars="200"/>
              <w:rPr>
                <w:rFonts w:ascii="宋体" w:hAnsi="宋体"/>
                <w:szCs w:val="21"/>
              </w:rPr>
            </w:pPr>
            <w:r>
              <w:rPr>
                <w:rFonts w:hint="eastAsia" w:ascii="宋体" w:hAnsi="宋体"/>
                <w:szCs w:val="21"/>
              </w:rPr>
              <w:t>综合评分相等时，评标委员会依次按照以下优先顺序</w:t>
            </w:r>
            <w:r>
              <w:rPr>
                <w:szCs w:val="21"/>
              </w:rPr>
              <w:t>推荐中标候选人</w:t>
            </w:r>
            <w:r>
              <w:rPr>
                <w:rFonts w:hint="eastAsia" w:ascii="宋体" w:hAnsi="宋体"/>
                <w:szCs w:val="21"/>
              </w:rPr>
              <w:t>：</w:t>
            </w:r>
          </w:p>
          <w:p>
            <w:pPr>
              <w:adjustRightInd w:val="0"/>
              <w:snapToGrid w:val="0"/>
              <w:spacing w:before="31" w:beforeLines="10" w:after="31" w:afterLines="10" w:line="320" w:lineRule="exact"/>
              <w:ind w:firstLine="420" w:firstLineChars="200"/>
              <w:rPr>
                <w:rFonts w:ascii="宋体" w:hAnsi="宋体"/>
                <w:szCs w:val="21"/>
              </w:rPr>
            </w:pPr>
            <w:r>
              <w:rPr>
                <w:rFonts w:hint="eastAsia" w:ascii="宋体" w:hAnsi="宋体"/>
                <w:szCs w:val="21"/>
              </w:rPr>
              <w:t>（1）评</w:t>
            </w:r>
            <w:r>
              <w:rPr>
                <w:rFonts w:ascii="宋体" w:hAnsi="宋体"/>
                <w:szCs w:val="21"/>
              </w:rPr>
              <w:t>标价</w:t>
            </w:r>
            <w:r>
              <w:rPr>
                <w:rFonts w:hint="eastAsia" w:ascii="宋体" w:hAnsi="宋体"/>
                <w:szCs w:val="21"/>
              </w:rPr>
              <w:t>低</w:t>
            </w:r>
            <w:r>
              <w:rPr>
                <w:rFonts w:ascii="宋体" w:hAnsi="宋体"/>
                <w:szCs w:val="21"/>
              </w:rPr>
              <w:t>的</w:t>
            </w:r>
            <w:r>
              <w:rPr>
                <w:rFonts w:hint="eastAsia" w:ascii="宋体" w:hAnsi="宋体"/>
                <w:szCs w:val="21"/>
              </w:rPr>
              <w:t>投标人</w:t>
            </w:r>
            <w:r>
              <w:rPr>
                <w:rFonts w:ascii="宋体" w:hAnsi="宋体"/>
                <w:szCs w:val="21"/>
              </w:rPr>
              <w:t>优先；</w:t>
            </w:r>
          </w:p>
          <w:p>
            <w:pPr>
              <w:adjustRightInd w:val="0"/>
              <w:snapToGrid w:val="0"/>
              <w:spacing w:before="31" w:beforeLines="10" w:after="31" w:afterLines="10" w:line="320" w:lineRule="exact"/>
              <w:ind w:left="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）本项目履约信誉得分高的投标人优先；</w:t>
            </w:r>
          </w:p>
          <w:p>
            <w:pPr>
              <w:adjustRightInd w:val="0"/>
              <w:snapToGrid w:val="0"/>
              <w:spacing w:before="31" w:beforeLines="10" w:after="31" w:afterLines="10" w:line="320" w:lineRule="exact"/>
              <w:ind w:left="420"/>
              <w:rPr>
                <w:rFonts w:ascii="宋体" w:hAnsi="宋体"/>
                <w:szCs w:val="21"/>
              </w:rPr>
            </w:pPr>
            <w:r>
              <w:rPr>
                <w:rFonts w:hint="eastAsia" w:ascii="宋体" w:hAnsi="宋体"/>
                <w:szCs w:val="21"/>
              </w:rPr>
              <w:t>（3）</w:t>
            </w:r>
            <w:r>
              <w:rPr>
                <w:rFonts w:hint="eastAsia"/>
              </w:rPr>
              <w:t>施工组织设计得分高的投标人优先</w:t>
            </w:r>
            <w:r>
              <w:rPr>
                <w:rFonts w:hint="eastAsia" w:ascii="宋体" w:hAnsi="宋体"/>
                <w:szCs w:val="21"/>
              </w:rPr>
              <w:t>；</w:t>
            </w:r>
          </w:p>
          <w:p>
            <w:pPr>
              <w:adjustRightInd w:val="0"/>
              <w:snapToGrid w:val="0"/>
              <w:spacing w:before="31" w:beforeLines="10" w:after="31" w:afterLines="10" w:line="320" w:lineRule="exact"/>
              <w:ind w:left="420"/>
              <w:rPr>
                <w:rFonts w:ascii="宋体" w:hAnsi="宋体"/>
                <w:szCs w:val="21"/>
              </w:rPr>
            </w:pPr>
            <w:r>
              <w:rPr>
                <w:rFonts w:hint="eastAsia" w:ascii="宋体" w:hAnsi="宋体"/>
                <w:szCs w:val="21"/>
              </w:rPr>
              <w:t>（4）企业业绩得分高的投标人优先；</w:t>
            </w:r>
          </w:p>
          <w:p>
            <w:pPr>
              <w:adjustRightInd w:val="0"/>
              <w:snapToGrid w:val="0"/>
              <w:spacing w:before="31" w:beforeLines="10" w:after="31" w:afterLines="10" w:line="320" w:lineRule="exact"/>
              <w:ind w:left="420"/>
              <w:rPr>
                <w:rFonts w:ascii="宋体" w:hAnsi="宋体"/>
                <w:szCs w:val="21"/>
              </w:rPr>
            </w:pPr>
            <w:r>
              <w:rPr>
                <w:rFonts w:hint="eastAsia" w:ascii="宋体" w:hAnsi="宋体"/>
                <w:szCs w:val="21"/>
              </w:rPr>
              <w:t>若以上均相等，则由评标委员会表决确定其排序先后。</w:t>
            </w:r>
          </w:p>
        </w:tc>
      </w:tr>
    </w:tbl>
    <w:p/>
    <w:tbl>
      <w:tblPr>
        <w:tblStyle w:val="14"/>
        <w:tblW w:w="10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385" w:hRule="atLeast"/>
          <w:jc w:val="center"/>
        </w:trPr>
        <w:tc>
          <w:tcPr>
            <w:tcW w:w="856" w:type="dxa"/>
            <w:shd w:val="clear" w:color="auto" w:fill="auto"/>
            <w:vAlign w:val="center"/>
          </w:tcPr>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2.1.1</w:t>
            </w:r>
          </w:p>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2.1.3</w:t>
            </w:r>
          </w:p>
        </w:tc>
        <w:tc>
          <w:tcPr>
            <w:tcW w:w="1389" w:type="dxa"/>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形式评审与</w:t>
            </w:r>
            <w:r>
              <w:rPr>
                <w:rFonts w:hint="eastAsia" w:ascii="宋体" w:hAnsi="宋体"/>
                <w:szCs w:val="21"/>
              </w:rPr>
              <w:br w:type="textWrapping"/>
            </w:r>
            <w:r>
              <w:rPr>
                <w:rFonts w:hint="eastAsia" w:ascii="宋体" w:hAnsi="宋体"/>
                <w:szCs w:val="21"/>
              </w:rPr>
              <w:t>响应性评审标准</w:t>
            </w:r>
          </w:p>
        </w:tc>
        <w:tc>
          <w:tcPr>
            <w:tcW w:w="7815" w:type="dxa"/>
            <w:shd w:val="clear" w:color="auto" w:fill="auto"/>
            <w:vAlign w:val="center"/>
          </w:tcPr>
          <w:p>
            <w:pPr>
              <w:adjustRightInd w:val="0"/>
              <w:snapToGrid w:val="0"/>
              <w:spacing w:before="31" w:beforeLines="10" w:after="31" w:afterLines="10" w:line="320" w:lineRule="exact"/>
              <w:rPr>
                <w:rFonts w:ascii="宋体" w:hAnsi="宋体"/>
                <w:szCs w:val="21"/>
              </w:rPr>
            </w:pPr>
            <w:r>
              <w:rPr>
                <w:rFonts w:hint="eastAsia" w:ascii="宋体" w:hAnsi="宋体"/>
                <w:szCs w:val="21"/>
              </w:rPr>
              <w:t>第一个信封（商务及技术文件）评审标准：</w:t>
            </w:r>
          </w:p>
          <w:p>
            <w:pPr>
              <w:adjustRightInd w:val="0"/>
              <w:snapToGrid w:val="0"/>
              <w:spacing w:before="31" w:beforeLines="10" w:after="31" w:afterLines="10" w:line="320" w:lineRule="exact"/>
              <w:ind w:firstLine="420" w:firstLineChars="200"/>
              <w:rPr>
                <w:rFonts w:ascii="宋体" w:hAnsi="宋体"/>
                <w:szCs w:val="21"/>
              </w:rPr>
            </w:pPr>
            <w:r>
              <w:rPr>
                <w:rFonts w:hint="eastAsia" w:ascii="宋体" w:hAnsi="宋体"/>
                <w:szCs w:val="21"/>
              </w:rPr>
              <w:t>（1）投标文件按照招标文件规定的格式、内容填写，字迹清晰可辨，且提供了满足招标文件要求的证明材料：</w:t>
            </w:r>
          </w:p>
          <w:p>
            <w:pPr>
              <w:adjustRightInd w:val="0"/>
              <w:snapToGrid w:val="0"/>
              <w:spacing w:before="31" w:beforeLines="10" w:after="31" w:afterLines="10" w:line="320" w:lineRule="exact"/>
              <w:ind w:firstLine="630" w:firstLineChars="300"/>
              <w:rPr>
                <w:rFonts w:ascii="宋体" w:hAnsi="宋体"/>
                <w:szCs w:val="21"/>
              </w:rPr>
            </w:pPr>
            <w:r>
              <w:rPr>
                <w:rFonts w:hint="eastAsia" w:ascii="宋体" w:hAnsi="宋体"/>
                <w:szCs w:val="21"/>
              </w:rPr>
              <w:t>a.</w:t>
            </w:r>
            <w:r>
              <w:rPr>
                <w:rFonts w:ascii="宋体" w:hAnsi="宋体"/>
                <w:szCs w:val="21"/>
              </w:rPr>
              <w:t>投标函按招标文件规定填报了项目名称、标段号、补遗书编号（如 有)、工期、工程质量要求及安全目标；</w:t>
            </w:r>
          </w:p>
          <w:p>
            <w:pPr>
              <w:adjustRightInd w:val="0"/>
              <w:snapToGrid w:val="0"/>
              <w:spacing w:before="31" w:beforeLines="10" w:after="31" w:afterLines="10" w:line="320" w:lineRule="exact"/>
              <w:ind w:firstLine="630" w:firstLineChars="300"/>
              <w:rPr>
                <w:rFonts w:ascii="宋体" w:hAnsi="宋体"/>
                <w:szCs w:val="21"/>
              </w:rPr>
            </w:pPr>
            <w:r>
              <w:rPr>
                <w:rFonts w:hint="eastAsia" w:ascii="宋体" w:hAnsi="宋体"/>
                <w:szCs w:val="21"/>
              </w:rPr>
              <w:t>b.投标函附录的所有数据均符合招标文件规定；</w:t>
            </w:r>
          </w:p>
          <w:p>
            <w:pPr>
              <w:adjustRightInd w:val="0"/>
              <w:snapToGrid w:val="0"/>
              <w:spacing w:before="31" w:beforeLines="10" w:after="31" w:afterLines="10" w:line="320" w:lineRule="exact"/>
              <w:ind w:firstLine="630" w:firstLineChars="300"/>
              <w:rPr>
                <w:rFonts w:ascii="宋体" w:hAnsi="宋体"/>
                <w:szCs w:val="21"/>
              </w:rPr>
            </w:pPr>
            <w:r>
              <w:rPr>
                <w:rFonts w:hint="eastAsia" w:ascii="宋体" w:hAnsi="宋体"/>
                <w:szCs w:val="21"/>
              </w:rPr>
              <w:t>c.投标文件组成齐全完整，内容均按规定填写。</w:t>
            </w:r>
          </w:p>
          <w:p>
            <w:pPr>
              <w:adjustRightInd w:val="0"/>
              <w:snapToGrid w:val="0"/>
              <w:spacing w:before="31" w:beforeLines="10" w:after="31" w:afterLines="10" w:line="320" w:lineRule="exact"/>
              <w:ind w:firstLine="420" w:firstLineChars="200"/>
              <w:rPr>
                <w:rFonts w:ascii="宋体" w:hAnsi="宋体"/>
                <w:szCs w:val="21"/>
              </w:rPr>
            </w:pPr>
            <w:r>
              <w:rPr>
                <w:rFonts w:hint="eastAsia" w:ascii="宋体" w:hAnsi="宋体"/>
                <w:szCs w:val="21"/>
              </w:rPr>
              <w:t>（2）投标文件上法定代表人或其授权代理人的签字、投标人的单位章盖章齐全，符合招标文件规定。</w:t>
            </w:r>
          </w:p>
          <w:p>
            <w:pPr>
              <w:adjustRightInd w:val="0"/>
              <w:snapToGrid w:val="0"/>
              <w:spacing w:before="31" w:beforeLines="10" w:after="31" w:afterLines="10" w:line="320" w:lineRule="exact"/>
              <w:ind w:firstLine="420" w:firstLineChars="200"/>
              <w:rPr>
                <w:rFonts w:ascii="宋体" w:hAnsi="宋体"/>
                <w:szCs w:val="21"/>
              </w:rPr>
            </w:pPr>
            <w:r>
              <w:rPr>
                <w:rFonts w:hint="eastAsia" w:ascii="宋体" w:hAnsi="宋体"/>
                <w:szCs w:val="21"/>
              </w:rPr>
              <w:t>（3）投标人按照招标文件的规定提供了投标保证金：</w:t>
            </w:r>
          </w:p>
          <w:p>
            <w:pPr>
              <w:adjustRightInd w:val="0"/>
              <w:snapToGrid w:val="0"/>
              <w:spacing w:before="31" w:beforeLines="10" w:after="31" w:afterLines="10" w:line="320" w:lineRule="exact"/>
              <w:ind w:firstLine="630" w:firstLineChars="300"/>
              <w:rPr>
                <w:rFonts w:ascii="宋体" w:hAnsi="宋体"/>
                <w:szCs w:val="21"/>
              </w:rPr>
            </w:pPr>
            <w:r>
              <w:rPr>
                <w:rFonts w:hint="eastAsia" w:ascii="宋体" w:hAnsi="宋体"/>
                <w:szCs w:val="21"/>
              </w:rPr>
              <w:t>a.投标保证金金额符合招标文件规定的金额，且投标保证金有效期不少于投标有效期；</w:t>
            </w:r>
          </w:p>
          <w:p>
            <w:pPr>
              <w:adjustRightInd w:val="0"/>
              <w:snapToGrid w:val="0"/>
              <w:spacing w:before="31" w:beforeLines="10" w:after="31" w:afterLines="10" w:line="320" w:lineRule="exact"/>
              <w:ind w:firstLine="630" w:firstLineChars="300"/>
              <w:rPr>
                <w:rFonts w:ascii="宋体" w:hAnsi="宋体"/>
                <w:szCs w:val="21"/>
              </w:rPr>
            </w:pPr>
            <w:r>
              <w:rPr>
                <w:rFonts w:hint="eastAsia" w:ascii="宋体" w:hAnsi="宋体"/>
                <w:szCs w:val="21"/>
              </w:rPr>
              <w:t>b.</w:t>
            </w:r>
            <w:r>
              <w:rPr>
                <w:rFonts w:ascii="宋体" w:hAnsi="宋体"/>
                <w:szCs w:val="21"/>
              </w:rPr>
              <w:t>若投标保证金采用现金或支票形式提交，投标人应在递交投标</w:t>
            </w:r>
            <w:r>
              <w:rPr>
                <w:rFonts w:hint="eastAsia" w:ascii="宋体" w:hAnsi="宋体"/>
                <w:szCs w:val="21"/>
              </w:rPr>
              <w:t>文件</w:t>
            </w:r>
            <w:r>
              <w:rPr>
                <w:rFonts w:ascii="宋体" w:hAnsi="宋体"/>
                <w:szCs w:val="21"/>
              </w:rPr>
              <w:t>截止时间之前，将投标保证金由投标人的基本账户</w:t>
            </w:r>
            <w:r>
              <w:rPr>
                <w:rFonts w:hint="eastAsia" w:ascii="宋体" w:hAnsi="宋体"/>
                <w:szCs w:val="21"/>
              </w:rPr>
              <w:t>一次性</w:t>
            </w:r>
            <w:r>
              <w:rPr>
                <w:rFonts w:ascii="宋体" w:hAnsi="宋体"/>
                <w:szCs w:val="21"/>
              </w:rPr>
              <w:t>转入招标人指定账户；</w:t>
            </w:r>
          </w:p>
          <w:p>
            <w:pPr>
              <w:adjustRightInd w:val="0"/>
              <w:snapToGrid w:val="0"/>
              <w:spacing w:before="31" w:beforeLines="10" w:after="31" w:afterLines="10" w:line="320" w:lineRule="exact"/>
              <w:ind w:firstLine="630" w:firstLineChars="300"/>
              <w:rPr>
                <w:rFonts w:ascii="宋体" w:hAnsi="宋体"/>
                <w:szCs w:val="21"/>
              </w:rPr>
            </w:pPr>
            <w:r>
              <w:rPr>
                <w:rFonts w:hint="eastAsia" w:ascii="宋体" w:hAnsi="宋体"/>
                <w:szCs w:val="21"/>
              </w:rPr>
              <w:t>c．</w:t>
            </w:r>
            <w:r>
              <w:rPr>
                <w:rFonts w:ascii="宋体" w:hAnsi="宋体"/>
                <w:szCs w:val="21"/>
              </w:rPr>
              <w:t>若投标保证金采用保函形式提交，保函的格式、开具保函的银行或担保机构均满足招标文件要求，且在递交投标文件截止时间之前向招标人提交了保函原件。</w:t>
            </w:r>
          </w:p>
          <w:p>
            <w:pPr>
              <w:adjustRightInd w:val="0"/>
              <w:snapToGrid w:val="0"/>
              <w:spacing w:before="31" w:beforeLines="10" w:after="31" w:afterLines="10" w:line="320" w:lineRule="exact"/>
              <w:ind w:firstLine="420" w:firstLineChars="200"/>
              <w:jc w:val="left"/>
              <w:rPr>
                <w:rFonts w:ascii="宋体" w:hAnsi="宋体"/>
                <w:szCs w:val="21"/>
              </w:rPr>
            </w:pPr>
            <w:r>
              <w:rPr>
                <w:rFonts w:hint="eastAsia" w:ascii="宋体" w:hAnsi="宋体"/>
                <w:szCs w:val="21"/>
              </w:rPr>
              <w:t>（4）</w:t>
            </w:r>
            <w:r>
              <w:rPr>
                <w:rFonts w:ascii="宋体" w:hAnsi="宋体"/>
                <w:szCs w:val="21"/>
              </w:rPr>
              <w:t>投标人法定代表人授权委托代理人签署投标文件的，</w:t>
            </w:r>
            <w:r>
              <w:rPr>
                <w:rFonts w:hint="eastAsia" w:ascii="宋体" w:hAnsi="宋体"/>
                <w:szCs w:val="21"/>
              </w:rPr>
              <w:t>须</w:t>
            </w:r>
            <w:r>
              <w:rPr>
                <w:rFonts w:ascii="宋体" w:hAnsi="宋体"/>
                <w:szCs w:val="21"/>
              </w:rPr>
              <w:t>提交授权委托书，且授权人和被授权人均在授权委托书上签名，未使用印章、签名章或其他电子制版签名代替。</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（5）</w:t>
            </w:r>
            <w:r>
              <w:rPr>
                <w:kern w:val="2"/>
                <w:sz w:val="21"/>
                <w:szCs w:val="21"/>
              </w:rPr>
              <w:t>投标人法定代表人亲自签署投标文件的，提供了法定代表人身份证明，且法定代表人在法定代表人身份证明上签名，未使用印章、签名章或其他电子制版签名代替。</w:t>
            </w:r>
          </w:p>
          <w:p>
            <w:pPr>
              <w:pStyle w:val="33"/>
              <w:shd w:val="clear" w:color="auto" w:fill="auto"/>
              <w:tabs>
                <w:tab w:val="left" w:pos="1038"/>
              </w:tabs>
              <w:spacing w:before="0" w:line="320" w:lineRule="exact"/>
              <w:ind w:firstLine="420" w:firstLineChars="200"/>
              <w:jc w:val="both"/>
              <w:rPr>
                <w:kern w:val="2"/>
                <w:sz w:val="21"/>
                <w:szCs w:val="21"/>
              </w:rPr>
            </w:pPr>
            <w:r>
              <w:rPr>
                <w:rFonts w:hint="eastAsia"/>
                <w:kern w:val="2"/>
                <w:sz w:val="21"/>
                <w:szCs w:val="21"/>
              </w:rPr>
              <w:t>（6）</w:t>
            </w:r>
            <w:r>
              <w:rPr>
                <w:kern w:val="2"/>
                <w:sz w:val="21"/>
                <w:szCs w:val="21"/>
              </w:rPr>
              <w:t>投标人</w:t>
            </w:r>
            <w:r>
              <w:rPr>
                <w:rFonts w:hint="eastAsia"/>
                <w:kern w:val="2"/>
                <w:sz w:val="21"/>
                <w:szCs w:val="21"/>
              </w:rPr>
              <w:t>未</w:t>
            </w:r>
            <w:r>
              <w:rPr>
                <w:kern w:val="2"/>
                <w:sz w:val="21"/>
                <w:szCs w:val="21"/>
              </w:rPr>
              <w:t>以联合体形式投标</w:t>
            </w:r>
            <w:r>
              <w:rPr>
                <w:rFonts w:hint="eastAsia"/>
                <w:kern w:val="2"/>
                <w:sz w:val="21"/>
                <w:szCs w:val="21"/>
              </w:rPr>
              <w:t>。</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（7）</w:t>
            </w:r>
            <w:r>
              <w:rPr>
                <w:kern w:val="2"/>
                <w:sz w:val="21"/>
                <w:szCs w:val="21"/>
              </w:rPr>
              <w:t>投标人如有分包计划，符合招标文件第二章“投标人须知”第</w:t>
            </w:r>
            <w:r>
              <w:rPr>
                <w:rFonts w:hint="eastAsia"/>
                <w:kern w:val="2"/>
                <w:sz w:val="21"/>
                <w:szCs w:val="21"/>
              </w:rPr>
              <w:t>1.11款规定，且按招标文件第九章“投标文件格式”的要求填写了“拟分包项目情况表”</w:t>
            </w:r>
            <w:r>
              <w:rPr>
                <w:kern w:val="2"/>
                <w:sz w:val="21"/>
                <w:szCs w:val="21"/>
              </w:rPr>
              <w:t>。</w:t>
            </w:r>
          </w:p>
          <w:p>
            <w:pPr>
              <w:pStyle w:val="33"/>
              <w:shd w:val="clear" w:color="auto" w:fill="auto"/>
              <w:tabs>
                <w:tab w:val="left" w:pos="922"/>
              </w:tabs>
              <w:spacing w:before="0" w:line="320" w:lineRule="exact"/>
              <w:ind w:firstLine="420" w:firstLineChars="200"/>
              <w:jc w:val="both"/>
              <w:rPr>
                <w:kern w:val="2"/>
                <w:sz w:val="21"/>
                <w:szCs w:val="21"/>
              </w:rPr>
            </w:pPr>
            <w:r>
              <w:rPr>
                <w:rFonts w:hint="eastAsia"/>
                <w:kern w:val="2"/>
                <w:sz w:val="21"/>
                <w:szCs w:val="21"/>
              </w:rPr>
              <w:t>（8）同一投标人在同一标段只能提交一份投标文件</w:t>
            </w:r>
            <w:r>
              <w:rPr>
                <w:kern w:val="2"/>
                <w:sz w:val="21"/>
                <w:szCs w:val="21"/>
              </w:rPr>
              <w:t>。</w:t>
            </w:r>
          </w:p>
          <w:p>
            <w:pPr>
              <w:pStyle w:val="33"/>
              <w:shd w:val="clear" w:color="auto" w:fill="auto"/>
              <w:tabs>
                <w:tab w:val="left" w:pos="922"/>
              </w:tabs>
              <w:spacing w:before="0" w:line="320" w:lineRule="exact"/>
              <w:ind w:firstLine="420" w:firstLineChars="200"/>
              <w:jc w:val="both"/>
              <w:rPr>
                <w:kern w:val="2"/>
                <w:sz w:val="21"/>
                <w:szCs w:val="21"/>
              </w:rPr>
            </w:pPr>
            <w:r>
              <w:rPr>
                <w:rFonts w:hint="eastAsia"/>
                <w:kern w:val="2"/>
                <w:sz w:val="21"/>
                <w:szCs w:val="21"/>
              </w:rPr>
              <w:t>（9）</w:t>
            </w:r>
            <w:r>
              <w:rPr>
                <w:kern w:val="2"/>
                <w:sz w:val="21"/>
                <w:szCs w:val="21"/>
              </w:rPr>
              <w:t>投标文件中未出现有关投标报价的内容。</w:t>
            </w:r>
          </w:p>
          <w:p>
            <w:pPr>
              <w:pStyle w:val="33"/>
              <w:shd w:val="clear" w:color="auto" w:fill="auto"/>
              <w:tabs>
                <w:tab w:val="left" w:pos="938"/>
              </w:tabs>
              <w:spacing w:before="0" w:line="320" w:lineRule="exact"/>
              <w:ind w:firstLine="420" w:firstLineChars="200"/>
              <w:jc w:val="both"/>
              <w:rPr>
                <w:kern w:val="2"/>
                <w:sz w:val="21"/>
                <w:szCs w:val="21"/>
              </w:rPr>
            </w:pPr>
            <w:r>
              <w:rPr>
                <w:rFonts w:hint="eastAsia"/>
                <w:kern w:val="2"/>
                <w:sz w:val="21"/>
                <w:szCs w:val="21"/>
              </w:rPr>
              <w:t>（10）</w:t>
            </w:r>
            <w:r>
              <w:rPr>
                <w:kern w:val="2"/>
                <w:sz w:val="21"/>
                <w:szCs w:val="21"/>
              </w:rPr>
              <w:t>投标文件载明的招标项目完成期限未超过招标文件规定的时限。</w:t>
            </w:r>
          </w:p>
          <w:p>
            <w:pPr>
              <w:pStyle w:val="33"/>
              <w:shd w:val="clear" w:color="auto" w:fill="auto"/>
              <w:tabs>
                <w:tab w:val="left" w:pos="922"/>
              </w:tabs>
              <w:spacing w:before="0" w:line="320" w:lineRule="exact"/>
              <w:ind w:firstLine="420" w:firstLineChars="200"/>
              <w:jc w:val="both"/>
              <w:rPr>
                <w:kern w:val="2"/>
                <w:sz w:val="21"/>
                <w:szCs w:val="21"/>
              </w:rPr>
            </w:pPr>
            <w:r>
              <w:rPr>
                <w:rFonts w:hint="eastAsia"/>
                <w:kern w:val="2"/>
                <w:sz w:val="21"/>
                <w:szCs w:val="21"/>
              </w:rPr>
              <w:t>（11）</w:t>
            </w:r>
            <w:r>
              <w:rPr>
                <w:kern w:val="2"/>
                <w:sz w:val="21"/>
                <w:szCs w:val="21"/>
              </w:rPr>
              <w:t>投标文件对招标文件的实质性要求和条件作出响应。</w:t>
            </w:r>
          </w:p>
          <w:p>
            <w:pPr>
              <w:pStyle w:val="33"/>
              <w:shd w:val="clear" w:color="auto" w:fill="auto"/>
              <w:tabs>
                <w:tab w:val="left" w:pos="922"/>
              </w:tabs>
              <w:spacing w:before="0" w:line="320" w:lineRule="exact"/>
              <w:ind w:firstLine="420" w:firstLineChars="200"/>
              <w:jc w:val="both"/>
              <w:rPr>
                <w:kern w:val="2"/>
                <w:sz w:val="21"/>
                <w:szCs w:val="21"/>
              </w:rPr>
            </w:pPr>
            <w:r>
              <w:rPr>
                <w:rFonts w:hint="eastAsia"/>
                <w:kern w:val="2"/>
                <w:sz w:val="21"/>
                <w:szCs w:val="21"/>
              </w:rPr>
              <w:t>（12）</w:t>
            </w:r>
            <w:r>
              <w:rPr>
                <w:kern w:val="2"/>
                <w:sz w:val="21"/>
                <w:szCs w:val="21"/>
              </w:rPr>
              <w:t>权利义务符合招标文件规定：</w:t>
            </w:r>
          </w:p>
          <w:p>
            <w:pPr>
              <w:pStyle w:val="33"/>
              <w:shd w:val="clear" w:color="auto" w:fill="auto"/>
              <w:tabs>
                <w:tab w:val="left" w:pos="530"/>
              </w:tabs>
              <w:spacing w:before="0" w:line="320" w:lineRule="exact"/>
              <w:ind w:firstLine="420" w:firstLineChars="200"/>
              <w:jc w:val="both"/>
              <w:rPr>
                <w:kern w:val="2"/>
                <w:sz w:val="21"/>
                <w:szCs w:val="21"/>
              </w:rPr>
            </w:pPr>
            <w:r>
              <w:rPr>
                <w:rFonts w:hint="eastAsia"/>
                <w:kern w:val="2"/>
                <w:sz w:val="21"/>
                <w:szCs w:val="21"/>
              </w:rPr>
              <w:t>a．</w:t>
            </w:r>
            <w:r>
              <w:rPr>
                <w:kern w:val="2"/>
                <w:sz w:val="21"/>
                <w:szCs w:val="21"/>
              </w:rPr>
              <w:t>投标人应接受招标文件规定的风险划分原则，未提出新的风险划分办法；</w:t>
            </w:r>
          </w:p>
          <w:p>
            <w:pPr>
              <w:pStyle w:val="33"/>
              <w:shd w:val="clear" w:color="auto" w:fill="auto"/>
              <w:tabs>
                <w:tab w:val="left" w:pos="666"/>
              </w:tabs>
              <w:spacing w:before="0" w:line="320" w:lineRule="exact"/>
              <w:ind w:firstLine="420" w:firstLineChars="200"/>
              <w:jc w:val="both"/>
              <w:rPr>
                <w:kern w:val="2"/>
                <w:sz w:val="21"/>
                <w:szCs w:val="21"/>
              </w:rPr>
            </w:pPr>
            <w:r>
              <w:rPr>
                <w:rFonts w:hint="eastAsia"/>
                <w:kern w:val="2"/>
                <w:sz w:val="21"/>
                <w:szCs w:val="21"/>
              </w:rPr>
              <w:t>b．</w:t>
            </w:r>
            <w:r>
              <w:rPr>
                <w:kern w:val="2"/>
                <w:sz w:val="21"/>
                <w:szCs w:val="21"/>
              </w:rPr>
              <w:t>投标人未增加发包人的责任范围，或减少投标人义务；</w:t>
            </w:r>
          </w:p>
          <w:p>
            <w:pPr>
              <w:pStyle w:val="33"/>
              <w:shd w:val="clear" w:color="auto" w:fill="auto"/>
              <w:spacing w:before="0" w:line="320" w:lineRule="exact"/>
              <w:ind w:firstLine="420" w:firstLineChars="200"/>
              <w:jc w:val="both"/>
              <w:rPr>
                <w:kern w:val="2"/>
                <w:sz w:val="21"/>
                <w:szCs w:val="21"/>
              </w:rPr>
            </w:pPr>
            <w:r>
              <w:rPr>
                <w:rFonts w:hint="eastAsia"/>
                <w:kern w:val="2"/>
                <w:sz w:val="21"/>
                <w:szCs w:val="21"/>
              </w:rPr>
              <w:t>c．</w:t>
            </w:r>
            <w:r>
              <w:rPr>
                <w:kern w:val="2"/>
                <w:sz w:val="21"/>
                <w:szCs w:val="21"/>
              </w:rPr>
              <w:t>投标人未提出不同的工程验收、计量、支付办法；</w:t>
            </w:r>
          </w:p>
          <w:p>
            <w:pPr>
              <w:pStyle w:val="33"/>
              <w:shd w:val="clear" w:color="auto" w:fill="auto"/>
              <w:tabs>
                <w:tab w:val="left" w:pos="661"/>
              </w:tabs>
              <w:spacing w:before="0" w:line="320" w:lineRule="exact"/>
              <w:ind w:firstLine="420" w:firstLineChars="200"/>
              <w:jc w:val="both"/>
              <w:rPr>
                <w:kern w:val="2"/>
                <w:sz w:val="21"/>
                <w:szCs w:val="21"/>
              </w:rPr>
            </w:pPr>
            <w:r>
              <w:rPr>
                <w:rFonts w:hint="eastAsia"/>
                <w:kern w:val="2"/>
                <w:sz w:val="21"/>
                <w:szCs w:val="21"/>
              </w:rPr>
              <w:t>d．</w:t>
            </w:r>
            <w:r>
              <w:rPr>
                <w:kern w:val="2"/>
                <w:sz w:val="21"/>
                <w:szCs w:val="21"/>
              </w:rPr>
              <w:t>投标人对合同纠纷、事故处理办法未提出异议；</w:t>
            </w:r>
          </w:p>
          <w:p>
            <w:pPr>
              <w:pStyle w:val="33"/>
              <w:shd w:val="clear" w:color="auto" w:fill="auto"/>
              <w:tabs>
                <w:tab w:val="left" w:pos="649"/>
              </w:tabs>
              <w:spacing w:before="0" w:line="320" w:lineRule="exact"/>
              <w:ind w:firstLine="420" w:firstLineChars="200"/>
              <w:jc w:val="both"/>
              <w:rPr>
                <w:kern w:val="2"/>
                <w:sz w:val="21"/>
                <w:szCs w:val="21"/>
              </w:rPr>
            </w:pPr>
            <w:r>
              <w:rPr>
                <w:rFonts w:hint="eastAsia"/>
                <w:kern w:val="2"/>
                <w:sz w:val="21"/>
                <w:szCs w:val="21"/>
              </w:rPr>
              <w:t>e．</w:t>
            </w:r>
            <w:r>
              <w:rPr>
                <w:kern w:val="2"/>
                <w:sz w:val="21"/>
                <w:szCs w:val="21"/>
              </w:rPr>
              <w:t>投标人在投标活动中无欺诈行为；</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f．</w:t>
            </w:r>
            <w:r>
              <w:rPr>
                <w:kern w:val="2"/>
                <w:sz w:val="21"/>
                <w:szCs w:val="21"/>
              </w:rPr>
              <w:t>投标人未对合同条款有重要保留。</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（13）</w:t>
            </w:r>
            <w:r>
              <w:rPr>
                <w:kern w:val="2"/>
                <w:sz w:val="21"/>
                <w:szCs w:val="21"/>
              </w:rPr>
              <w:t>投标文件正、副本份数符合招标文件第二章“投标人须知” 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85" w:hRule="atLeast"/>
          <w:jc w:val="center"/>
        </w:trPr>
        <w:tc>
          <w:tcPr>
            <w:tcW w:w="856" w:type="dxa"/>
            <w:shd w:val="clear" w:color="auto" w:fill="auto"/>
            <w:vAlign w:val="center"/>
          </w:tcPr>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2.1.1</w:t>
            </w:r>
          </w:p>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2.1.3</w:t>
            </w:r>
          </w:p>
        </w:tc>
        <w:tc>
          <w:tcPr>
            <w:tcW w:w="1389" w:type="dxa"/>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形式评审与</w:t>
            </w:r>
            <w:r>
              <w:rPr>
                <w:rFonts w:hint="eastAsia" w:ascii="宋体" w:hAnsi="宋体"/>
                <w:szCs w:val="21"/>
              </w:rPr>
              <w:br w:type="textWrapping"/>
            </w:r>
            <w:r>
              <w:rPr>
                <w:rFonts w:hint="eastAsia" w:ascii="宋体" w:hAnsi="宋体"/>
                <w:szCs w:val="21"/>
              </w:rPr>
              <w:t>响应性评审标准</w:t>
            </w:r>
          </w:p>
        </w:tc>
        <w:tc>
          <w:tcPr>
            <w:tcW w:w="7815" w:type="dxa"/>
            <w:shd w:val="clear" w:color="auto" w:fill="auto"/>
            <w:vAlign w:val="center"/>
          </w:tcPr>
          <w:p>
            <w:pPr>
              <w:adjustRightInd w:val="0"/>
              <w:snapToGrid w:val="0"/>
              <w:spacing w:before="31" w:beforeLines="10" w:after="31" w:afterLines="10" w:line="320" w:lineRule="exact"/>
              <w:jc w:val="left"/>
              <w:rPr>
                <w:rFonts w:ascii="宋体" w:hAnsi="宋体"/>
                <w:szCs w:val="21"/>
              </w:rPr>
            </w:pPr>
            <w:r>
              <w:rPr>
                <w:rFonts w:hint="eastAsia" w:ascii="宋体" w:hAnsi="宋体"/>
                <w:szCs w:val="21"/>
              </w:rPr>
              <w:t>第二个信封（报价文件）评审标准</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（1）投标文件按照招标文件规定的格式、内容填写，字迹清晰可辨：</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a．</w:t>
            </w:r>
            <w:r>
              <w:rPr>
                <w:kern w:val="2"/>
                <w:sz w:val="21"/>
                <w:szCs w:val="21"/>
              </w:rPr>
              <w:t>投标函按招标文件规定填报了项目名称、标段号、补遗书编号（如 有)、投标价（包括大写金额和小写金额)；</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b．</w:t>
            </w:r>
            <w:r>
              <w:rPr>
                <w:kern w:val="2"/>
                <w:sz w:val="21"/>
                <w:szCs w:val="21"/>
              </w:rPr>
              <w:t>已标价工程量清单说明文字与招标文件规定一致，未进行实质性修改和删减；</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c．</w:t>
            </w:r>
            <w:r>
              <w:rPr>
                <w:kern w:val="2"/>
                <w:sz w:val="21"/>
                <w:szCs w:val="21"/>
              </w:rPr>
              <w:t>投标文件组成齐全完整，内容均按规定填写。</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（2）</w:t>
            </w:r>
            <w:r>
              <w:rPr>
                <w:kern w:val="2"/>
                <w:sz w:val="21"/>
                <w:szCs w:val="21"/>
              </w:rPr>
              <w:t>投标文件上法定代表人或其委托代理人的签字、投标人的单位章盖章齐全，符合招标文件规定。</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（3）投标报价未超过招标文件设定的最高投标限价。</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（4）</w:t>
            </w:r>
            <w:r>
              <w:rPr>
                <w:kern w:val="2"/>
                <w:sz w:val="21"/>
                <w:szCs w:val="21"/>
              </w:rPr>
              <w:t>投标报价中报价的大写金额能够确定具体数值。</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（5）</w:t>
            </w:r>
            <w:r>
              <w:rPr>
                <w:rFonts w:hint="eastAsia"/>
                <w:szCs w:val="21"/>
              </w:rPr>
              <w:t>同一投标人在同一标段只能提交一份投标报价</w:t>
            </w:r>
            <w:r>
              <w:rPr>
                <w:kern w:val="2"/>
                <w:sz w:val="21"/>
                <w:szCs w:val="21"/>
              </w:rPr>
              <w:t>。</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（6）投标人未提交调价函。</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（7）</w:t>
            </w:r>
            <w:r>
              <w:rPr>
                <w:kern w:val="2"/>
                <w:sz w:val="21"/>
                <w:szCs w:val="21"/>
              </w:rPr>
              <w:t>投标人填写完毕的工程量固化清单未对工程量固化清单电子文件中的数据、格式和运算定义进行修改；工程量固化清单中的投标报价和投标函大写金额报价一致。</w:t>
            </w:r>
          </w:p>
          <w:p>
            <w:pPr>
              <w:pStyle w:val="33"/>
              <w:shd w:val="clear" w:color="auto" w:fill="auto"/>
              <w:tabs>
                <w:tab w:val="left" w:pos="914"/>
              </w:tabs>
              <w:spacing w:before="0" w:line="320" w:lineRule="exact"/>
              <w:ind w:firstLine="420" w:firstLineChars="200"/>
              <w:jc w:val="both"/>
              <w:rPr>
                <w:kern w:val="2"/>
                <w:sz w:val="21"/>
                <w:szCs w:val="21"/>
              </w:rPr>
            </w:pPr>
            <w:r>
              <w:rPr>
                <w:rFonts w:hint="eastAsia"/>
                <w:kern w:val="2"/>
                <w:sz w:val="21"/>
                <w:szCs w:val="21"/>
              </w:rPr>
              <w:t>（8）</w:t>
            </w:r>
            <w:r>
              <w:rPr>
                <w:kern w:val="2"/>
                <w:sz w:val="21"/>
                <w:szCs w:val="21"/>
              </w:rPr>
              <w:t>投标文件正、副本份数符合招标文件第二章“投标人须知”第 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969" w:hRule="atLeast"/>
          <w:jc w:val="center"/>
        </w:trPr>
        <w:tc>
          <w:tcPr>
            <w:tcW w:w="856" w:type="dxa"/>
            <w:tcBorders>
              <w:bottom w:val="single" w:color="auto" w:sz="4" w:space="0"/>
            </w:tcBorders>
            <w:shd w:val="clear" w:color="auto" w:fill="auto"/>
            <w:vAlign w:val="center"/>
          </w:tcPr>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2.1.2</w:t>
            </w:r>
          </w:p>
        </w:tc>
        <w:tc>
          <w:tcPr>
            <w:tcW w:w="1389" w:type="dxa"/>
            <w:tcBorders>
              <w:bottom w:val="single" w:color="auto" w:sz="4" w:space="0"/>
            </w:tcBorders>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资格评审标准</w:t>
            </w:r>
          </w:p>
        </w:tc>
        <w:tc>
          <w:tcPr>
            <w:tcW w:w="7815" w:type="dxa"/>
            <w:tcBorders>
              <w:bottom w:val="single" w:color="auto" w:sz="4" w:space="0"/>
            </w:tcBorders>
            <w:shd w:val="clear" w:color="auto" w:fill="auto"/>
            <w:vAlign w:val="center"/>
          </w:tcPr>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（1）</w:t>
            </w:r>
            <w:r>
              <w:rPr>
                <w:rStyle w:val="36"/>
                <w:sz w:val="21"/>
                <w:szCs w:val="21"/>
              </w:rPr>
              <w:t>投标人具备有效的营业执照、组织机构代码证、资质证书、安全生产许可证</w:t>
            </w:r>
            <w:r>
              <w:rPr>
                <w:rStyle w:val="36"/>
                <w:rFonts w:hint="eastAsia"/>
                <w:sz w:val="21"/>
                <w:szCs w:val="21"/>
              </w:rPr>
              <w:t>、</w:t>
            </w:r>
            <w:r>
              <w:rPr>
                <w:rStyle w:val="36"/>
                <w:sz w:val="21"/>
                <w:szCs w:val="21"/>
              </w:rPr>
              <w:t>基本账户开户许可证</w:t>
            </w:r>
            <w:r>
              <w:rPr>
                <w:rFonts w:hint="eastAsia"/>
                <w:color w:val="000000"/>
                <w:spacing w:val="0"/>
                <w:sz w:val="21"/>
                <w:szCs w:val="21"/>
                <w:lang w:bidi="zh-TW"/>
              </w:rPr>
              <w:t>（或基本账户开户银行开具的证明）</w:t>
            </w:r>
            <w:r>
              <w:rPr>
                <w:rStyle w:val="36"/>
                <w:rFonts w:hint="eastAsia"/>
                <w:sz w:val="21"/>
                <w:szCs w:val="21"/>
              </w:rPr>
              <w:t>。</w:t>
            </w:r>
          </w:p>
          <w:p>
            <w:pPr>
              <w:pStyle w:val="35"/>
              <w:shd w:val="clear" w:color="auto" w:fill="auto"/>
              <w:tabs>
                <w:tab w:val="left" w:pos="1615"/>
                <w:tab w:val="left" w:pos="2133"/>
              </w:tabs>
              <w:spacing w:before="0" w:after="0" w:line="320" w:lineRule="exact"/>
              <w:ind w:firstLine="420" w:firstLineChars="200"/>
              <w:jc w:val="both"/>
              <w:rPr>
                <w:rStyle w:val="36"/>
                <w:sz w:val="21"/>
                <w:szCs w:val="21"/>
              </w:rPr>
            </w:pPr>
            <w:r>
              <w:rPr>
                <w:rStyle w:val="36"/>
                <w:rFonts w:hint="eastAsia"/>
                <w:sz w:val="21"/>
                <w:szCs w:val="21"/>
              </w:rPr>
              <w:t>（2）</w:t>
            </w:r>
            <w:r>
              <w:rPr>
                <w:rStyle w:val="36"/>
                <w:sz w:val="21"/>
                <w:szCs w:val="21"/>
              </w:rPr>
              <w:t>投标人的资质等级符合招标文件规定</w:t>
            </w:r>
            <w:r>
              <w:rPr>
                <w:rStyle w:val="36"/>
                <w:rFonts w:hint="eastAsia"/>
                <w:sz w:val="21"/>
                <w:szCs w:val="21"/>
              </w:rPr>
              <w:t>。</w:t>
            </w:r>
          </w:p>
          <w:p>
            <w:pPr>
              <w:pStyle w:val="35"/>
              <w:shd w:val="clear" w:color="auto" w:fill="auto"/>
              <w:tabs>
                <w:tab w:val="left" w:pos="1646"/>
                <w:tab w:val="left" w:pos="2133"/>
              </w:tabs>
              <w:spacing w:before="0" w:after="0" w:line="320" w:lineRule="exact"/>
              <w:ind w:firstLine="420" w:firstLineChars="200"/>
              <w:jc w:val="both"/>
              <w:rPr>
                <w:rStyle w:val="36"/>
                <w:sz w:val="21"/>
                <w:szCs w:val="21"/>
              </w:rPr>
            </w:pPr>
            <w:r>
              <w:rPr>
                <w:rStyle w:val="36"/>
                <w:rFonts w:hint="eastAsia"/>
                <w:sz w:val="21"/>
                <w:szCs w:val="21"/>
              </w:rPr>
              <w:t>（3）</w:t>
            </w:r>
            <w:r>
              <w:rPr>
                <w:rStyle w:val="36"/>
                <w:sz w:val="21"/>
                <w:szCs w:val="21"/>
              </w:rPr>
              <w:t>投标人的财务状况符合招标文件规定</w:t>
            </w:r>
            <w:r>
              <w:rPr>
                <w:rStyle w:val="36"/>
                <w:rFonts w:hint="eastAsia"/>
                <w:sz w:val="21"/>
                <w:szCs w:val="21"/>
              </w:rPr>
              <w:t>。</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（4）</w:t>
            </w:r>
            <w:r>
              <w:rPr>
                <w:rStyle w:val="36"/>
                <w:sz w:val="21"/>
                <w:szCs w:val="21"/>
              </w:rPr>
              <w:t>投标人的类似项目业绩符合招标文件规定</w:t>
            </w:r>
            <w:r>
              <w:rPr>
                <w:rStyle w:val="36"/>
                <w:rFonts w:hint="eastAsia"/>
                <w:sz w:val="21"/>
                <w:szCs w:val="21"/>
              </w:rPr>
              <w:t>。</w:t>
            </w:r>
          </w:p>
          <w:p>
            <w:pPr>
              <w:pStyle w:val="35"/>
              <w:shd w:val="clear" w:color="auto" w:fill="auto"/>
              <w:tabs>
                <w:tab w:val="left" w:pos="1646"/>
                <w:tab w:val="left" w:pos="2133"/>
              </w:tabs>
              <w:spacing w:before="0" w:after="0" w:line="320" w:lineRule="exact"/>
              <w:ind w:firstLine="420" w:firstLineChars="200"/>
              <w:jc w:val="both"/>
              <w:rPr>
                <w:rStyle w:val="36"/>
                <w:sz w:val="21"/>
                <w:szCs w:val="21"/>
              </w:rPr>
            </w:pPr>
            <w:r>
              <w:rPr>
                <w:rStyle w:val="36"/>
                <w:rFonts w:hint="eastAsia"/>
                <w:sz w:val="21"/>
                <w:szCs w:val="21"/>
              </w:rPr>
              <w:t>（5）</w:t>
            </w:r>
            <w:r>
              <w:rPr>
                <w:rStyle w:val="36"/>
                <w:sz w:val="21"/>
                <w:szCs w:val="21"/>
              </w:rPr>
              <w:t>投标人的信誉符合招标文件规定</w:t>
            </w:r>
            <w:r>
              <w:rPr>
                <w:rStyle w:val="36"/>
                <w:rFonts w:hint="eastAsia"/>
                <w:sz w:val="21"/>
                <w:szCs w:val="21"/>
              </w:rPr>
              <w:t>。</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（6）</w:t>
            </w:r>
            <w:r>
              <w:rPr>
                <w:rStyle w:val="36"/>
                <w:sz w:val="21"/>
                <w:szCs w:val="21"/>
              </w:rPr>
              <w:t>投标人</w:t>
            </w:r>
            <w:r>
              <w:rPr>
                <w:rStyle w:val="36"/>
                <w:rFonts w:hint="eastAsia"/>
                <w:sz w:val="21"/>
                <w:szCs w:val="21"/>
              </w:rPr>
              <w:t>的项目经理和项目总工</w:t>
            </w:r>
            <w:r>
              <w:rPr>
                <w:rStyle w:val="36"/>
                <w:sz w:val="21"/>
                <w:szCs w:val="21"/>
              </w:rPr>
              <w:t>资格、在岗情况符合招标文件规定</w:t>
            </w:r>
            <w:r>
              <w:rPr>
                <w:rStyle w:val="36"/>
                <w:rFonts w:hint="eastAsia"/>
                <w:sz w:val="21"/>
                <w:szCs w:val="21"/>
              </w:rPr>
              <w:t>。</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（7）</w:t>
            </w:r>
            <w:r>
              <w:rPr>
                <w:rStyle w:val="36"/>
                <w:sz w:val="21"/>
                <w:szCs w:val="21"/>
              </w:rPr>
              <w:t>投标人不存在第二章“投标人须知”第1.4.3项或第1.4.4项规定的任何一种情形</w:t>
            </w:r>
            <w:r>
              <w:rPr>
                <w:rStyle w:val="36"/>
                <w:rFonts w:hint="eastAsia"/>
                <w:sz w:val="21"/>
                <w:szCs w:val="21"/>
              </w:rPr>
              <w:t>。</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（8）</w:t>
            </w:r>
            <w:r>
              <w:rPr>
                <w:rStyle w:val="36"/>
                <w:sz w:val="21"/>
                <w:szCs w:val="21"/>
              </w:rPr>
              <w:t>投标人符合第二章“投标人须知”第1.4.5项规定</w:t>
            </w:r>
            <w:r>
              <w:rPr>
                <w:rStyle w:val="36"/>
                <w:rFonts w:hint="eastAsia"/>
                <w:sz w:val="21"/>
                <w:szCs w:val="21"/>
              </w:rPr>
              <w:t>。</w:t>
            </w:r>
          </w:p>
        </w:tc>
      </w:tr>
    </w:tbl>
    <w:p/>
    <w:p>
      <w:pPr>
        <w:jc w:val="right"/>
      </w:pPr>
      <w:r>
        <w:t>续上表</w:t>
      </w:r>
    </w:p>
    <w:tbl>
      <w:tblPr>
        <w:tblStyle w:val="14"/>
        <w:tblW w:w="100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条款号</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00" w:lineRule="auto"/>
              <w:jc w:val="center"/>
              <w:rPr>
                <w:rFonts w:ascii="宋体" w:hAnsi="宋体"/>
                <w:szCs w:val="21"/>
              </w:rPr>
            </w:pPr>
            <w:r>
              <w:rPr>
                <w:rFonts w:hint="eastAsia" w:ascii="宋体" w:hAnsi="宋体"/>
                <w:szCs w:val="21"/>
              </w:rPr>
              <w:t>条款内容</w:t>
            </w:r>
          </w:p>
        </w:tc>
        <w:tc>
          <w:tcPr>
            <w:tcW w:w="7818" w:type="dxa"/>
            <w:tcBorders>
              <w:top w:val="single" w:color="000000" w:sz="4" w:space="0"/>
              <w:left w:val="single" w:color="000000" w:sz="4" w:space="0"/>
              <w:bottom w:val="single" w:color="auto" w:sz="4" w:space="0"/>
              <w:right w:val="single" w:color="000000" w:sz="4" w:space="0"/>
            </w:tcBorders>
            <w:shd w:val="clear" w:color="auto" w:fill="auto"/>
          </w:tcPr>
          <w:p>
            <w:pPr>
              <w:adjustRightInd w:val="0"/>
              <w:snapToGrid w:val="0"/>
              <w:ind w:firstLine="210" w:firstLineChars="100"/>
              <w:jc w:val="center"/>
              <w:rPr>
                <w:rFonts w:ascii="宋体" w:hAnsi="宋体"/>
                <w:szCs w:val="21"/>
              </w:rPr>
            </w:pPr>
            <w:r>
              <w:rPr>
                <w:rFonts w:hint="eastAsia" w:ascii="宋体" w:hAnsi="宋体"/>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pPr>
              <w:autoSpaceDE w:val="0"/>
              <w:autoSpaceDN w:val="0"/>
              <w:adjustRightInd w:val="0"/>
              <w:snapToGrid w:val="0"/>
              <w:spacing w:line="300" w:lineRule="auto"/>
              <w:ind w:firstLine="210" w:firstLineChars="100"/>
              <w:rPr>
                <w:rFonts w:ascii="宋体" w:hAnsi="宋体"/>
                <w:szCs w:val="21"/>
              </w:rPr>
            </w:pPr>
            <w:r>
              <w:rPr>
                <w:rFonts w:ascii="宋体" w:hAnsi="宋体"/>
                <w:szCs w:val="21"/>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分值构成</w:t>
            </w:r>
          </w:p>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(总分100分)</w:t>
            </w:r>
          </w:p>
        </w:tc>
        <w:tc>
          <w:tcPr>
            <w:tcW w:w="7818"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before="31" w:beforeLines="10" w:after="31" w:afterLines="10" w:line="320" w:lineRule="exact"/>
              <w:ind w:firstLine="420" w:firstLineChars="200"/>
              <w:jc w:val="left"/>
              <w:rPr>
                <w:rFonts w:ascii="宋体" w:hAnsi="宋体"/>
                <w:szCs w:val="21"/>
              </w:rPr>
            </w:pPr>
            <w:r>
              <w:rPr>
                <w:rFonts w:hint="eastAsia" w:ascii="宋体" w:hAnsi="宋体"/>
                <w:szCs w:val="21"/>
              </w:rPr>
              <w:t>第一个信封（商务及技术文件）评分分值构成 ：</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施工组织设计：       20分</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主要人员：           10分</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业绩：                7分</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履约信誉：            3分</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缺陷责任期服务：      3分</w:t>
            </w:r>
          </w:p>
          <w:p>
            <w:pPr>
              <w:pStyle w:val="35"/>
              <w:shd w:val="clear" w:color="auto" w:fill="auto"/>
              <w:tabs>
                <w:tab w:val="left" w:pos="2133"/>
              </w:tabs>
              <w:spacing w:before="0" w:after="0" w:line="320" w:lineRule="exact"/>
              <w:ind w:firstLine="420" w:firstLineChars="200"/>
              <w:jc w:val="both"/>
              <w:rPr>
                <w:rStyle w:val="36"/>
                <w:sz w:val="21"/>
                <w:szCs w:val="21"/>
              </w:rPr>
            </w:pPr>
            <w:r>
              <w:rPr>
                <w:rStyle w:val="36"/>
                <w:rFonts w:hint="eastAsia"/>
                <w:sz w:val="21"/>
                <w:szCs w:val="21"/>
              </w:rPr>
              <w:t>主要机电设备：        7分</w:t>
            </w:r>
          </w:p>
          <w:p>
            <w:pPr>
              <w:adjustRightInd w:val="0"/>
              <w:snapToGrid w:val="0"/>
              <w:spacing w:before="31" w:beforeLines="10" w:after="31" w:afterLines="10" w:line="320" w:lineRule="exact"/>
              <w:ind w:firstLine="420" w:firstLineChars="200"/>
              <w:jc w:val="left"/>
              <w:rPr>
                <w:rFonts w:ascii="宋体" w:hAnsi="宋体"/>
                <w:szCs w:val="21"/>
              </w:rPr>
            </w:pPr>
            <w:r>
              <w:rPr>
                <w:rFonts w:hint="eastAsia" w:ascii="宋体" w:hAnsi="宋体"/>
                <w:szCs w:val="21"/>
              </w:rPr>
              <w:t>第二个信封（报价文件）评分分值构成：</w:t>
            </w:r>
          </w:p>
          <w:p>
            <w:pPr>
              <w:adjustRightInd w:val="0"/>
              <w:snapToGrid w:val="0"/>
              <w:spacing w:before="31" w:beforeLines="10" w:after="31" w:afterLines="10" w:line="320" w:lineRule="exact"/>
              <w:ind w:firstLine="420" w:firstLineChars="200"/>
              <w:jc w:val="left"/>
              <w:rPr>
                <w:rFonts w:ascii="宋体" w:hAnsi="宋体"/>
                <w:szCs w:val="21"/>
              </w:rPr>
            </w:pPr>
            <w:r>
              <w:rPr>
                <w:rFonts w:hint="eastAsia" w:ascii="宋体" w:hAnsi="宋体"/>
                <w:szCs w:val="21"/>
              </w:rPr>
              <w:t>评标价：             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2.2.2</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评标基准价</w:t>
            </w:r>
          </w:p>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计算方法</w:t>
            </w:r>
          </w:p>
        </w:tc>
        <w:tc>
          <w:tcPr>
            <w:tcW w:w="7818" w:type="dxa"/>
            <w:tcBorders>
              <w:top w:val="single" w:color="000000" w:sz="4" w:space="0"/>
              <w:left w:val="single" w:color="000000" w:sz="4" w:space="0"/>
              <w:bottom w:val="single" w:color="auto" w:sz="4" w:space="0"/>
              <w:right w:val="single" w:color="000000" w:sz="4" w:space="0"/>
            </w:tcBorders>
            <w:shd w:val="clear" w:color="auto" w:fill="auto"/>
            <w:vAlign w:val="center"/>
          </w:tcPr>
          <w:p>
            <w:pPr>
              <w:ind w:left="113" w:leftChars="54" w:right="113" w:firstLine="420" w:firstLineChars="200"/>
              <w:rPr>
                <w:rFonts w:ascii="宋体" w:hAnsi="宋体"/>
                <w:szCs w:val="21"/>
              </w:rPr>
            </w:pPr>
            <w:r>
              <w:rPr>
                <w:rFonts w:hint="eastAsia" w:ascii="宋体" w:hAnsi="宋体"/>
                <w:szCs w:val="21"/>
              </w:rPr>
              <w:t>在开标现场，招标人将当场计算并宣布评标基准价。</w:t>
            </w:r>
          </w:p>
          <w:p>
            <w:pPr>
              <w:ind w:left="113" w:leftChars="54" w:right="113" w:firstLine="420" w:firstLineChars="200"/>
              <w:rPr>
                <w:rFonts w:ascii="宋体" w:hAnsi="宋体"/>
                <w:szCs w:val="21"/>
              </w:rPr>
            </w:pPr>
            <w:r>
              <w:rPr>
                <w:rFonts w:hint="eastAsia" w:ascii="宋体" w:hAnsi="宋体"/>
                <w:szCs w:val="21"/>
              </w:rPr>
              <w:t>（1）评标价的确定：</w:t>
            </w:r>
          </w:p>
          <w:p>
            <w:pPr>
              <w:ind w:left="113" w:leftChars="54" w:right="113" w:firstLine="420" w:firstLineChars="200"/>
              <w:rPr>
                <w:rFonts w:ascii="宋体" w:hAnsi="宋体"/>
                <w:szCs w:val="21"/>
              </w:rPr>
            </w:pPr>
            <w:r>
              <w:rPr>
                <w:rFonts w:hint="eastAsia" w:ascii="宋体" w:hAnsi="宋体"/>
                <w:szCs w:val="21"/>
              </w:rPr>
              <w:t>评标价=投标函文字报价</w:t>
            </w:r>
          </w:p>
          <w:p>
            <w:pPr>
              <w:ind w:left="113" w:leftChars="54" w:right="113" w:firstLine="420" w:firstLineChars="200"/>
              <w:rPr>
                <w:rFonts w:ascii="宋体" w:hAnsi="宋体"/>
                <w:szCs w:val="21"/>
              </w:rPr>
            </w:pPr>
            <w:r>
              <w:rPr>
                <w:rFonts w:hint="eastAsia" w:ascii="宋体" w:hAnsi="宋体"/>
                <w:szCs w:val="21"/>
              </w:rPr>
              <w:t>（2）评标价平均值的计算：</w:t>
            </w:r>
          </w:p>
          <w:p>
            <w:pPr>
              <w:ind w:left="113" w:leftChars="54" w:right="113"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ind w:left="113" w:leftChars="54" w:right="113" w:firstLine="420" w:firstLineChars="200"/>
              <w:rPr>
                <w:rFonts w:ascii="宋体" w:hAnsi="宋体"/>
                <w:szCs w:val="21"/>
              </w:rPr>
            </w:pPr>
            <w:r>
              <w:rPr>
                <w:rFonts w:hint="eastAsia" w:ascii="宋体" w:hAnsi="宋体"/>
                <w:szCs w:val="21"/>
              </w:rPr>
              <w:t>（3）评标基准价的确定：</w:t>
            </w:r>
          </w:p>
          <w:p>
            <w:pPr>
              <w:ind w:left="113" w:leftChars="54" w:right="113" w:firstLine="420" w:firstLineChars="200"/>
              <w:rPr>
                <w:rFonts w:ascii="宋体" w:hAnsi="宋体"/>
                <w:szCs w:val="21"/>
              </w:rPr>
            </w:pPr>
            <w:r>
              <w:rPr>
                <w:rFonts w:hint="eastAsia" w:ascii="宋体" w:hAnsi="宋体"/>
                <w:szCs w:val="21"/>
              </w:rPr>
              <w:t>将评标价平均值直接作为评标基准价。</w:t>
            </w:r>
          </w:p>
          <w:p>
            <w:pPr>
              <w:ind w:left="113" w:leftChars="54" w:right="113" w:firstLine="315" w:firstLineChars="150"/>
              <w:rPr>
                <w:rFonts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2.2.3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before="31" w:beforeLines="10" w:after="31" w:afterLines="10" w:line="320" w:lineRule="exact"/>
              <w:jc w:val="center"/>
              <w:rPr>
                <w:rFonts w:ascii="宋体" w:hAnsi="宋体"/>
                <w:szCs w:val="21"/>
              </w:rPr>
            </w:pPr>
            <w:r>
              <w:rPr>
                <w:rFonts w:hint="eastAsia" w:ascii="宋体" w:hAnsi="宋体"/>
                <w:szCs w:val="21"/>
              </w:rPr>
              <w:t>评标价的偏差率计算公式</w:t>
            </w:r>
          </w:p>
        </w:tc>
        <w:tc>
          <w:tcPr>
            <w:tcW w:w="7818"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20" w:lineRule="exact"/>
              <w:ind w:firstLine="420" w:firstLineChars="200"/>
              <w:rPr>
                <w:rFonts w:ascii="宋体" w:hAnsi="宋体"/>
                <w:szCs w:val="21"/>
              </w:rPr>
            </w:pPr>
            <w:r>
              <w:rPr>
                <w:rFonts w:hint="eastAsia" w:ascii="宋体" w:hAnsi="宋体"/>
                <w:szCs w:val="21"/>
              </w:rPr>
              <w:t>偏差率=100%×（投标人评标价-评标基准价）/评标基准价</w:t>
            </w:r>
          </w:p>
          <w:p>
            <w:pPr>
              <w:adjustRightInd w:val="0"/>
              <w:snapToGrid w:val="0"/>
              <w:spacing w:line="320" w:lineRule="exact"/>
              <w:ind w:firstLine="420" w:firstLineChars="200"/>
              <w:rPr>
                <w:rFonts w:ascii="宋体" w:hAnsi="宋体"/>
                <w:szCs w:val="21"/>
              </w:rPr>
            </w:pPr>
            <w:r>
              <w:rPr>
                <w:rFonts w:hint="eastAsia" w:ascii="宋体" w:hAnsi="宋体"/>
                <w:szCs w:val="21"/>
              </w:rPr>
              <w:t>偏差率（以百分数表示）保留两位小数，如**.**%</w:t>
            </w:r>
          </w:p>
        </w:tc>
      </w:tr>
    </w:tbl>
    <w:p>
      <w:r>
        <w:br w:type="page"/>
      </w:r>
    </w:p>
    <w:p>
      <w:pPr>
        <w:adjustRightInd w:val="0"/>
        <w:snapToGrid w:val="0"/>
      </w:pPr>
    </w:p>
    <w:tbl>
      <w:tblPr>
        <w:tblStyle w:val="14"/>
        <w:tblW w:w="9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1000"/>
        <w:gridCol w:w="1150"/>
        <w:gridCol w:w="1961"/>
        <w:gridCol w:w="850"/>
        <w:gridCol w:w="4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blHeader/>
        </w:trPr>
        <w:tc>
          <w:tcPr>
            <w:tcW w:w="5840" w:type="dxa"/>
            <w:gridSpan w:val="5"/>
            <w:vAlign w:val="center"/>
          </w:tcPr>
          <w:p>
            <w:pPr>
              <w:adjustRightInd w:val="0"/>
              <w:snapToGrid w:val="0"/>
              <w:jc w:val="center"/>
              <w:rPr>
                <w:rFonts w:ascii="宋体" w:hAnsi="宋体"/>
                <w:b/>
                <w:szCs w:val="21"/>
              </w:rPr>
            </w:pPr>
            <w:r>
              <w:rPr>
                <w:rFonts w:hint="eastAsia" w:ascii="宋体" w:hAnsi="宋体"/>
                <w:b/>
                <w:szCs w:val="21"/>
              </w:rPr>
              <w:t>评分因素与权重分值</w:t>
            </w:r>
          </w:p>
        </w:tc>
        <w:tc>
          <w:tcPr>
            <w:tcW w:w="4111" w:type="dxa"/>
            <w:vMerge w:val="restart"/>
            <w:vAlign w:val="center"/>
          </w:tcPr>
          <w:p>
            <w:pPr>
              <w:adjustRightInd w:val="0"/>
              <w:snapToGrid w:val="0"/>
              <w:jc w:val="center"/>
              <w:rPr>
                <w:rFonts w:ascii="宋体" w:hAnsi="宋体"/>
                <w:b/>
                <w:szCs w:val="21"/>
              </w:rPr>
            </w:pPr>
            <w:r>
              <w:rPr>
                <w:rFonts w:hint="eastAsia" w:ascii="宋体" w:hAnsi="宋体"/>
                <w:b/>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blHeader/>
        </w:trPr>
        <w:tc>
          <w:tcPr>
            <w:tcW w:w="879" w:type="dxa"/>
            <w:vAlign w:val="center"/>
          </w:tcPr>
          <w:p>
            <w:pPr>
              <w:adjustRightInd w:val="0"/>
              <w:snapToGrid w:val="0"/>
              <w:jc w:val="center"/>
              <w:rPr>
                <w:rFonts w:ascii="宋体" w:hAnsi="宋体"/>
                <w:b/>
                <w:szCs w:val="21"/>
              </w:rPr>
            </w:pPr>
            <w:r>
              <w:rPr>
                <w:rFonts w:hint="eastAsia" w:ascii="宋体" w:hAnsi="宋体"/>
                <w:b/>
                <w:szCs w:val="21"/>
              </w:rPr>
              <w:t>条款号</w:t>
            </w:r>
          </w:p>
        </w:tc>
        <w:tc>
          <w:tcPr>
            <w:tcW w:w="1000" w:type="dxa"/>
            <w:vAlign w:val="center"/>
          </w:tcPr>
          <w:p>
            <w:pPr>
              <w:adjustRightInd w:val="0"/>
              <w:snapToGrid w:val="0"/>
              <w:jc w:val="center"/>
              <w:rPr>
                <w:rFonts w:ascii="宋体" w:hAnsi="宋体"/>
                <w:b/>
                <w:szCs w:val="21"/>
              </w:rPr>
            </w:pPr>
            <w:r>
              <w:rPr>
                <w:rFonts w:hint="eastAsia" w:ascii="宋体" w:hAnsi="宋体"/>
                <w:b/>
                <w:szCs w:val="21"/>
              </w:rPr>
              <w:t>评分</w:t>
            </w:r>
            <w:r>
              <w:rPr>
                <w:rFonts w:hint="eastAsia" w:ascii="宋体" w:hAnsi="宋体"/>
                <w:b/>
                <w:szCs w:val="21"/>
              </w:rPr>
              <w:br w:type="textWrapping"/>
            </w:r>
            <w:r>
              <w:rPr>
                <w:rFonts w:hint="eastAsia" w:ascii="宋体" w:hAnsi="宋体"/>
                <w:b/>
                <w:szCs w:val="21"/>
              </w:rPr>
              <w:t>因素</w:t>
            </w:r>
          </w:p>
        </w:tc>
        <w:tc>
          <w:tcPr>
            <w:tcW w:w="1150" w:type="dxa"/>
            <w:vAlign w:val="center"/>
          </w:tcPr>
          <w:p>
            <w:pPr>
              <w:adjustRightInd w:val="0"/>
              <w:snapToGrid w:val="0"/>
              <w:jc w:val="center"/>
              <w:rPr>
                <w:rFonts w:ascii="宋体" w:hAnsi="宋体"/>
                <w:b/>
                <w:szCs w:val="21"/>
              </w:rPr>
            </w:pPr>
            <w:r>
              <w:rPr>
                <w:rFonts w:hint="eastAsia" w:ascii="宋体" w:hAnsi="宋体"/>
                <w:b/>
                <w:szCs w:val="21"/>
              </w:rPr>
              <w:t>评分因素</w:t>
            </w:r>
            <w:r>
              <w:rPr>
                <w:rFonts w:hint="eastAsia" w:ascii="宋体" w:hAnsi="宋体"/>
                <w:b/>
                <w:szCs w:val="21"/>
              </w:rPr>
              <w:br w:type="textWrapping"/>
            </w:r>
            <w:r>
              <w:rPr>
                <w:rFonts w:hint="eastAsia" w:ascii="宋体" w:hAnsi="宋体"/>
                <w:b/>
                <w:szCs w:val="21"/>
              </w:rPr>
              <w:t>权重分值</w:t>
            </w:r>
          </w:p>
        </w:tc>
        <w:tc>
          <w:tcPr>
            <w:tcW w:w="1961" w:type="dxa"/>
            <w:vAlign w:val="center"/>
          </w:tcPr>
          <w:p>
            <w:pPr>
              <w:adjustRightInd w:val="0"/>
              <w:snapToGrid w:val="0"/>
              <w:jc w:val="center"/>
              <w:rPr>
                <w:rFonts w:ascii="宋体" w:hAnsi="宋体"/>
                <w:b/>
                <w:szCs w:val="21"/>
              </w:rPr>
            </w:pPr>
            <w:r>
              <w:rPr>
                <w:rFonts w:hint="eastAsia" w:ascii="宋体" w:hAnsi="宋体"/>
                <w:b/>
                <w:szCs w:val="21"/>
              </w:rPr>
              <w:t>各评分因素</w:t>
            </w:r>
            <w:r>
              <w:rPr>
                <w:rFonts w:hint="eastAsia" w:ascii="宋体" w:hAnsi="宋体"/>
                <w:b/>
                <w:szCs w:val="21"/>
              </w:rPr>
              <w:br w:type="textWrapping"/>
            </w:r>
            <w:r>
              <w:rPr>
                <w:rFonts w:hint="eastAsia" w:ascii="宋体" w:hAnsi="宋体"/>
                <w:b/>
                <w:szCs w:val="21"/>
              </w:rPr>
              <w:t>细分项</w:t>
            </w:r>
          </w:p>
        </w:tc>
        <w:tc>
          <w:tcPr>
            <w:tcW w:w="850" w:type="dxa"/>
            <w:vAlign w:val="center"/>
          </w:tcPr>
          <w:p>
            <w:pPr>
              <w:adjustRightInd w:val="0"/>
              <w:snapToGrid w:val="0"/>
              <w:jc w:val="center"/>
              <w:rPr>
                <w:rFonts w:ascii="宋体" w:hAnsi="宋体"/>
                <w:b/>
                <w:szCs w:val="21"/>
              </w:rPr>
            </w:pPr>
            <w:r>
              <w:rPr>
                <w:rFonts w:hint="eastAsia" w:ascii="宋体" w:hAnsi="宋体"/>
                <w:b/>
                <w:szCs w:val="21"/>
              </w:rPr>
              <w:t>分值</w:t>
            </w:r>
          </w:p>
        </w:tc>
        <w:tc>
          <w:tcPr>
            <w:tcW w:w="4111" w:type="dxa"/>
            <w:vMerge w:val="continue"/>
            <w:vAlign w:val="center"/>
          </w:tcPr>
          <w:p>
            <w:pPr>
              <w:widowControl/>
              <w:jc w:val="left"/>
              <w:rPr>
                <w:rFonts w:ascii="宋体" w:hAns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520" w:hRule="atLeast"/>
        </w:trPr>
        <w:tc>
          <w:tcPr>
            <w:tcW w:w="879" w:type="dxa"/>
            <w:vAlign w:val="center"/>
          </w:tcPr>
          <w:p>
            <w:pPr>
              <w:adjustRightInd w:val="0"/>
              <w:snapToGrid w:val="0"/>
              <w:jc w:val="center"/>
              <w:rPr>
                <w:rFonts w:ascii="宋体" w:hAnsi="宋体"/>
                <w:szCs w:val="21"/>
              </w:rPr>
            </w:pPr>
            <w:r>
              <w:rPr>
                <w:rFonts w:hint="eastAsia" w:ascii="宋体" w:hAnsi="宋体"/>
                <w:szCs w:val="21"/>
              </w:rPr>
              <w:t>2.2.4（1）</w:t>
            </w:r>
          </w:p>
        </w:tc>
        <w:tc>
          <w:tcPr>
            <w:tcW w:w="1000" w:type="dxa"/>
            <w:textDirection w:val="tbRlV"/>
            <w:vAlign w:val="center"/>
          </w:tcPr>
          <w:p>
            <w:pPr>
              <w:adjustRightInd w:val="0"/>
              <w:snapToGrid w:val="0"/>
              <w:ind w:left="113" w:right="113"/>
              <w:jc w:val="center"/>
              <w:rPr>
                <w:rFonts w:ascii="宋体" w:hAnsi="宋体"/>
                <w:szCs w:val="21"/>
              </w:rPr>
            </w:pPr>
            <w:r>
              <w:rPr>
                <w:rFonts w:hint="eastAsia" w:ascii="宋体" w:hAnsi="宋体"/>
                <w:szCs w:val="21"/>
              </w:rPr>
              <w:t>施工组织设计</w:t>
            </w:r>
          </w:p>
        </w:tc>
        <w:tc>
          <w:tcPr>
            <w:tcW w:w="1150" w:type="dxa"/>
            <w:vAlign w:val="center"/>
          </w:tcPr>
          <w:p>
            <w:pPr>
              <w:adjustRightInd w:val="0"/>
              <w:snapToGrid w:val="0"/>
              <w:jc w:val="center"/>
              <w:rPr>
                <w:rFonts w:ascii="宋体" w:hAnsi="宋体"/>
                <w:szCs w:val="21"/>
              </w:rPr>
            </w:pPr>
            <w:r>
              <w:rPr>
                <w:rFonts w:hint="eastAsia" w:ascii="宋体" w:hAnsi="宋体"/>
                <w:szCs w:val="21"/>
              </w:rPr>
              <w:t>20分</w:t>
            </w:r>
          </w:p>
        </w:tc>
        <w:tc>
          <w:tcPr>
            <w:tcW w:w="1961" w:type="dxa"/>
            <w:vAlign w:val="center"/>
          </w:tcPr>
          <w:p>
            <w:pPr>
              <w:jc w:val="center"/>
              <w:rPr>
                <w:rFonts w:ascii="宋体" w:hAnsi="宋体"/>
                <w:szCs w:val="21"/>
              </w:rPr>
            </w:pPr>
            <w:r>
              <w:rPr>
                <w:rFonts w:hint="eastAsia" w:ascii="宋体" w:hAnsi="宋体"/>
                <w:szCs w:val="21"/>
              </w:rPr>
              <w:t>施工组织设计</w:t>
            </w:r>
          </w:p>
        </w:tc>
        <w:tc>
          <w:tcPr>
            <w:tcW w:w="850" w:type="dxa"/>
            <w:vAlign w:val="center"/>
          </w:tcPr>
          <w:p>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20分</w:t>
            </w:r>
          </w:p>
        </w:tc>
        <w:tc>
          <w:tcPr>
            <w:tcW w:w="4111" w:type="dxa"/>
            <w:vAlign w:val="center"/>
          </w:tcPr>
          <w:p>
            <w:pPr>
              <w:widowControl/>
              <w:jc w:val="left"/>
              <w:rPr>
                <w:rFonts w:ascii="宋体" w:hAnsi="宋体"/>
                <w:kern w:val="0"/>
                <w:szCs w:val="21"/>
              </w:rPr>
            </w:pPr>
            <w:r>
              <w:rPr>
                <w:rFonts w:hint="eastAsia" w:ascii="宋体" w:hAnsi="宋体"/>
                <w:kern w:val="0"/>
                <w:szCs w:val="21"/>
              </w:rPr>
              <w:t>一般：12分</w:t>
            </w:r>
          </w:p>
          <w:p>
            <w:pPr>
              <w:widowControl/>
              <w:jc w:val="left"/>
              <w:rPr>
                <w:rFonts w:ascii="宋体" w:hAnsi="宋体"/>
                <w:kern w:val="0"/>
                <w:szCs w:val="21"/>
              </w:rPr>
            </w:pPr>
            <w:r>
              <w:rPr>
                <w:rFonts w:hint="eastAsia" w:ascii="宋体" w:hAnsi="宋体"/>
                <w:kern w:val="0"/>
                <w:szCs w:val="21"/>
              </w:rPr>
              <w:t>较好：12-16分</w:t>
            </w:r>
          </w:p>
          <w:p>
            <w:pPr>
              <w:widowControl/>
              <w:jc w:val="left"/>
              <w:rPr>
                <w:rFonts w:ascii="宋体" w:hAnsi="宋体"/>
                <w:kern w:val="0"/>
                <w:szCs w:val="21"/>
              </w:rPr>
            </w:pPr>
            <w:r>
              <w:rPr>
                <w:rFonts w:hint="eastAsia" w:ascii="宋体" w:hAnsi="宋体"/>
                <w:kern w:val="0"/>
                <w:szCs w:val="21"/>
              </w:rPr>
              <w:t>满意：16-20分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rPr>
        <w:tc>
          <w:tcPr>
            <w:tcW w:w="879" w:type="dxa"/>
            <w:vMerge w:val="restart"/>
            <w:vAlign w:val="center"/>
          </w:tcPr>
          <w:p>
            <w:pPr>
              <w:adjustRightInd w:val="0"/>
              <w:snapToGrid w:val="0"/>
              <w:jc w:val="center"/>
              <w:rPr>
                <w:rFonts w:ascii="宋体" w:hAnsi="宋体"/>
                <w:szCs w:val="21"/>
              </w:rPr>
            </w:pPr>
            <w:r>
              <w:rPr>
                <w:rFonts w:hint="eastAsia" w:ascii="宋体" w:hAnsi="宋体"/>
                <w:szCs w:val="21"/>
              </w:rPr>
              <w:t>2.2.4（2）</w:t>
            </w:r>
          </w:p>
        </w:tc>
        <w:tc>
          <w:tcPr>
            <w:tcW w:w="1000" w:type="dxa"/>
            <w:vMerge w:val="restart"/>
            <w:textDirection w:val="tbRlV"/>
            <w:vAlign w:val="center"/>
          </w:tcPr>
          <w:p>
            <w:pPr>
              <w:adjustRightInd w:val="0"/>
              <w:snapToGrid w:val="0"/>
              <w:ind w:left="113" w:right="113"/>
              <w:jc w:val="center"/>
              <w:rPr>
                <w:rFonts w:ascii="宋体" w:hAnsi="宋体"/>
                <w:szCs w:val="21"/>
              </w:rPr>
            </w:pPr>
            <w:r>
              <w:rPr>
                <w:rFonts w:hint="eastAsia" w:ascii="宋体" w:hAnsi="宋体"/>
                <w:szCs w:val="21"/>
              </w:rPr>
              <w:t>主要人员</w:t>
            </w:r>
          </w:p>
        </w:tc>
        <w:tc>
          <w:tcPr>
            <w:tcW w:w="1150" w:type="dxa"/>
            <w:vMerge w:val="restart"/>
            <w:vAlign w:val="center"/>
          </w:tcPr>
          <w:p>
            <w:pPr>
              <w:adjustRightInd w:val="0"/>
              <w:snapToGrid w:val="0"/>
              <w:jc w:val="center"/>
              <w:rPr>
                <w:rFonts w:ascii="宋体" w:hAnsi="宋体"/>
                <w:szCs w:val="21"/>
              </w:rPr>
            </w:pPr>
            <w:r>
              <w:rPr>
                <w:rFonts w:hint="eastAsia" w:ascii="宋体" w:hAnsi="宋体"/>
                <w:szCs w:val="21"/>
              </w:rPr>
              <w:t>10分</w:t>
            </w:r>
          </w:p>
        </w:tc>
        <w:tc>
          <w:tcPr>
            <w:tcW w:w="1961" w:type="dxa"/>
            <w:vAlign w:val="center"/>
          </w:tcPr>
          <w:p>
            <w:pPr>
              <w:adjustRightInd w:val="0"/>
              <w:snapToGrid w:val="0"/>
              <w:spacing w:line="300" w:lineRule="exact"/>
              <w:jc w:val="center"/>
              <w:rPr>
                <w:rFonts w:ascii="宋体" w:hAnsi="宋体"/>
                <w:szCs w:val="21"/>
              </w:rPr>
            </w:pPr>
            <w:r>
              <w:rPr>
                <w:rFonts w:hint="eastAsia" w:ascii="宋体" w:hAnsi="宋体"/>
                <w:szCs w:val="21"/>
              </w:rPr>
              <w:t>项目经理</w:t>
            </w:r>
          </w:p>
          <w:p>
            <w:pPr>
              <w:adjustRightInd w:val="0"/>
              <w:snapToGrid w:val="0"/>
              <w:spacing w:line="300" w:lineRule="exact"/>
              <w:jc w:val="center"/>
              <w:rPr>
                <w:rFonts w:ascii="宋体" w:hAnsi="宋体"/>
                <w:szCs w:val="21"/>
              </w:rPr>
            </w:pPr>
            <w:r>
              <w:rPr>
                <w:rFonts w:hint="eastAsia" w:ascii="宋体" w:hAnsi="宋体"/>
                <w:szCs w:val="21"/>
              </w:rPr>
              <w:t>任职资格和业绩</w:t>
            </w:r>
          </w:p>
        </w:tc>
        <w:tc>
          <w:tcPr>
            <w:tcW w:w="850" w:type="dxa"/>
            <w:vAlign w:val="center"/>
          </w:tcPr>
          <w:p>
            <w:pPr>
              <w:adjustRightInd w:val="0"/>
              <w:snapToGrid w:val="0"/>
              <w:spacing w:line="300" w:lineRule="exact"/>
              <w:jc w:val="center"/>
              <w:rPr>
                <w:rFonts w:ascii="宋体" w:hAnsi="宋体"/>
                <w:szCs w:val="21"/>
              </w:rPr>
            </w:pPr>
            <w:r>
              <w:rPr>
                <w:rFonts w:hint="eastAsia" w:ascii="宋体" w:hAnsi="宋体"/>
                <w:szCs w:val="21"/>
              </w:rPr>
              <w:t>6</w:t>
            </w:r>
            <w:r>
              <w:rPr>
                <w:rFonts w:hint="eastAsia" w:ascii="宋体" w:hAnsi="宋体" w:cs="宋体"/>
                <w:bCs/>
                <w:szCs w:val="21"/>
                <w:lang w:val="zh-CN"/>
              </w:rPr>
              <w:t>分</w:t>
            </w:r>
          </w:p>
        </w:tc>
        <w:tc>
          <w:tcPr>
            <w:tcW w:w="4111" w:type="dxa"/>
            <w:vAlign w:val="center"/>
          </w:tcPr>
          <w:p>
            <w:pPr>
              <w:adjustRightInd w:val="0"/>
              <w:snapToGrid w:val="0"/>
              <w:spacing w:line="300" w:lineRule="exact"/>
              <w:jc w:val="left"/>
              <w:rPr>
                <w:rFonts w:ascii="宋体" w:hAnsi="宋体"/>
                <w:szCs w:val="21"/>
              </w:rPr>
            </w:pPr>
            <w:r>
              <w:rPr>
                <w:rFonts w:hint="eastAsia" w:ascii="宋体" w:hAnsi="宋体"/>
                <w:szCs w:val="21"/>
              </w:rPr>
              <w:t>满足资格审查条件最低要求，得</w:t>
            </w:r>
            <w:r>
              <w:rPr>
                <w:rFonts w:ascii="宋体" w:hAnsi="宋体"/>
                <w:szCs w:val="21"/>
              </w:rPr>
              <w:t>3.6</w:t>
            </w:r>
            <w:r>
              <w:rPr>
                <w:rFonts w:hint="eastAsia" w:ascii="宋体" w:hAnsi="宋体"/>
                <w:szCs w:val="21"/>
              </w:rPr>
              <w:t>分；</w:t>
            </w:r>
          </w:p>
          <w:p>
            <w:pPr>
              <w:adjustRightInd w:val="0"/>
              <w:snapToGrid w:val="0"/>
              <w:spacing w:line="300" w:lineRule="exact"/>
              <w:jc w:val="left"/>
              <w:rPr>
                <w:rFonts w:ascii="宋体" w:hAnsi="宋体"/>
                <w:szCs w:val="21"/>
              </w:rPr>
            </w:pPr>
            <w:r>
              <w:rPr>
                <w:rFonts w:hint="eastAsia" w:ascii="宋体" w:hAnsi="宋体"/>
                <w:szCs w:val="21"/>
              </w:rPr>
              <w:t>在最低要求的基础上，担任过1项高速公路机电工程施工的项目经理任职业绩加2.4分，最多加2.4分。</w:t>
            </w:r>
          </w:p>
          <w:p>
            <w:pPr>
              <w:adjustRightInd w:val="0"/>
              <w:snapToGrid w:val="0"/>
              <w:spacing w:line="300" w:lineRule="exact"/>
              <w:jc w:val="left"/>
              <w:rPr>
                <w:rFonts w:ascii="宋体" w:hAnsi="宋体"/>
                <w:szCs w:val="21"/>
              </w:rPr>
            </w:pPr>
          </w:p>
          <w:p>
            <w:pPr>
              <w:adjustRightInd w:val="0"/>
              <w:snapToGrid w:val="0"/>
              <w:spacing w:line="300" w:lineRule="exact"/>
              <w:jc w:val="left"/>
              <w:rPr>
                <w:rFonts w:ascii="楷体" w:hAnsi="楷体" w:eastAsia="楷体"/>
                <w:szCs w:val="21"/>
              </w:rPr>
            </w:pPr>
            <w:r>
              <w:rPr>
                <w:rFonts w:hint="eastAsia" w:ascii="楷体" w:hAnsi="楷体" w:eastAsia="楷体"/>
                <w:szCs w:val="21"/>
              </w:rPr>
              <w:t>注：项目经理任职业绩应为国内新建或改扩建高速公路机电工程施工业绩，该业绩应是</w:t>
            </w:r>
            <w:r>
              <w:rPr>
                <w:rFonts w:ascii="楷体" w:hAnsi="楷体" w:eastAsia="楷体"/>
                <w:szCs w:val="21"/>
              </w:rPr>
              <w:t>已列入交通运输主管部门“公路建设市场信用信息管理系统”并公开的</w:t>
            </w:r>
            <w:r>
              <w:rPr>
                <w:rFonts w:hint="eastAsia" w:ascii="楷体" w:hAnsi="楷体" w:eastAsia="楷体"/>
                <w:szCs w:val="21"/>
              </w:rPr>
              <w:t>总</w:t>
            </w:r>
            <w:r>
              <w:rPr>
                <w:rFonts w:ascii="楷体" w:hAnsi="楷体" w:eastAsia="楷体"/>
                <w:szCs w:val="21"/>
              </w:rPr>
              <w:t>包已建业绩</w:t>
            </w:r>
            <w:r>
              <w:rPr>
                <w:rFonts w:hint="eastAsia" w:ascii="楷体" w:hAnsi="楷体" w:eastAsia="楷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rPr>
        <w:tc>
          <w:tcPr>
            <w:tcW w:w="879" w:type="dxa"/>
            <w:vMerge w:val="continue"/>
            <w:vAlign w:val="center"/>
          </w:tcPr>
          <w:p>
            <w:pPr>
              <w:widowControl/>
              <w:jc w:val="left"/>
              <w:rPr>
                <w:rFonts w:ascii="宋体" w:hAnsi="宋体"/>
                <w:szCs w:val="21"/>
              </w:rPr>
            </w:pPr>
          </w:p>
        </w:tc>
        <w:tc>
          <w:tcPr>
            <w:tcW w:w="1000" w:type="dxa"/>
            <w:vMerge w:val="continue"/>
            <w:vAlign w:val="center"/>
          </w:tcPr>
          <w:p>
            <w:pPr>
              <w:widowControl/>
              <w:jc w:val="left"/>
              <w:rPr>
                <w:rFonts w:ascii="宋体" w:hAnsi="宋体"/>
                <w:szCs w:val="21"/>
              </w:rPr>
            </w:pPr>
          </w:p>
        </w:tc>
        <w:tc>
          <w:tcPr>
            <w:tcW w:w="1150" w:type="dxa"/>
            <w:vMerge w:val="continue"/>
            <w:vAlign w:val="center"/>
          </w:tcPr>
          <w:p>
            <w:pPr>
              <w:widowControl/>
              <w:jc w:val="left"/>
              <w:rPr>
                <w:rFonts w:ascii="宋体" w:hAnsi="宋体"/>
                <w:szCs w:val="21"/>
              </w:rPr>
            </w:pPr>
          </w:p>
        </w:tc>
        <w:tc>
          <w:tcPr>
            <w:tcW w:w="1961" w:type="dxa"/>
            <w:vAlign w:val="center"/>
          </w:tcPr>
          <w:p>
            <w:pPr>
              <w:adjustRightInd w:val="0"/>
              <w:snapToGrid w:val="0"/>
              <w:spacing w:line="300" w:lineRule="exact"/>
              <w:jc w:val="center"/>
              <w:rPr>
                <w:rFonts w:ascii="宋体" w:hAnsi="宋体"/>
                <w:szCs w:val="21"/>
              </w:rPr>
            </w:pPr>
            <w:r>
              <w:rPr>
                <w:rFonts w:hint="eastAsia" w:ascii="宋体" w:hAnsi="宋体"/>
                <w:szCs w:val="21"/>
              </w:rPr>
              <w:t>项目总工</w:t>
            </w:r>
          </w:p>
          <w:p>
            <w:pPr>
              <w:adjustRightInd w:val="0"/>
              <w:snapToGrid w:val="0"/>
              <w:spacing w:line="300" w:lineRule="exact"/>
              <w:jc w:val="center"/>
              <w:rPr>
                <w:rFonts w:ascii="宋体" w:hAnsi="宋体"/>
                <w:szCs w:val="21"/>
              </w:rPr>
            </w:pPr>
            <w:r>
              <w:rPr>
                <w:rFonts w:hint="eastAsia" w:ascii="宋体" w:hAnsi="宋体"/>
                <w:szCs w:val="21"/>
              </w:rPr>
              <w:t>任职资格和业绩</w:t>
            </w:r>
          </w:p>
        </w:tc>
        <w:tc>
          <w:tcPr>
            <w:tcW w:w="850" w:type="dxa"/>
            <w:vAlign w:val="center"/>
          </w:tcPr>
          <w:p>
            <w:pPr>
              <w:adjustRightInd w:val="0"/>
              <w:snapToGrid w:val="0"/>
              <w:spacing w:line="300" w:lineRule="exact"/>
              <w:jc w:val="center"/>
              <w:rPr>
                <w:rFonts w:ascii="宋体" w:hAnsi="宋体"/>
                <w:szCs w:val="21"/>
              </w:rPr>
            </w:pPr>
            <w:r>
              <w:rPr>
                <w:rFonts w:hint="eastAsia" w:ascii="宋体" w:hAnsi="宋体"/>
                <w:szCs w:val="21"/>
              </w:rPr>
              <w:t>4</w:t>
            </w:r>
            <w:r>
              <w:rPr>
                <w:rFonts w:hint="eastAsia" w:ascii="宋体" w:hAnsi="宋体" w:cs="宋体"/>
                <w:bCs/>
                <w:szCs w:val="21"/>
                <w:lang w:val="zh-CN"/>
              </w:rPr>
              <w:t>分</w:t>
            </w:r>
          </w:p>
        </w:tc>
        <w:tc>
          <w:tcPr>
            <w:tcW w:w="4111" w:type="dxa"/>
            <w:vAlign w:val="center"/>
          </w:tcPr>
          <w:p>
            <w:pPr>
              <w:adjustRightInd w:val="0"/>
              <w:snapToGrid w:val="0"/>
              <w:spacing w:line="300" w:lineRule="exact"/>
              <w:jc w:val="left"/>
              <w:rPr>
                <w:rFonts w:ascii="宋体" w:hAnsi="宋体"/>
                <w:szCs w:val="21"/>
              </w:rPr>
            </w:pPr>
            <w:r>
              <w:rPr>
                <w:rFonts w:hint="eastAsia" w:ascii="宋体" w:hAnsi="宋体"/>
                <w:szCs w:val="21"/>
              </w:rPr>
              <w:t>满足资格审查条件最低要求，得2.4分；</w:t>
            </w:r>
          </w:p>
          <w:p>
            <w:pPr>
              <w:adjustRightInd w:val="0"/>
              <w:snapToGrid w:val="0"/>
              <w:spacing w:line="300" w:lineRule="exact"/>
              <w:jc w:val="left"/>
              <w:rPr>
                <w:rFonts w:ascii="宋体" w:hAnsi="宋体"/>
                <w:szCs w:val="21"/>
              </w:rPr>
            </w:pPr>
            <w:r>
              <w:rPr>
                <w:rFonts w:hint="eastAsia" w:ascii="宋体" w:hAnsi="宋体"/>
                <w:szCs w:val="21"/>
              </w:rPr>
              <w:t>在最低要求的基础上，担任过1项高速公路机电工程施工的项目总工任职业绩加1.6分，最多加1.6分。</w:t>
            </w:r>
          </w:p>
          <w:p>
            <w:pPr>
              <w:adjustRightInd w:val="0"/>
              <w:snapToGrid w:val="0"/>
              <w:spacing w:line="300" w:lineRule="exact"/>
              <w:jc w:val="left"/>
              <w:rPr>
                <w:rFonts w:ascii="宋体" w:hAnsi="宋体"/>
                <w:szCs w:val="21"/>
              </w:rPr>
            </w:pPr>
          </w:p>
          <w:p>
            <w:pPr>
              <w:adjustRightInd w:val="0"/>
              <w:snapToGrid w:val="0"/>
              <w:spacing w:line="300" w:lineRule="exact"/>
              <w:jc w:val="left"/>
              <w:rPr>
                <w:rFonts w:ascii="宋体" w:hAnsi="宋体"/>
                <w:szCs w:val="21"/>
              </w:rPr>
            </w:pPr>
            <w:r>
              <w:rPr>
                <w:rFonts w:hint="eastAsia" w:ascii="楷体" w:hAnsi="楷体" w:eastAsia="楷体"/>
                <w:szCs w:val="21"/>
              </w:rPr>
              <w:t>注：项目总工任职业绩应为国内新建或改扩建高速公路机电工程施工业绩，该业绩应是</w:t>
            </w:r>
            <w:r>
              <w:rPr>
                <w:rFonts w:ascii="楷体" w:hAnsi="楷体" w:eastAsia="楷体"/>
                <w:szCs w:val="21"/>
              </w:rPr>
              <w:t>已列入交通运输主管部门“公路建设市场信用信息管理系统”并公开的</w:t>
            </w:r>
            <w:r>
              <w:rPr>
                <w:rFonts w:hint="eastAsia" w:ascii="楷体" w:hAnsi="楷体" w:eastAsia="楷体"/>
                <w:szCs w:val="21"/>
              </w:rPr>
              <w:t>总</w:t>
            </w:r>
            <w:r>
              <w:rPr>
                <w:rFonts w:ascii="楷体" w:hAnsi="楷体" w:eastAsia="楷体"/>
                <w:szCs w:val="21"/>
              </w:rPr>
              <w:t>包已建业绩</w:t>
            </w:r>
            <w:r>
              <w:rPr>
                <w:rFonts w:hint="eastAsia" w:ascii="楷体" w:hAnsi="楷体" w:eastAsia="楷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trPr>
        <w:tc>
          <w:tcPr>
            <w:tcW w:w="879" w:type="dxa"/>
            <w:vAlign w:val="center"/>
          </w:tcPr>
          <w:p>
            <w:pPr>
              <w:adjustRightInd w:val="0"/>
              <w:snapToGrid w:val="0"/>
              <w:jc w:val="center"/>
              <w:rPr>
                <w:rFonts w:ascii="宋体" w:hAnsi="宋体"/>
                <w:szCs w:val="21"/>
              </w:rPr>
            </w:pPr>
            <w:r>
              <w:rPr>
                <w:rFonts w:hint="eastAsia" w:ascii="宋体" w:hAnsi="宋体"/>
                <w:szCs w:val="21"/>
              </w:rPr>
              <w:t>2.2.4（3）</w:t>
            </w:r>
          </w:p>
        </w:tc>
        <w:tc>
          <w:tcPr>
            <w:tcW w:w="1000" w:type="dxa"/>
            <w:textDirection w:val="tbRlV"/>
            <w:vAlign w:val="center"/>
          </w:tcPr>
          <w:p>
            <w:pPr>
              <w:adjustRightInd w:val="0"/>
              <w:snapToGrid w:val="0"/>
              <w:ind w:left="113" w:right="113"/>
              <w:jc w:val="center"/>
              <w:rPr>
                <w:rFonts w:ascii="宋体" w:hAnsi="宋体"/>
                <w:szCs w:val="21"/>
              </w:rPr>
            </w:pPr>
            <w:r>
              <w:rPr>
                <w:rFonts w:hint="eastAsia" w:ascii="宋体" w:hAnsi="宋体"/>
                <w:szCs w:val="21"/>
              </w:rPr>
              <w:t>评标价</w:t>
            </w:r>
          </w:p>
        </w:tc>
        <w:tc>
          <w:tcPr>
            <w:tcW w:w="1150" w:type="dxa"/>
            <w:vAlign w:val="center"/>
          </w:tcPr>
          <w:p>
            <w:pPr>
              <w:adjustRightInd w:val="0"/>
              <w:snapToGrid w:val="0"/>
              <w:jc w:val="center"/>
              <w:rPr>
                <w:rFonts w:ascii="宋体" w:hAnsi="宋体"/>
                <w:szCs w:val="21"/>
              </w:rPr>
            </w:pPr>
            <w:r>
              <w:rPr>
                <w:rFonts w:hint="eastAsia" w:ascii="宋体" w:hAnsi="宋体"/>
                <w:szCs w:val="21"/>
              </w:rPr>
              <w:t>50分</w:t>
            </w:r>
          </w:p>
        </w:tc>
        <w:tc>
          <w:tcPr>
            <w:tcW w:w="6922" w:type="dxa"/>
            <w:gridSpan w:val="3"/>
            <w:vAlign w:val="center"/>
          </w:tcPr>
          <w:p>
            <w:pPr>
              <w:ind w:left="-78" w:leftChars="-37" w:right="113" w:firstLine="105" w:firstLineChars="50"/>
              <w:rPr>
                <w:rFonts w:ascii="宋体" w:hAnsi="宋体"/>
                <w:szCs w:val="21"/>
              </w:rPr>
            </w:pPr>
            <w:r>
              <w:rPr>
                <w:rFonts w:hint="eastAsia" w:ascii="宋体" w:hAnsi="宋体"/>
                <w:szCs w:val="21"/>
              </w:rPr>
              <w:t>评</w:t>
            </w:r>
            <w:r>
              <w:rPr>
                <w:rFonts w:ascii="宋体" w:hAnsi="宋体"/>
                <w:szCs w:val="21"/>
              </w:rPr>
              <w:t>标价得分计算：</w:t>
            </w:r>
          </w:p>
          <w:p>
            <w:pPr>
              <w:ind w:left="-78" w:leftChars="-37" w:right="113" w:firstLine="105" w:firstLineChars="50"/>
              <w:rPr>
                <w:rFonts w:ascii="宋体" w:hAnsi="宋体"/>
                <w:szCs w:val="21"/>
              </w:rPr>
            </w:pPr>
            <w:r>
              <w:rPr>
                <w:rFonts w:hint="eastAsia" w:ascii="宋体" w:hAnsi="宋体"/>
                <w:szCs w:val="21"/>
              </w:rPr>
              <w:t>（1）如果投标人的评标价＞评标基准价</w:t>
            </w:r>
            <w:r>
              <w:rPr>
                <w:rFonts w:ascii="宋体" w:hAnsi="宋体"/>
                <w:szCs w:val="21"/>
              </w:rPr>
              <w:t>，</w:t>
            </w:r>
            <w:r>
              <w:rPr>
                <w:rFonts w:hint="eastAsia" w:ascii="宋体" w:hAnsi="宋体"/>
                <w:szCs w:val="21"/>
              </w:rPr>
              <w:t>则评标价得分=50-偏差率的绝对值×100×0.</w:t>
            </w:r>
            <w:r>
              <w:rPr>
                <w:rFonts w:ascii="宋体" w:hAnsi="宋体"/>
                <w:szCs w:val="21"/>
              </w:rPr>
              <w:t>2</w:t>
            </w:r>
            <w:r>
              <w:rPr>
                <w:rFonts w:hint="eastAsia" w:ascii="宋体" w:hAnsi="宋体"/>
                <w:szCs w:val="21"/>
              </w:rPr>
              <w:t>；</w:t>
            </w:r>
          </w:p>
          <w:p>
            <w:pPr>
              <w:ind w:left="-78" w:leftChars="-37" w:right="113" w:firstLine="105" w:firstLineChars="50"/>
              <w:rPr>
                <w:rFonts w:ascii="宋体" w:hAnsi="宋体"/>
                <w:szCs w:val="21"/>
              </w:rPr>
            </w:pPr>
            <w:r>
              <w:rPr>
                <w:rFonts w:hint="eastAsia" w:ascii="宋体" w:hAnsi="宋体"/>
                <w:szCs w:val="21"/>
              </w:rPr>
              <w:t>（2）如果投标人的评标价≤评标基准价，则评标价得分=50-偏差率的绝对值×100×0.</w:t>
            </w:r>
            <w:r>
              <w:rPr>
                <w:rFonts w:ascii="宋体" w:hAnsi="宋体"/>
                <w:szCs w:val="21"/>
              </w:rPr>
              <w:t>1</w:t>
            </w:r>
            <w:r>
              <w:rPr>
                <w:rFonts w:hint="eastAsia" w:ascii="宋体" w:hAnsi="宋体"/>
                <w:szCs w:val="21"/>
              </w:rPr>
              <w:t>。</w:t>
            </w:r>
          </w:p>
          <w:p>
            <w:pPr>
              <w:ind w:left="-78" w:leftChars="-37" w:right="113" w:firstLine="105" w:firstLineChars="50"/>
              <w:rPr>
                <w:rFonts w:ascii="宋体" w:hAnsi="宋体"/>
                <w:szCs w:val="21"/>
              </w:rPr>
            </w:pPr>
            <w:r>
              <w:rPr>
                <w:rFonts w:hint="eastAsia" w:ascii="宋体" w:hAnsi="宋体"/>
                <w:szCs w:val="21"/>
              </w:rPr>
              <w:t>评标价得分最低扣至0分。</w:t>
            </w:r>
          </w:p>
        </w:tc>
      </w:tr>
    </w:tbl>
    <w:p>
      <w:r>
        <w:br w:type="page"/>
      </w:r>
    </w:p>
    <w:tbl>
      <w:tblPr>
        <w:tblStyle w:val="14"/>
        <w:tblW w:w="96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8"/>
        <w:gridCol w:w="710"/>
        <w:gridCol w:w="708"/>
        <w:gridCol w:w="851"/>
        <w:gridCol w:w="849"/>
        <w:gridCol w:w="852"/>
        <w:gridCol w:w="4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4848" w:type="dxa"/>
            <w:gridSpan w:val="6"/>
            <w:vAlign w:val="center"/>
          </w:tcPr>
          <w:p>
            <w:pPr>
              <w:adjustRightInd w:val="0"/>
              <w:snapToGrid w:val="0"/>
              <w:spacing w:before="100" w:beforeAutospacing="1" w:after="100" w:afterAutospacing="1"/>
              <w:jc w:val="center"/>
              <w:rPr>
                <w:rFonts w:ascii="宋体" w:hAnsi="宋体"/>
                <w:b/>
                <w:szCs w:val="21"/>
              </w:rPr>
            </w:pPr>
            <w:r>
              <w:rPr>
                <w:rFonts w:hint="eastAsia" w:ascii="宋体" w:hAnsi="宋体"/>
                <w:b/>
                <w:szCs w:val="21"/>
              </w:rPr>
              <w:t>评分因素与权重分值</w:t>
            </w:r>
          </w:p>
        </w:tc>
        <w:tc>
          <w:tcPr>
            <w:tcW w:w="4847" w:type="dxa"/>
            <w:vMerge w:val="restart"/>
            <w:vAlign w:val="center"/>
          </w:tcPr>
          <w:p>
            <w:pPr>
              <w:adjustRightInd w:val="0"/>
              <w:snapToGrid w:val="0"/>
              <w:spacing w:before="100" w:beforeAutospacing="1" w:after="100" w:afterAutospacing="1"/>
              <w:jc w:val="center"/>
              <w:rPr>
                <w:rFonts w:ascii="宋体" w:hAnsi="宋体"/>
                <w:b/>
                <w:szCs w:val="21"/>
              </w:rPr>
            </w:pPr>
            <w:r>
              <w:rPr>
                <w:rFonts w:hint="eastAsia" w:ascii="宋体" w:hAnsi="宋体"/>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8" w:type="dxa"/>
            <w:vAlign w:val="center"/>
          </w:tcPr>
          <w:p>
            <w:pPr>
              <w:adjustRightInd w:val="0"/>
              <w:snapToGrid w:val="0"/>
              <w:spacing w:before="100" w:beforeAutospacing="1" w:after="100" w:afterAutospacing="1"/>
              <w:jc w:val="center"/>
              <w:rPr>
                <w:rFonts w:ascii="宋体" w:hAnsi="宋体"/>
                <w:b/>
                <w:szCs w:val="21"/>
              </w:rPr>
            </w:pPr>
            <w:r>
              <w:rPr>
                <w:rFonts w:hint="eastAsia" w:ascii="宋体" w:hAnsi="宋体"/>
                <w:b/>
                <w:szCs w:val="21"/>
              </w:rPr>
              <w:t>条款号</w:t>
            </w:r>
          </w:p>
        </w:tc>
        <w:tc>
          <w:tcPr>
            <w:tcW w:w="1418" w:type="dxa"/>
            <w:gridSpan w:val="2"/>
            <w:vAlign w:val="center"/>
          </w:tcPr>
          <w:p>
            <w:pPr>
              <w:adjustRightInd w:val="0"/>
              <w:snapToGrid w:val="0"/>
              <w:spacing w:before="100" w:beforeAutospacing="1" w:after="100" w:afterAutospacing="1"/>
              <w:jc w:val="center"/>
              <w:rPr>
                <w:rFonts w:ascii="宋体" w:hAnsi="宋体"/>
                <w:b/>
                <w:szCs w:val="21"/>
              </w:rPr>
            </w:pPr>
            <w:r>
              <w:rPr>
                <w:rFonts w:hint="eastAsia" w:ascii="宋体" w:hAnsi="宋体"/>
                <w:b/>
                <w:szCs w:val="21"/>
              </w:rPr>
              <w:t>评分因素</w:t>
            </w:r>
          </w:p>
        </w:tc>
        <w:tc>
          <w:tcPr>
            <w:tcW w:w="851" w:type="dxa"/>
            <w:vAlign w:val="center"/>
          </w:tcPr>
          <w:p>
            <w:pPr>
              <w:adjustRightInd w:val="0"/>
              <w:snapToGrid w:val="0"/>
              <w:spacing w:before="100" w:beforeAutospacing="1" w:after="100" w:afterAutospacing="1"/>
              <w:jc w:val="center"/>
              <w:rPr>
                <w:rFonts w:ascii="宋体" w:hAnsi="宋体"/>
                <w:b/>
                <w:w w:val="90"/>
                <w:szCs w:val="21"/>
              </w:rPr>
            </w:pPr>
            <w:r>
              <w:rPr>
                <w:rFonts w:hint="eastAsia" w:ascii="宋体" w:hAnsi="宋体"/>
                <w:b/>
                <w:w w:val="90"/>
                <w:szCs w:val="21"/>
              </w:rPr>
              <w:t>评分因素</w:t>
            </w:r>
            <w:r>
              <w:rPr>
                <w:rFonts w:hint="eastAsia" w:ascii="宋体" w:hAnsi="宋体"/>
                <w:b/>
                <w:w w:val="90"/>
                <w:szCs w:val="21"/>
              </w:rPr>
              <w:br w:type="textWrapping"/>
            </w:r>
            <w:r>
              <w:rPr>
                <w:rFonts w:hint="eastAsia" w:ascii="宋体" w:hAnsi="宋体"/>
                <w:b/>
                <w:w w:val="90"/>
                <w:szCs w:val="21"/>
              </w:rPr>
              <w:t>权重分值</w:t>
            </w:r>
          </w:p>
        </w:tc>
        <w:tc>
          <w:tcPr>
            <w:tcW w:w="849" w:type="dxa"/>
            <w:vAlign w:val="center"/>
          </w:tcPr>
          <w:p>
            <w:pPr>
              <w:adjustRightInd w:val="0"/>
              <w:snapToGrid w:val="0"/>
              <w:spacing w:before="100" w:beforeAutospacing="1" w:after="100" w:afterAutospacing="1"/>
              <w:jc w:val="center"/>
              <w:rPr>
                <w:rFonts w:ascii="宋体" w:hAnsi="宋体"/>
                <w:b/>
                <w:szCs w:val="21"/>
              </w:rPr>
            </w:pPr>
            <w:r>
              <w:rPr>
                <w:rFonts w:hint="eastAsia" w:ascii="宋体" w:hAnsi="宋体"/>
                <w:b/>
                <w:szCs w:val="21"/>
              </w:rPr>
              <w:t>各评分因素</w:t>
            </w:r>
            <w:r>
              <w:rPr>
                <w:rFonts w:hint="eastAsia" w:ascii="宋体" w:hAnsi="宋体"/>
                <w:b/>
                <w:szCs w:val="21"/>
              </w:rPr>
              <w:br w:type="textWrapping"/>
            </w:r>
            <w:r>
              <w:rPr>
                <w:rFonts w:hint="eastAsia" w:ascii="宋体" w:hAnsi="宋体"/>
                <w:b/>
                <w:szCs w:val="21"/>
              </w:rPr>
              <w:t>细分项</w:t>
            </w:r>
          </w:p>
        </w:tc>
        <w:tc>
          <w:tcPr>
            <w:tcW w:w="852" w:type="dxa"/>
            <w:vAlign w:val="center"/>
          </w:tcPr>
          <w:p>
            <w:pPr>
              <w:adjustRightInd w:val="0"/>
              <w:snapToGrid w:val="0"/>
              <w:spacing w:before="100" w:beforeAutospacing="1" w:after="100" w:afterAutospacing="1"/>
              <w:jc w:val="center"/>
              <w:rPr>
                <w:rFonts w:ascii="宋体" w:hAnsi="宋体"/>
                <w:b/>
                <w:szCs w:val="21"/>
              </w:rPr>
            </w:pPr>
            <w:r>
              <w:rPr>
                <w:rFonts w:hint="eastAsia" w:ascii="宋体" w:hAnsi="宋体"/>
                <w:b/>
                <w:szCs w:val="21"/>
              </w:rPr>
              <w:t>分值</w:t>
            </w:r>
          </w:p>
        </w:tc>
        <w:tc>
          <w:tcPr>
            <w:tcW w:w="4847" w:type="dxa"/>
            <w:vMerge w:val="continue"/>
            <w:vAlign w:val="center"/>
          </w:tcPr>
          <w:p>
            <w:pPr>
              <w:widowControl/>
              <w:jc w:val="left"/>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8" w:type="dxa"/>
            <w:vMerge w:val="restart"/>
            <w:vAlign w:val="center"/>
          </w:tcPr>
          <w:p>
            <w:pPr>
              <w:adjustRightInd w:val="0"/>
              <w:snapToGrid w:val="0"/>
              <w:spacing w:before="100" w:beforeAutospacing="1" w:after="100" w:afterAutospacing="1"/>
              <w:jc w:val="center"/>
              <w:rPr>
                <w:rFonts w:ascii="宋体" w:hAnsi="宋体"/>
                <w:szCs w:val="21"/>
              </w:rPr>
            </w:pPr>
            <w:r>
              <w:rPr>
                <w:szCs w:val="21"/>
              </w:rPr>
              <w:t>2</w:t>
            </w:r>
            <w:r>
              <w:rPr>
                <w:rFonts w:hint="eastAsia" w:ascii="宋体" w:hAnsi="宋体"/>
                <w:szCs w:val="21"/>
              </w:rPr>
              <w:t>.</w:t>
            </w:r>
            <w:r>
              <w:rPr>
                <w:szCs w:val="21"/>
              </w:rPr>
              <w:t>2</w:t>
            </w:r>
            <w:r>
              <w:rPr>
                <w:rFonts w:hint="eastAsia" w:ascii="宋体" w:hAnsi="宋体"/>
                <w:szCs w:val="21"/>
              </w:rPr>
              <w:t>.</w:t>
            </w:r>
            <w:r>
              <w:rPr>
                <w:szCs w:val="21"/>
              </w:rPr>
              <w:t>4</w:t>
            </w:r>
            <w:r>
              <w:rPr>
                <w:rFonts w:hint="eastAsia" w:ascii="宋体" w:hAnsi="宋体"/>
                <w:szCs w:val="21"/>
              </w:rPr>
              <w:t>（</w:t>
            </w:r>
            <w:r>
              <w:rPr>
                <w:szCs w:val="21"/>
              </w:rPr>
              <w:t>4</w:t>
            </w:r>
            <w:r>
              <w:rPr>
                <w:rFonts w:hint="eastAsia" w:ascii="宋体" w:hAnsi="宋体"/>
                <w:szCs w:val="21"/>
              </w:rPr>
              <w:t>）</w:t>
            </w:r>
          </w:p>
        </w:tc>
        <w:tc>
          <w:tcPr>
            <w:tcW w:w="710" w:type="dxa"/>
            <w:vMerge w:val="restart"/>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其他</w:t>
            </w:r>
          </w:p>
          <w:p>
            <w:pPr>
              <w:adjustRightInd w:val="0"/>
              <w:snapToGrid w:val="0"/>
              <w:spacing w:before="100" w:beforeAutospacing="1" w:after="100" w:afterAutospacing="1"/>
              <w:jc w:val="center"/>
              <w:rPr>
                <w:rFonts w:ascii="宋体" w:hAnsi="宋体"/>
                <w:szCs w:val="21"/>
              </w:rPr>
            </w:pPr>
            <w:r>
              <w:rPr>
                <w:rFonts w:hint="eastAsia" w:ascii="宋体" w:hAnsi="宋体"/>
                <w:szCs w:val="21"/>
              </w:rPr>
              <w:t>因素</w:t>
            </w:r>
          </w:p>
        </w:tc>
        <w:tc>
          <w:tcPr>
            <w:tcW w:w="708" w:type="dxa"/>
            <w:vAlign w:val="center"/>
          </w:tcPr>
          <w:p>
            <w:pPr>
              <w:adjustRightInd w:val="0"/>
              <w:snapToGrid w:val="0"/>
              <w:spacing w:before="100" w:beforeAutospacing="1" w:after="100" w:afterAutospacing="1"/>
              <w:jc w:val="center"/>
              <w:rPr>
                <w:rStyle w:val="36"/>
                <w:szCs w:val="21"/>
              </w:rPr>
            </w:pPr>
            <w:r>
              <w:rPr>
                <w:rStyle w:val="36"/>
                <w:rFonts w:hint="eastAsia"/>
                <w:szCs w:val="21"/>
              </w:rPr>
              <w:t>业绩</w:t>
            </w:r>
          </w:p>
        </w:tc>
        <w:tc>
          <w:tcPr>
            <w:tcW w:w="851"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7分</w:t>
            </w:r>
          </w:p>
        </w:tc>
        <w:tc>
          <w:tcPr>
            <w:tcW w:w="849" w:type="dxa"/>
            <w:vAlign w:val="center"/>
          </w:tcPr>
          <w:p>
            <w:pPr>
              <w:adjustRightInd w:val="0"/>
              <w:snapToGrid w:val="0"/>
              <w:jc w:val="center"/>
              <w:rPr>
                <w:rFonts w:ascii="宋体" w:hAnsi="宋体"/>
                <w:szCs w:val="21"/>
              </w:rPr>
            </w:pPr>
            <w:r>
              <w:rPr>
                <w:rFonts w:hint="eastAsia" w:ascii="宋体" w:hAnsi="宋体"/>
                <w:szCs w:val="21"/>
              </w:rPr>
              <w:t>高速</w:t>
            </w:r>
          </w:p>
          <w:p>
            <w:pPr>
              <w:adjustRightInd w:val="0"/>
              <w:snapToGrid w:val="0"/>
              <w:jc w:val="center"/>
              <w:rPr>
                <w:rFonts w:ascii="宋体" w:hAnsi="宋体"/>
                <w:szCs w:val="21"/>
              </w:rPr>
            </w:pPr>
            <w:r>
              <w:rPr>
                <w:rFonts w:hint="eastAsia" w:ascii="宋体" w:hAnsi="宋体"/>
                <w:szCs w:val="21"/>
              </w:rPr>
              <w:t>公路</w:t>
            </w:r>
          </w:p>
          <w:p>
            <w:pPr>
              <w:adjustRightInd w:val="0"/>
              <w:snapToGrid w:val="0"/>
              <w:jc w:val="center"/>
              <w:rPr>
                <w:rFonts w:ascii="宋体" w:hAnsi="宋体"/>
                <w:szCs w:val="21"/>
              </w:rPr>
            </w:pPr>
            <w:r>
              <w:rPr>
                <w:rFonts w:hint="eastAsia" w:ascii="宋体" w:hAnsi="宋体"/>
                <w:szCs w:val="21"/>
              </w:rPr>
              <w:t>机电</w:t>
            </w:r>
          </w:p>
          <w:p>
            <w:pPr>
              <w:adjustRightInd w:val="0"/>
              <w:snapToGrid w:val="0"/>
              <w:jc w:val="center"/>
              <w:rPr>
                <w:rFonts w:ascii="宋体" w:hAnsi="宋体"/>
                <w:szCs w:val="21"/>
              </w:rPr>
            </w:pPr>
            <w:r>
              <w:rPr>
                <w:rFonts w:hint="eastAsia" w:ascii="宋体" w:hAnsi="宋体"/>
                <w:szCs w:val="21"/>
              </w:rPr>
              <w:t>工程</w:t>
            </w:r>
          </w:p>
        </w:tc>
        <w:tc>
          <w:tcPr>
            <w:tcW w:w="852"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7分</w:t>
            </w:r>
          </w:p>
        </w:tc>
        <w:tc>
          <w:tcPr>
            <w:tcW w:w="4847" w:type="dxa"/>
            <w:vAlign w:val="center"/>
          </w:tcPr>
          <w:p>
            <w:pPr>
              <w:adjustRightInd w:val="0"/>
              <w:snapToGrid w:val="0"/>
              <w:spacing w:line="300" w:lineRule="exact"/>
              <w:jc w:val="left"/>
              <w:rPr>
                <w:rFonts w:ascii="宋体" w:hAnsi="宋体"/>
                <w:szCs w:val="21"/>
              </w:rPr>
            </w:pPr>
            <w:r>
              <w:rPr>
                <w:rFonts w:hint="eastAsia" w:ascii="宋体" w:hAnsi="宋体"/>
                <w:szCs w:val="21"/>
              </w:rPr>
              <w:t>满足资格审查条件最低要求，得4.2分；</w:t>
            </w:r>
          </w:p>
          <w:p>
            <w:pPr>
              <w:adjustRightInd w:val="0"/>
              <w:snapToGrid w:val="0"/>
              <w:spacing w:line="300" w:lineRule="exact"/>
              <w:jc w:val="left"/>
              <w:rPr>
                <w:rFonts w:ascii="宋体" w:hAnsi="宋体"/>
                <w:szCs w:val="21"/>
              </w:rPr>
            </w:pPr>
            <w:r>
              <w:rPr>
                <w:rFonts w:hint="eastAsia" w:ascii="宋体" w:hAnsi="宋体"/>
                <w:szCs w:val="21"/>
              </w:rPr>
              <w:t>在最低要求的基础上，每增加1项有效业绩加1.4分，最多加2.8分。</w:t>
            </w:r>
          </w:p>
          <w:p>
            <w:pPr>
              <w:adjustRightInd w:val="0"/>
              <w:snapToGrid w:val="0"/>
              <w:spacing w:line="300" w:lineRule="exact"/>
              <w:jc w:val="left"/>
              <w:rPr>
                <w:rFonts w:ascii="宋体" w:hAnsi="宋体"/>
                <w:szCs w:val="21"/>
              </w:rPr>
            </w:pPr>
          </w:p>
          <w:p>
            <w:pPr>
              <w:adjustRightInd w:val="0"/>
              <w:snapToGrid w:val="0"/>
              <w:spacing w:before="31" w:beforeLines="10" w:after="31" w:afterLines="10"/>
              <w:ind w:firstLine="210" w:firstLineChars="100"/>
              <w:jc w:val="left"/>
              <w:rPr>
                <w:rFonts w:ascii="宋体" w:hAnsi="宋体"/>
                <w:szCs w:val="21"/>
              </w:rPr>
            </w:pPr>
            <w:r>
              <w:rPr>
                <w:rFonts w:hint="eastAsia" w:ascii="楷体" w:hAnsi="楷体" w:eastAsia="楷体"/>
                <w:szCs w:val="21"/>
              </w:rPr>
              <w:t>注：有效业绩指符合“投标人须前附表”附录3资格审查条件（业绩最低要求）的业绩。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92" w:hRule="atLeast"/>
          <w:jc w:val="center"/>
        </w:trPr>
        <w:tc>
          <w:tcPr>
            <w:tcW w:w="878" w:type="dxa"/>
            <w:vMerge w:val="continue"/>
            <w:vAlign w:val="center"/>
          </w:tcPr>
          <w:p>
            <w:pPr>
              <w:adjustRightInd w:val="0"/>
              <w:snapToGrid w:val="0"/>
              <w:spacing w:before="100" w:beforeAutospacing="1" w:after="100" w:afterAutospacing="1"/>
              <w:jc w:val="center"/>
              <w:rPr>
                <w:szCs w:val="21"/>
              </w:rPr>
            </w:pPr>
          </w:p>
        </w:tc>
        <w:tc>
          <w:tcPr>
            <w:tcW w:w="710" w:type="dxa"/>
            <w:vMerge w:val="continue"/>
            <w:vAlign w:val="center"/>
          </w:tcPr>
          <w:p>
            <w:pPr>
              <w:adjustRightInd w:val="0"/>
              <w:snapToGrid w:val="0"/>
              <w:spacing w:before="100" w:beforeAutospacing="1" w:after="100" w:afterAutospacing="1"/>
              <w:ind w:left="113"/>
              <w:jc w:val="center"/>
              <w:rPr>
                <w:rFonts w:ascii="宋体" w:hAnsi="宋体"/>
                <w:szCs w:val="21"/>
              </w:rPr>
            </w:pPr>
          </w:p>
        </w:tc>
        <w:tc>
          <w:tcPr>
            <w:tcW w:w="708" w:type="dxa"/>
            <w:vAlign w:val="center"/>
          </w:tcPr>
          <w:p>
            <w:pPr>
              <w:adjustRightInd w:val="0"/>
              <w:snapToGrid w:val="0"/>
              <w:jc w:val="center"/>
              <w:rPr>
                <w:rFonts w:ascii="宋体" w:hAnsi="宋体"/>
                <w:szCs w:val="21"/>
              </w:rPr>
            </w:pPr>
            <w:r>
              <w:rPr>
                <w:rFonts w:hint="eastAsia" w:ascii="宋体" w:hAnsi="宋体"/>
                <w:szCs w:val="21"/>
              </w:rPr>
              <w:t>履约</w:t>
            </w:r>
          </w:p>
          <w:p>
            <w:pPr>
              <w:adjustRightInd w:val="0"/>
              <w:snapToGrid w:val="0"/>
              <w:jc w:val="center"/>
              <w:rPr>
                <w:rStyle w:val="36"/>
                <w:szCs w:val="21"/>
              </w:rPr>
            </w:pPr>
            <w:r>
              <w:rPr>
                <w:rFonts w:hint="eastAsia" w:ascii="宋体" w:hAnsi="宋体"/>
                <w:szCs w:val="21"/>
              </w:rPr>
              <w:t>信誉</w:t>
            </w:r>
          </w:p>
        </w:tc>
        <w:tc>
          <w:tcPr>
            <w:tcW w:w="851"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3分</w:t>
            </w:r>
          </w:p>
        </w:tc>
        <w:tc>
          <w:tcPr>
            <w:tcW w:w="849" w:type="dxa"/>
            <w:vAlign w:val="center"/>
          </w:tcPr>
          <w:p>
            <w:pPr>
              <w:adjustRightInd w:val="0"/>
              <w:snapToGrid w:val="0"/>
              <w:jc w:val="center"/>
              <w:rPr>
                <w:rFonts w:ascii="宋体" w:hAnsi="宋体"/>
                <w:szCs w:val="21"/>
              </w:rPr>
            </w:pPr>
            <w:r>
              <w:rPr>
                <w:rFonts w:hint="eastAsia" w:ascii="宋体" w:hAnsi="宋体"/>
                <w:szCs w:val="21"/>
              </w:rPr>
              <w:t>信用</w:t>
            </w:r>
          </w:p>
          <w:p>
            <w:pPr>
              <w:adjustRightInd w:val="0"/>
              <w:snapToGrid w:val="0"/>
              <w:jc w:val="center"/>
              <w:rPr>
                <w:rFonts w:ascii="宋体" w:hAnsi="宋体"/>
                <w:szCs w:val="21"/>
              </w:rPr>
            </w:pPr>
            <w:r>
              <w:rPr>
                <w:rFonts w:hint="eastAsia" w:ascii="宋体" w:hAnsi="宋体"/>
                <w:szCs w:val="21"/>
              </w:rPr>
              <w:t>评价</w:t>
            </w:r>
          </w:p>
        </w:tc>
        <w:tc>
          <w:tcPr>
            <w:tcW w:w="852"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3分</w:t>
            </w:r>
          </w:p>
        </w:tc>
        <w:tc>
          <w:tcPr>
            <w:tcW w:w="4847" w:type="dxa"/>
            <w:vAlign w:val="center"/>
          </w:tcPr>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本次评标优先采用以下所列顺位在前的企业信用等级：</w:t>
            </w:r>
          </w:p>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（1）2020年吉林省公路施工企业省级信用评价结果中投标人的企业信用等级；</w:t>
            </w:r>
          </w:p>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（2）交通运输部“全国公路建设市场信用信息管理系统”“全国公路从业单位信用评价结果”中投标人的全国综合评价2019年度企业信用等级；</w:t>
            </w:r>
          </w:p>
          <w:p>
            <w:pPr>
              <w:adjustRightInd w:val="0"/>
              <w:snapToGrid w:val="0"/>
              <w:spacing w:before="31" w:beforeLines="10" w:after="31" w:afterLines="10"/>
              <w:ind w:firstLine="210" w:firstLineChars="100"/>
              <w:jc w:val="left"/>
              <w:rPr>
                <w:rFonts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无上述企业信用评价的，若未列入交通运输部“全国公路建设市场信用信息管理系统”“不良信用记录”的，按A级对待，否则按C级、D级对待。</w:t>
            </w:r>
          </w:p>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AA、A级        3分</w:t>
            </w:r>
          </w:p>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其他等级       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51" w:hRule="atLeast"/>
          <w:jc w:val="center"/>
        </w:trPr>
        <w:tc>
          <w:tcPr>
            <w:tcW w:w="878" w:type="dxa"/>
            <w:vMerge w:val="continue"/>
            <w:vAlign w:val="center"/>
          </w:tcPr>
          <w:p>
            <w:pPr>
              <w:adjustRightInd w:val="0"/>
              <w:snapToGrid w:val="0"/>
              <w:spacing w:before="100" w:beforeAutospacing="1" w:after="100" w:afterAutospacing="1"/>
              <w:jc w:val="center"/>
              <w:rPr>
                <w:szCs w:val="21"/>
              </w:rPr>
            </w:pPr>
          </w:p>
        </w:tc>
        <w:tc>
          <w:tcPr>
            <w:tcW w:w="710" w:type="dxa"/>
            <w:vMerge w:val="continue"/>
            <w:vAlign w:val="center"/>
          </w:tcPr>
          <w:p>
            <w:pPr>
              <w:adjustRightInd w:val="0"/>
              <w:snapToGrid w:val="0"/>
              <w:spacing w:before="100" w:beforeAutospacing="1" w:after="100" w:afterAutospacing="1"/>
              <w:ind w:left="113"/>
              <w:jc w:val="center"/>
              <w:rPr>
                <w:rFonts w:ascii="宋体" w:hAnsi="宋体"/>
                <w:szCs w:val="21"/>
              </w:rPr>
            </w:pPr>
          </w:p>
        </w:tc>
        <w:tc>
          <w:tcPr>
            <w:tcW w:w="708" w:type="dxa"/>
            <w:vAlign w:val="center"/>
          </w:tcPr>
          <w:p>
            <w:pPr>
              <w:adjustRightInd w:val="0"/>
              <w:snapToGrid w:val="0"/>
              <w:jc w:val="center"/>
              <w:rPr>
                <w:rStyle w:val="36"/>
                <w:szCs w:val="21"/>
              </w:rPr>
            </w:pPr>
            <w:r>
              <w:rPr>
                <w:rStyle w:val="36"/>
                <w:rFonts w:hint="eastAsia"/>
                <w:szCs w:val="21"/>
              </w:rPr>
              <w:t>缺陷责任期</w:t>
            </w:r>
          </w:p>
          <w:p>
            <w:pPr>
              <w:adjustRightInd w:val="0"/>
              <w:snapToGrid w:val="0"/>
              <w:jc w:val="center"/>
              <w:rPr>
                <w:rFonts w:ascii="宋体" w:hAnsi="宋体"/>
                <w:szCs w:val="21"/>
              </w:rPr>
            </w:pPr>
            <w:r>
              <w:rPr>
                <w:rStyle w:val="36"/>
                <w:rFonts w:hint="eastAsia"/>
                <w:szCs w:val="21"/>
              </w:rPr>
              <w:t>服务</w:t>
            </w:r>
          </w:p>
        </w:tc>
        <w:tc>
          <w:tcPr>
            <w:tcW w:w="851"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3分</w:t>
            </w:r>
          </w:p>
        </w:tc>
        <w:tc>
          <w:tcPr>
            <w:tcW w:w="849" w:type="dxa"/>
            <w:vAlign w:val="center"/>
          </w:tcPr>
          <w:p>
            <w:pPr>
              <w:adjustRightInd w:val="0"/>
              <w:snapToGrid w:val="0"/>
              <w:jc w:val="center"/>
              <w:rPr>
                <w:rFonts w:ascii="宋体" w:hAnsi="宋体"/>
                <w:szCs w:val="21"/>
              </w:rPr>
            </w:pPr>
            <w:r>
              <w:rPr>
                <w:rStyle w:val="36"/>
                <w:rFonts w:hint="eastAsia"/>
                <w:szCs w:val="21"/>
              </w:rPr>
              <w:t>缺陷责任期</w:t>
            </w:r>
          </w:p>
        </w:tc>
        <w:tc>
          <w:tcPr>
            <w:tcW w:w="852"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3分</w:t>
            </w:r>
          </w:p>
        </w:tc>
        <w:tc>
          <w:tcPr>
            <w:tcW w:w="4847" w:type="dxa"/>
            <w:vAlign w:val="center"/>
          </w:tcPr>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满足招标文件规定的缺陷责任期（免费保修与运行维护期，最低</w:t>
            </w:r>
            <w:r>
              <w:rPr>
                <w:rFonts w:ascii="宋体" w:hAnsi="宋体"/>
                <w:szCs w:val="21"/>
              </w:rPr>
              <w:t>2</w:t>
            </w:r>
            <w:r>
              <w:rPr>
                <w:rFonts w:hint="eastAsia" w:ascii="宋体" w:hAnsi="宋体"/>
                <w:szCs w:val="21"/>
              </w:rPr>
              <w:t>年），得</w:t>
            </w:r>
            <w:r>
              <w:rPr>
                <w:rFonts w:ascii="宋体" w:hAnsi="宋体"/>
                <w:szCs w:val="21"/>
              </w:rPr>
              <w:t>1.8</w:t>
            </w:r>
            <w:r>
              <w:rPr>
                <w:rFonts w:hint="eastAsia" w:ascii="宋体" w:hAnsi="宋体"/>
                <w:szCs w:val="21"/>
              </w:rPr>
              <w:t>分。</w:t>
            </w:r>
          </w:p>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在此基础上，投标人承诺的缺陷责任期（免费保修与运行维护期，</w:t>
            </w:r>
            <w:r>
              <w:rPr>
                <w:rFonts w:hint="eastAsia" w:ascii="宋体" w:hAnsi="宋体"/>
              </w:rPr>
              <w:t>以投标函中</w:t>
            </w:r>
            <w:r>
              <w:rPr>
                <w:rFonts w:hint="eastAsia" w:ascii="宋体" w:hAnsi="宋体"/>
                <w:szCs w:val="21"/>
              </w:rPr>
              <w:t>承诺</w:t>
            </w:r>
            <w:r>
              <w:rPr>
                <w:rFonts w:hint="eastAsia" w:ascii="宋体" w:hAnsi="宋体"/>
              </w:rPr>
              <w:t>的年限为准</w:t>
            </w:r>
            <w:r>
              <w:rPr>
                <w:rFonts w:hint="eastAsia" w:ascii="宋体" w:hAnsi="宋体"/>
                <w:szCs w:val="21"/>
              </w:rPr>
              <w:t>）每延长1年加</w:t>
            </w:r>
            <w:r>
              <w:rPr>
                <w:rFonts w:ascii="宋体" w:hAnsi="宋体"/>
                <w:szCs w:val="21"/>
              </w:rPr>
              <w:t>0.4</w:t>
            </w:r>
            <w:r>
              <w:rPr>
                <w:rFonts w:hint="eastAsia" w:ascii="宋体" w:hAnsi="宋体"/>
                <w:szCs w:val="21"/>
              </w:rPr>
              <w:t>分，最多加</w:t>
            </w:r>
            <w:r>
              <w:rPr>
                <w:rFonts w:ascii="宋体" w:hAnsi="宋体"/>
                <w:szCs w:val="21"/>
              </w:rPr>
              <w:t>1.2</w:t>
            </w:r>
            <w:r>
              <w:rPr>
                <w:rFonts w:hint="eastAsia" w:ascii="宋体" w:hAnsi="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8" w:type="dxa"/>
            <w:vMerge w:val="continue"/>
            <w:vAlign w:val="center"/>
          </w:tcPr>
          <w:p>
            <w:pPr>
              <w:adjustRightInd w:val="0"/>
              <w:snapToGrid w:val="0"/>
              <w:spacing w:before="100" w:beforeAutospacing="1" w:after="100" w:afterAutospacing="1"/>
              <w:jc w:val="center"/>
              <w:rPr>
                <w:szCs w:val="21"/>
              </w:rPr>
            </w:pPr>
          </w:p>
        </w:tc>
        <w:tc>
          <w:tcPr>
            <w:tcW w:w="710" w:type="dxa"/>
            <w:vMerge w:val="continue"/>
            <w:vAlign w:val="center"/>
          </w:tcPr>
          <w:p>
            <w:pPr>
              <w:adjustRightInd w:val="0"/>
              <w:snapToGrid w:val="0"/>
              <w:spacing w:before="100" w:beforeAutospacing="1" w:after="100" w:afterAutospacing="1"/>
              <w:ind w:left="113"/>
              <w:jc w:val="center"/>
              <w:rPr>
                <w:rFonts w:ascii="宋体" w:hAnsi="宋体"/>
                <w:szCs w:val="21"/>
              </w:rPr>
            </w:pPr>
          </w:p>
        </w:tc>
        <w:tc>
          <w:tcPr>
            <w:tcW w:w="708" w:type="dxa"/>
            <w:vAlign w:val="center"/>
          </w:tcPr>
          <w:p>
            <w:pPr>
              <w:adjustRightInd w:val="0"/>
              <w:snapToGrid w:val="0"/>
              <w:spacing w:before="100" w:beforeAutospacing="1" w:after="100" w:afterAutospacing="1"/>
              <w:jc w:val="center"/>
              <w:rPr>
                <w:rFonts w:ascii="宋体" w:hAnsi="宋体"/>
                <w:szCs w:val="21"/>
              </w:rPr>
            </w:pPr>
            <w:r>
              <w:rPr>
                <w:rStyle w:val="36"/>
                <w:rFonts w:hint="eastAsia"/>
                <w:szCs w:val="21"/>
              </w:rPr>
              <w:t>主要机电设备</w:t>
            </w:r>
          </w:p>
        </w:tc>
        <w:tc>
          <w:tcPr>
            <w:tcW w:w="851"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7分</w:t>
            </w:r>
          </w:p>
        </w:tc>
        <w:tc>
          <w:tcPr>
            <w:tcW w:w="849"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设备品牌与应用</w:t>
            </w:r>
          </w:p>
        </w:tc>
        <w:tc>
          <w:tcPr>
            <w:tcW w:w="852" w:type="dxa"/>
            <w:vAlign w:val="center"/>
          </w:tcPr>
          <w:p>
            <w:pPr>
              <w:adjustRightInd w:val="0"/>
              <w:snapToGrid w:val="0"/>
              <w:spacing w:before="100" w:beforeAutospacing="1" w:after="100" w:afterAutospacing="1"/>
              <w:jc w:val="center"/>
              <w:rPr>
                <w:rFonts w:ascii="宋体" w:hAnsi="宋体"/>
                <w:szCs w:val="21"/>
              </w:rPr>
            </w:pPr>
            <w:r>
              <w:rPr>
                <w:rFonts w:hint="eastAsia" w:ascii="宋体" w:hAnsi="宋体"/>
                <w:szCs w:val="21"/>
              </w:rPr>
              <w:t>7分</w:t>
            </w:r>
          </w:p>
        </w:tc>
        <w:tc>
          <w:tcPr>
            <w:tcW w:w="4847" w:type="dxa"/>
            <w:vAlign w:val="center"/>
          </w:tcPr>
          <w:p>
            <w:pPr>
              <w:adjustRightInd w:val="0"/>
              <w:snapToGrid w:val="0"/>
              <w:spacing w:before="31" w:beforeLines="10" w:after="31" w:afterLines="10"/>
              <w:ind w:firstLine="210" w:firstLineChars="100"/>
              <w:jc w:val="left"/>
              <w:rPr>
                <w:rFonts w:ascii="宋体" w:hAnsi="宋体"/>
                <w:szCs w:val="21"/>
              </w:rPr>
            </w:pPr>
            <w:r>
              <w:rPr>
                <w:rFonts w:hint="eastAsia" w:ascii="宋体" w:hAnsi="宋体"/>
                <w:szCs w:val="21"/>
              </w:rPr>
              <w:t>见附件</w:t>
            </w:r>
          </w:p>
        </w:tc>
      </w:tr>
    </w:tbl>
    <w:p>
      <w:pPr>
        <w:pStyle w:val="11"/>
        <w:spacing w:line="320" w:lineRule="exact"/>
        <w:rPr>
          <w:rFonts w:ascii="宋体" w:hAnsi="宋体" w:cs="宋体"/>
          <w:bCs/>
          <w:snapToGrid w:val="0"/>
          <w:color w:val="000000"/>
        </w:rPr>
      </w:pPr>
      <w:r>
        <w:rPr>
          <w:rFonts w:hint="eastAsia" w:ascii="楷体" w:hAnsi="楷体" w:eastAsia="楷体"/>
        </w:rPr>
        <w:t>注：各评分因素（评标价、履约信誉和</w:t>
      </w:r>
      <w:r>
        <w:rPr>
          <w:rFonts w:hint="eastAsia" w:ascii="楷体" w:hAnsi="楷体" w:eastAsia="楷体"/>
          <w:lang w:bidi="zh-TW"/>
        </w:rPr>
        <w:t>主要机电设备</w:t>
      </w:r>
      <w:r>
        <w:rPr>
          <w:rFonts w:hint="eastAsia" w:ascii="楷体" w:hAnsi="楷体" w:eastAsia="楷体"/>
        </w:rPr>
        <w:t>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spacing w:before="312" w:beforeLines="100" w:after="100" w:afterAutospacing="1" w:line="320" w:lineRule="exact"/>
        <w:jc w:val="left"/>
        <w:rPr>
          <w:rFonts w:ascii="黑体" w:hAnsi="黑体" w:eastAsia="黑体"/>
          <w:bCs/>
          <w:sz w:val="28"/>
          <w:szCs w:val="28"/>
        </w:rPr>
      </w:pPr>
    </w:p>
    <w:p>
      <w:pPr>
        <w:spacing w:before="312" w:beforeLines="100" w:after="100" w:afterAutospacing="1" w:line="320" w:lineRule="exact"/>
        <w:jc w:val="left"/>
        <w:rPr>
          <w:rFonts w:ascii="黑体" w:hAnsi="黑体" w:eastAsia="黑体"/>
          <w:bCs/>
          <w:sz w:val="28"/>
          <w:szCs w:val="28"/>
        </w:rPr>
      </w:pPr>
    </w:p>
    <w:p>
      <w:pPr>
        <w:spacing w:before="312" w:beforeLines="100" w:after="100" w:afterAutospacing="1" w:line="320" w:lineRule="exact"/>
        <w:jc w:val="left"/>
        <w:rPr>
          <w:rFonts w:ascii="黑体" w:hAnsi="黑体" w:eastAsia="黑体"/>
          <w:bCs/>
          <w:sz w:val="28"/>
          <w:szCs w:val="28"/>
        </w:rPr>
      </w:pPr>
      <w:r>
        <w:rPr>
          <w:rFonts w:ascii="黑体" w:hAnsi="黑体" w:eastAsia="黑体"/>
          <w:bCs/>
          <w:sz w:val="28"/>
          <w:szCs w:val="28"/>
        </w:rPr>
        <w:br w:type="page"/>
      </w:r>
      <w:r>
        <w:rPr>
          <w:rFonts w:hint="eastAsia" w:ascii="黑体" w:hAnsi="黑体" w:eastAsia="黑体"/>
          <w:bCs/>
          <w:sz w:val="28"/>
          <w:szCs w:val="28"/>
        </w:rPr>
        <w:t>附件：主要机电设备品牌、应用评分标准</w:t>
      </w:r>
    </w:p>
    <w:p>
      <w:pPr>
        <w:rPr>
          <w:rFonts w:ascii="楷体" w:hAnsi="楷体" w:eastAsia="楷体"/>
        </w:rPr>
      </w:pPr>
      <w:r>
        <w:rPr>
          <w:rFonts w:hint="eastAsia" w:ascii="楷体" w:hAnsi="楷体" w:eastAsia="楷体"/>
        </w:rPr>
        <w:t>说明：</w:t>
      </w:r>
    </w:p>
    <w:p>
      <w:pPr>
        <w:rPr>
          <w:rFonts w:ascii="楷体" w:hAnsi="楷体" w:eastAsia="楷体"/>
        </w:rPr>
      </w:pPr>
      <w:r>
        <w:rPr>
          <w:rFonts w:hint="eastAsia" w:ascii="楷体" w:hAnsi="楷体" w:eastAsia="楷体"/>
        </w:rPr>
        <w:t>1.主要机电设备品牌、应用评分的计算方法：每个设备品牌、应用得分=品牌、应用得分×品牌、应用加权系数；</w:t>
      </w:r>
    </w:p>
    <w:p>
      <w:pPr>
        <w:rPr>
          <w:rFonts w:ascii="楷体" w:hAnsi="楷体" w:eastAsia="楷体"/>
        </w:rPr>
      </w:pPr>
      <w:r>
        <w:rPr>
          <w:rFonts w:hint="eastAsia" w:ascii="楷体" w:hAnsi="楷体" w:eastAsia="楷体"/>
        </w:rPr>
        <w:t>2.设备品牌、应用评分标准（10分）（见下表）；</w:t>
      </w:r>
    </w:p>
    <w:p>
      <w:pPr>
        <w:rPr>
          <w:rFonts w:ascii="楷体" w:hAnsi="楷体" w:eastAsia="楷体"/>
        </w:rPr>
      </w:pPr>
      <w:r>
        <w:rPr>
          <w:rFonts w:hint="eastAsia" w:ascii="楷体" w:hAnsi="楷体" w:eastAsia="楷体"/>
        </w:rPr>
        <w:t>3.得分计算保留两位小数，小数点后第三位“四舍五入”。</w:t>
      </w:r>
    </w:p>
    <w:tbl>
      <w:tblPr>
        <w:tblStyle w:val="14"/>
        <w:tblpPr w:leftFromText="180" w:rightFromText="180" w:vertAnchor="text" w:horzAnchor="margin" w:tblpY="177"/>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9"/>
        <w:gridCol w:w="3884"/>
        <w:gridCol w:w="1417"/>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388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子目名称</w:t>
            </w:r>
          </w:p>
        </w:tc>
        <w:tc>
          <w:tcPr>
            <w:tcW w:w="1417" w:type="dxa"/>
          </w:tcPr>
          <w:p>
            <w:pPr>
              <w:widowControl/>
              <w:jc w:val="center"/>
              <w:rPr>
                <w:rFonts w:ascii="宋体" w:hAnsi="宋体" w:cs="宋体"/>
                <w:color w:val="000000"/>
                <w:kern w:val="0"/>
                <w:szCs w:val="21"/>
              </w:rPr>
            </w:pPr>
            <w:r>
              <w:rPr>
                <w:rFonts w:hint="eastAsia" w:ascii="宋体" w:hAnsi="宋体" w:cs="宋体"/>
                <w:color w:val="000000"/>
                <w:kern w:val="0"/>
                <w:szCs w:val="21"/>
              </w:rPr>
              <w:t>品牌、应用</w:t>
            </w:r>
          </w:p>
          <w:p>
            <w:pPr>
              <w:widowControl/>
              <w:jc w:val="center"/>
              <w:rPr>
                <w:rFonts w:ascii="宋体" w:hAnsi="宋体" w:cs="宋体"/>
                <w:color w:val="000000"/>
                <w:kern w:val="0"/>
                <w:szCs w:val="21"/>
              </w:rPr>
            </w:pPr>
            <w:r>
              <w:rPr>
                <w:rFonts w:hint="eastAsia" w:ascii="宋体" w:hAnsi="宋体" w:cs="宋体"/>
                <w:color w:val="000000"/>
                <w:kern w:val="0"/>
                <w:szCs w:val="21"/>
              </w:rPr>
              <w:t>得分</w:t>
            </w:r>
          </w:p>
        </w:tc>
        <w:tc>
          <w:tcPr>
            <w:tcW w:w="1417" w:type="dxa"/>
            <w:vAlign w:val="center"/>
          </w:tcPr>
          <w:p>
            <w:pPr>
              <w:jc w:val="center"/>
              <w:rPr>
                <w:rFonts w:ascii="宋体" w:hAnsi="宋体" w:cs="宋体"/>
                <w:color w:val="000000"/>
                <w:kern w:val="0"/>
                <w:szCs w:val="21"/>
              </w:rPr>
            </w:pPr>
            <w:r>
              <w:rPr>
                <w:rFonts w:hint="eastAsia" w:ascii="宋体" w:hAnsi="宋体" w:cs="宋体"/>
                <w:color w:val="000000"/>
                <w:kern w:val="0"/>
                <w:szCs w:val="21"/>
              </w:rPr>
              <w:t>品牌、应用</w:t>
            </w:r>
          </w:p>
          <w:p>
            <w:pPr>
              <w:widowControl/>
              <w:jc w:val="center"/>
              <w:rPr>
                <w:rFonts w:ascii="宋体" w:hAnsi="宋体" w:cs="宋体"/>
                <w:color w:val="000000"/>
                <w:kern w:val="0"/>
                <w:szCs w:val="21"/>
              </w:rPr>
            </w:pPr>
            <w:r>
              <w:rPr>
                <w:rFonts w:hint="eastAsia" w:ascii="宋体" w:hAnsi="宋体" w:cs="宋体"/>
                <w:color w:val="000000"/>
                <w:kern w:val="0"/>
                <w:szCs w:val="21"/>
              </w:rPr>
              <w:t>加权系数</w:t>
            </w:r>
          </w:p>
        </w:tc>
        <w:tc>
          <w:tcPr>
            <w:tcW w:w="2410" w:type="dxa"/>
            <w:vAlign w:val="center"/>
          </w:tcPr>
          <w:p>
            <w:pPr>
              <w:jc w:val="center"/>
              <w:rPr>
                <w:rFonts w:ascii="宋体" w:hAnsi="宋体" w:cs="宋体"/>
                <w:color w:val="000000"/>
                <w:kern w:val="0"/>
                <w:szCs w:val="21"/>
              </w:rPr>
            </w:pPr>
            <w:r>
              <w:rPr>
                <w:rFonts w:hint="eastAsia" w:ascii="宋体" w:hAnsi="宋体" w:cs="宋体"/>
                <w:color w:val="000000"/>
                <w:kern w:val="0"/>
                <w:szCs w:val="21"/>
              </w:rPr>
              <w:t>品牌、应用</w:t>
            </w:r>
          </w:p>
          <w:p>
            <w:pPr>
              <w:widowControl/>
              <w:jc w:val="center"/>
              <w:rPr>
                <w:rFonts w:ascii="宋体" w:hAnsi="宋体" w:cs="宋体"/>
                <w:color w:val="000000"/>
                <w:kern w:val="0"/>
                <w:szCs w:val="21"/>
              </w:rPr>
            </w:pPr>
            <w:r>
              <w:rPr>
                <w:rFonts w:hint="eastAsia" w:ascii="宋体" w:hAnsi="宋体" w:cs="宋体"/>
                <w:color w:val="000000"/>
                <w:kern w:val="0"/>
                <w:szCs w:val="21"/>
              </w:rPr>
              <w:t>加权系数标准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88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上位机（20KVA）、下位机（1KVA）</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417" w:type="dxa"/>
            <w:vMerge w:val="restart"/>
            <w:vAlign w:val="center"/>
          </w:tcPr>
          <w:p>
            <w:pPr>
              <w:jc w:val="center"/>
              <w:rPr>
                <w:rFonts w:ascii="宋体" w:hAnsi="宋体" w:cs="宋体"/>
                <w:color w:val="000000"/>
                <w:kern w:val="0"/>
                <w:szCs w:val="21"/>
              </w:rPr>
            </w:pPr>
            <w:r>
              <w:rPr>
                <w:rFonts w:hint="eastAsia" w:ascii="宋体" w:hAnsi="宋体"/>
                <w:szCs w:val="21"/>
              </w:rPr>
              <w:t>0～1</w:t>
            </w:r>
          </w:p>
        </w:tc>
        <w:tc>
          <w:tcPr>
            <w:tcW w:w="2410" w:type="dxa"/>
            <w:vMerge w:val="restart"/>
            <w:vAlign w:val="center"/>
          </w:tcPr>
          <w:p>
            <w:pPr>
              <w:rPr>
                <w:rFonts w:ascii="宋体" w:hAnsi="宋体"/>
                <w:szCs w:val="21"/>
              </w:rPr>
            </w:pPr>
            <w:r>
              <w:rPr>
                <w:rFonts w:hint="eastAsia" w:ascii="宋体" w:hAnsi="宋体"/>
                <w:szCs w:val="21"/>
              </w:rPr>
              <w:t>选用知名品牌、在国内行业中大范围使用的取0.8-1.0；</w:t>
            </w:r>
          </w:p>
          <w:p>
            <w:pPr>
              <w:rPr>
                <w:rFonts w:ascii="宋体" w:hAnsi="宋体"/>
                <w:szCs w:val="21"/>
              </w:rPr>
            </w:pPr>
            <w:r>
              <w:rPr>
                <w:rFonts w:hint="eastAsia" w:ascii="宋体" w:hAnsi="宋体"/>
                <w:szCs w:val="21"/>
              </w:rPr>
              <w:t>选用一般品牌、在国内行业中有一定比例使用的取0.6-0.8；</w:t>
            </w:r>
          </w:p>
          <w:p>
            <w:pPr>
              <w:jc w:val="left"/>
              <w:rPr>
                <w:rFonts w:ascii="宋体" w:hAnsi="宋体" w:cs="宋体"/>
                <w:color w:val="000000"/>
                <w:kern w:val="0"/>
                <w:szCs w:val="21"/>
              </w:rPr>
            </w:pPr>
            <w:r>
              <w:rPr>
                <w:rFonts w:hint="eastAsia" w:ascii="宋体" w:hAnsi="宋体"/>
                <w:szCs w:val="21"/>
              </w:rPr>
              <w:t>选用不知名品牌、在国内行业中有较少比例使用的取0-0.6；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884" w:type="dxa"/>
            <w:vAlign w:val="center"/>
          </w:tcPr>
          <w:p>
            <w:pPr>
              <w:widowControl/>
              <w:rPr>
                <w:rFonts w:ascii="宋体" w:hAnsi="宋体" w:cs="宋体"/>
                <w:color w:val="000000"/>
                <w:kern w:val="0"/>
                <w:szCs w:val="21"/>
              </w:rPr>
            </w:pPr>
            <w:r>
              <w:rPr>
                <w:rFonts w:hint="eastAsia" w:ascii="宋体" w:hAnsi="宋体" w:cs="宋体"/>
                <w:color w:val="000000"/>
                <w:kern w:val="0"/>
                <w:szCs w:val="21"/>
              </w:rPr>
              <w:t>高清摄像机</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2分</w:t>
            </w:r>
          </w:p>
        </w:tc>
        <w:tc>
          <w:tcPr>
            <w:tcW w:w="1417" w:type="dxa"/>
            <w:vMerge w:val="continue"/>
            <w:vAlign w:val="center"/>
          </w:tcPr>
          <w:p>
            <w:pPr>
              <w:jc w:val="center"/>
              <w:rPr>
                <w:rFonts w:ascii="宋体" w:hAnsi="宋体" w:cs="宋体"/>
                <w:color w:val="000000"/>
                <w:kern w:val="0"/>
                <w:szCs w:val="21"/>
              </w:rPr>
            </w:pPr>
          </w:p>
        </w:tc>
        <w:tc>
          <w:tcPr>
            <w:tcW w:w="2410"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884" w:type="dxa"/>
            <w:vAlign w:val="center"/>
          </w:tcPr>
          <w:p>
            <w:pPr>
              <w:widowControl/>
              <w:rPr>
                <w:rFonts w:ascii="宋体" w:hAnsi="宋体" w:cs="宋体"/>
                <w:color w:val="000000"/>
                <w:kern w:val="0"/>
                <w:szCs w:val="21"/>
              </w:rPr>
            </w:pPr>
            <w:r>
              <w:rPr>
                <w:rFonts w:hint="eastAsia" w:ascii="宋体" w:hAnsi="宋体" w:cs="宋体"/>
                <w:color w:val="000000"/>
                <w:kern w:val="0"/>
                <w:szCs w:val="21"/>
              </w:rPr>
              <w:t>网络交换机</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417" w:type="dxa"/>
            <w:vMerge w:val="continue"/>
            <w:vAlign w:val="center"/>
          </w:tcPr>
          <w:p>
            <w:pPr>
              <w:jc w:val="center"/>
              <w:rPr>
                <w:rFonts w:ascii="宋体" w:hAnsi="宋体" w:cs="宋体"/>
                <w:color w:val="000000"/>
                <w:kern w:val="0"/>
                <w:szCs w:val="21"/>
              </w:rPr>
            </w:pPr>
          </w:p>
        </w:tc>
        <w:tc>
          <w:tcPr>
            <w:tcW w:w="2410"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884" w:type="dxa"/>
            <w:vAlign w:val="center"/>
          </w:tcPr>
          <w:p>
            <w:pPr>
              <w:widowControl/>
              <w:rPr>
                <w:rFonts w:ascii="宋体" w:hAnsi="宋体" w:cs="宋体"/>
                <w:color w:val="000000"/>
                <w:kern w:val="0"/>
                <w:szCs w:val="21"/>
              </w:rPr>
            </w:pPr>
            <w:r>
              <w:rPr>
                <w:rFonts w:hint="eastAsia" w:ascii="宋体" w:hAnsi="宋体" w:cs="宋体"/>
                <w:color w:val="000000"/>
                <w:kern w:val="0"/>
                <w:szCs w:val="21"/>
              </w:rPr>
              <w:t>磁盘阵列</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417" w:type="dxa"/>
            <w:vMerge w:val="continue"/>
            <w:vAlign w:val="center"/>
          </w:tcPr>
          <w:p>
            <w:pPr>
              <w:widowControl/>
              <w:jc w:val="center"/>
              <w:rPr>
                <w:rFonts w:ascii="宋体" w:hAnsi="宋体" w:cs="宋体"/>
                <w:color w:val="000000"/>
                <w:kern w:val="0"/>
                <w:szCs w:val="21"/>
              </w:rPr>
            </w:pPr>
          </w:p>
        </w:tc>
        <w:tc>
          <w:tcPr>
            <w:tcW w:w="2410"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884" w:type="dxa"/>
            <w:vAlign w:val="center"/>
          </w:tcPr>
          <w:p>
            <w:pPr>
              <w:widowControl/>
              <w:rPr>
                <w:rFonts w:ascii="宋体" w:hAnsi="宋体" w:cs="宋体"/>
                <w:color w:val="000000"/>
                <w:kern w:val="0"/>
                <w:szCs w:val="21"/>
              </w:rPr>
            </w:pPr>
            <w:r>
              <w:rPr>
                <w:rFonts w:hint="eastAsia" w:ascii="宋体" w:hAnsi="宋体" w:cs="宋体"/>
                <w:color w:val="000000"/>
                <w:kern w:val="0"/>
                <w:szCs w:val="21"/>
              </w:rPr>
              <w:t>视频管理服务器</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417" w:type="dxa"/>
            <w:vMerge w:val="continue"/>
            <w:vAlign w:val="center"/>
          </w:tcPr>
          <w:p>
            <w:pPr>
              <w:widowControl/>
              <w:jc w:val="center"/>
              <w:rPr>
                <w:rFonts w:ascii="宋体" w:hAnsi="宋体" w:cs="宋体"/>
                <w:color w:val="000000"/>
                <w:kern w:val="0"/>
                <w:szCs w:val="21"/>
              </w:rPr>
            </w:pPr>
          </w:p>
        </w:tc>
        <w:tc>
          <w:tcPr>
            <w:tcW w:w="2410"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884" w:type="dxa"/>
            <w:vAlign w:val="center"/>
          </w:tcPr>
          <w:p>
            <w:pPr>
              <w:widowControl/>
              <w:rPr>
                <w:rFonts w:ascii="宋体" w:hAnsi="宋体" w:cs="宋体"/>
                <w:color w:val="000000"/>
                <w:kern w:val="0"/>
                <w:szCs w:val="21"/>
              </w:rPr>
            </w:pPr>
            <w:r>
              <w:rPr>
                <w:rFonts w:hint="eastAsia" w:ascii="宋体" w:hAnsi="宋体" w:cs="宋体"/>
                <w:color w:val="000000"/>
                <w:kern w:val="0"/>
                <w:szCs w:val="21"/>
              </w:rPr>
              <w:t>停车余位显示屏</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1417" w:type="dxa"/>
            <w:vMerge w:val="continue"/>
            <w:vAlign w:val="center"/>
          </w:tcPr>
          <w:p>
            <w:pPr>
              <w:widowControl/>
              <w:jc w:val="center"/>
              <w:rPr>
                <w:rFonts w:ascii="宋体" w:hAnsi="宋体" w:cs="宋体"/>
                <w:color w:val="000000"/>
                <w:kern w:val="0"/>
                <w:szCs w:val="21"/>
              </w:rPr>
            </w:pPr>
          </w:p>
        </w:tc>
        <w:tc>
          <w:tcPr>
            <w:tcW w:w="2410"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4423"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7分</w:t>
            </w:r>
          </w:p>
        </w:tc>
        <w:tc>
          <w:tcPr>
            <w:tcW w:w="1417" w:type="dxa"/>
            <w:vMerge w:val="continue"/>
            <w:vAlign w:val="center"/>
          </w:tcPr>
          <w:p>
            <w:pPr>
              <w:widowControl/>
              <w:jc w:val="center"/>
              <w:rPr>
                <w:rFonts w:ascii="宋体" w:hAnsi="宋体" w:cs="宋体"/>
                <w:color w:val="000000"/>
                <w:kern w:val="0"/>
                <w:szCs w:val="21"/>
              </w:rPr>
            </w:pPr>
          </w:p>
        </w:tc>
        <w:tc>
          <w:tcPr>
            <w:tcW w:w="2410" w:type="dxa"/>
            <w:vMerge w:val="continue"/>
            <w:vAlign w:val="center"/>
          </w:tcPr>
          <w:p>
            <w:pPr>
              <w:widowControl/>
              <w:jc w:val="center"/>
              <w:rPr>
                <w:rFonts w:ascii="宋体" w:hAnsi="宋体" w:cs="宋体"/>
                <w:color w:val="000000"/>
                <w:kern w:val="0"/>
                <w:szCs w:val="21"/>
              </w:rPr>
            </w:pPr>
          </w:p>
        </w:tc>
      </w:tr>
    </w:tbl>
    <w:p>
      <w:pPr>
        <w:rPr>
          <w:rFonts w:ascii="黑体" w:hAnsi="黑体" w:eastAsia="黑体"/>
          <w:sz w:val="28"/>
          <w:szCs w:val="28"/>
        </w:rPr>
      </w:pPr>
      <w:r>
        <w:rPr>
          <w:rFonts w:hint="eastAsia" w:ascii="黑体" w:hAnsi="黑体" w:eastAsia="黑体"/>
          <w:sz w:val="28"/>
          <w:szCs w:val="28"/>
        </w:rPr>
        <w:t>五、联系方式</w:t>
      </w:r>
    </w:p>
    <w:tbl>
      <w:tblPr>
        <w:tblStyle w:val="14"/>
        <w:tblW w:w="8870" w:type="dxa"/>
        <w:tblInd w:w="567" w:type="dxa"/>
        <w:tblLayout w:type="fixed"/>
        <w:tblCellMar>
          <w:top w:w="0" w:type="dxa"/>
          <w:left w:w="170" w:type="dxa"/>
          <w:bottom w:w="0" w:type="dxa"/>
          <w:right w:w="170" w:type="dxa"/>
        </w:tblCellMar>
      </w:tblPr>
      <w:tblGrid>
        <w:gridCol w:w="4330"/>
        <w:gridCol w:w="4540"/>
      </w:tblGrid>
      <w:tr>
        <w:tblPrEx>
          <w:tblLayout w:type="fixed"/>
          <w:tblCellMar>
            <w:top w:w="0" w:type="dxa"/>
            <w:left w:w="170" w:type="dxa"/>
            <w:bottom w:w="0" w:type="dxa"/>
            <w:right w:w="170" w:type="dxa"/>
          </w:tblCellMar>
        </w:tblPrEx>
        <w:trPr>
          <w:trHeight w:val="283" w:hRule="atLeast"/>
        </w:trPr>
        <w:tc>
          <w:tcPr>
            <w:tcW w:w="4330" w:type="dxa"/>
            <w:vAlign w:val="center"/>
          </w:tcPr>
          <w:p>
            <w:pPr>
              <w:snapToGrid w:val="0"/>
              <w:rPr>
                <w:rFonts w:ascii="宋体" w:hAnsi="宋体"/>
              </w:rPr>
            </w:pPr>
            <w:r>
              <w:rPr>
                <w:rFonts w:ascii="宋体" w:hAnsi="宋体"/>
              </w:rPr>
              <w:t>招 标 人：吉林省高速公路集团有限公司</w:t>
            </w:r>
          </w:p>
        </w:tc>
        <w:tc>
          <w:tcPr>
            <w:tcW w:w="4540" w:type="dxa"/>
            <w:vAlign w:val="center"/>
          </w:tcPr>
          <w:p>
            <w:pPr>
              <w:snapToGrid w:val="0"/>
              <w:rPr>
                <w:rFonts w:ascii="宋体" w:hAnsi="宋体"/>
              </w:rPr>
            </w:pPr>
            <w:r>
              <w:rPr>
                <w:rFonts w:ascii="宋体" w:hAnsi="宋体"/>
              </w:rPr>
              <w:t>招标代理机构：吉林省</w:t>
            </w:r>
            <w:r>
              <w:rPr>
                <w:rFonts w:hint="eastAsia" w:ascii="宋体" w:hAnsi="宋体"/>
              </w:rPr>
              <w:t>华洋工程咨询有限公司</w:t>
            </w:r>
          </w:p>
        </w:tc>
      </w:tr>
      <w:tr>
        <w:tblPrEx>
          <w:tblLayout w:type="fixed"/>
          <w:tblCellMar>
            <w:top w:w="0" w:type="dxa"/>
            <w:left w:w="170" w:type="dxa"/>
            <w:bottom w:w="0" w:type="dxa"/>
            <w:right w:w="170" w:type="dxa"/>
          </w:tblCellMar>
        </w:tblPrEx>
        <w:trPr>
          <w:trHeight w:val="283" w:hRule="atLeast"/>
        </w:trPr>
        <w:tc>
          <w:tcPr>
            <w:tcW w:w="4330" w:type="dxa"/>
            <w:vAlign w:val="center"/>
          </w:tcPr>
          <w:p>
            <w:pPr>
              <w:snapToGrid w:val="0"/>
              <w:rPr>
                <w:rFonts w:ascii="宋体" w:hAnsi="宋体"/>
              </w:rPr>
            </w:pPr>
            <w:r>
              <w:rPr>
                <w:rFonts w:ascii="宋体" w:hAnsi="宋体"/>
              </w:rPr>
              <w:t>地　　址：</w:t>
            </w:r>
            <w:r>
              <w:rPr>
                <w:rFonts w:hint="eastAsia" w:ascii="宋体" w:hAnsi="宋体"/>
              </w:rPr>
              <w:t>长春市南关区人民大街11511号</w:t>
            </w:r>
          </w:p>
        </w:tc>
        <w:tc>
          <w:tcPr>
            <w:tcW w:w="4540" w:type="dxa"/>
            <w:vAlign w:val="center"/>
          </w:tcPr>
          <w:p>
            <w:pPr>
              <w:snapToGrid w:val="0"/>
              <w:rPr>
                <w:rFonts w:ascii="宋体" w:hAnsi="宋体"/>
              </w:rPr>
            </w:pPr>
            <w:r>
              <w:rPr>
                <w:rFonts w:ascii="宋体" w:hAnsi="宋体"/>
              </w:rPr>
              <w:t>地　　址：长春市</w:t>
            </w:r>
            <w:r>
              <w:rPr>
                <w:rFonts w:hint="eastAsia" w:ascii="宋体" w:hAnsi="宋体"/>
              </w:rPr>
              <w:t>朝阳区和光路16号</w:t>
            </w:r>
          </w:p>
        </w:tc>
      </w:tr>
      <w:tr>
        <w:tblPrEx>
          <w:tblLayout w:type="fixed"/>
          <w:tblCellMar>
            <w:top w:w="0" w:type="dxa"/>
            <w:left w:w="170" w:type="dxa"/>
            <w:bottom w:w="0" w:type="dxa"/>
            <w:right w:w="170" w:type="dxa"/>
          </w:tblCellMar>
        </w:tblPrEx>
        <w:trPr>
          <w:trHeight w:val="283" w:hRule="atLeast"/>
        </w:trPr>
        <w:tc>
          <w:tcPr>
            <w:tcW w:w="4330" w:type="dxa"/>
            <w:vAlign w:val="center"/>
          </w:tcPr>
          <w:p>
            <w:pPr>
              <w:snapToGrid w:val="0"/>
              <w:rPr>
                <w:rFonts w:ascii="宋体" w:hAnsi="宋体"/>
              </w:rPr>
            </w:pPr>
            <w:r>
              <w:rPr>
                <w:rFonts w:ascii="宋体" w:hAnsi="宋体"/>
              </w:rPr>
              <w:t>邮政编码：</w:t>
            </w:r>
            <w:r>
              <w:rPr>
                <w:rFonts w:hint="eastAsia" w:ascii="宋体" w:hAnsi="宋体"/>
              </w:rPr>
              <w:t>130028</w:t>
            </w:r>
          </w:p>
        </w:tc>
        <w:tc>
          <w:tcPr>
            <w:tcW w:w="4540" w:type="dxa"/>
            <w:vAlign w:val="center"/>
          </w:tcPr>
          <w:p>
            <w:pPr>
              <w:snapToGrid w:val="0"/>
              <w:rPr>
                <w:rFonts w:ascii="宋体" w:hAnsi="宋体"/>
              </w:rPr>
            </w:pPr>
            <w:r>
              <w:rPr>
                <w:rFonts w:ascii="宋体" w:hAnsi="宋体"/>
              </w:rPr>
              <w:t>邮政编码：1300</w:t>
            </w:r>
            <w:r>
              <w:rPr>
                <w:rFonts w:hint="eastAsia" w:ascii="宋体" w:hAnsi="宋体"/>
              </w:rPr>
              <w:t>21</w:t>
            </w:r>
          </w:p>
        </w:tc>
      </w:tr>
      <w:tr>
        <w:tblPrEx>
          <w:tblLayout w:type="fixed"/>
          <w:tblCellMar>
            <w:top w:w="0" w:type="dxa"/>
            <w:left w:w="170" w:type="dxa"/>
            <w:bottom w:w="0" w:type="dxa"/>
            <w:right w:w="170" w:type="dxa"/>
          </w:tblCellMar>
        </w:tblPrEx>
        <w:trPr>
          <w:trHeight w:val="283" w:hRule="atLeast"/>
        </w:trPr>
        <w:tc>
          <w:tcPr>
            <w:tcW w:w="4330" w:type="dxa"/>
            <w:vAlign w:val="center"/>
          </w:tcPr>
          <w:p>
            <w:pPr>
              <w:snapToGrid w:val="0"/>
              <w:rPr>
                <w:rFonts w:ascii="宋体" w:hAnsi="宋体"/>
              </w:rPr>
            </w:pPr>
            <w:r>
              <w:rPr>
                <w:rFonts w:ascii="宋体" w:hAnsi="宋体"/>
              </w:rPr>
              <w:t>联 系 人：</w:t>
            </w:r>
            <w:r>
              <w:rPr>
                <w:rFonts w:hint="eastAsia" w:ascii="宋体" w:hAnsi="宋体"/>
              </w:rPr>
              <w:t>于忠宏</w:t>
            </w:r>
          </w:p>
        </w:tc>
        <w:tc>
          <w:tcPr>
            <w:tcW w:w="4540" w:type="dxa"/>
            <w:vAlign w:val="center"/>
          </w:tcPr>
          <w:p>
            <w:pPr>
              <w:snapToGrid w:val="0"/>
              <w:rPr>
                <w:rFonts w:ascii="宋体" w:hAnsi="宋体"/>
              </w:rPr>
            </w:pPr>
            <w:r>
              <w:rPr>
                <w:rFonts w:ascii="宋体" w:hAnsi="宋体"/>
              </w:rPr>
              <w:t>联 系 人：</w:t>
            </w:r>
            <w:r>
              <w:rPr>
                <w:rFonts w:hint="eastAsia" w:ascii="宋体" w:hAnsi="宋体"/>
              </w:rPr>
              <w:t>李洪涛 孙静 梁新通</w:t>
            </w:r>
          </w:p>
        </w:tc>
      </w:tr>
      <w:tr>
        <w:tblPrEx>
          <w:tblLayout w:type="fixed"/>
          <w:tblCellMar>
            <w:top w:w="0" w:type="dxa"/>
            <w:left w:w="170" w:type="dxa"/>
            <w:bottom w:w="0" w:type="dxa"/>
            <w:right w:w="170" w:type="dxa"/>
          </w:tblCellMar>
        </w:tblPrEx>
        <w:trPr>
          <w:trHeight w:val="283" w:hRule="atLeast"/>
        </w:trPr>
        <w:tc>
          <w:tcPr>
            <w:tcW w:w="4330" w:type="dxa"/>
            <w:vAlign w:val="center"/>
          </w:tcPr>
          <w:p>
            <w:pPr>
              <w:widowControl/>
              <w:jc w:val="left"/>
              <w:rPr>
                <w:rFonts w:ascii="宋体" w:hAnsi="宋体" w:cs="宋体"/>
                <w:kern w:val="0"/>
                <w:szCs w:val="21"/>
              </w:rPr>
            </w:pPr>
            <w:r>
              <w:rPr>
                <w:rFonts w:hint="eastAsia" w:ascii="宋体" w:hAnsi="宋体" w:cs="宋体"/>
                <w:kern w:val="0"/>
                <w:szCs w:val="21"/>
              </w:rPr>
              <w:t>电    话：0431-85254020</w:t>
            </w:r>
          </w:p>
        </w:tc>
        <w:tc>
          <w:tcPr>
            <w:tcW w:w="4540" w:type="dxa"/>
            <w:vAlign w:val="center"/>
          </w:tcPr>
          <w:p>
            <w:pPr>
              <w:snapToGrid w:val="0"/>
              <w:rPr>
                <w:rFonts w:ascii="宋体" w:hAnsi="宋体"/>
              </w:rPr>
            </w:pPr>
            <w:r>
              <w:rPr>
                <w:rFonts w:ascii="宋体" w:hAnsi="宋体"/>
              </w:rPr>
              <w:t>电　　话：</w:t>
            </w:r>
            <w:r>
              <w:rPr>
                <w:rFonts w:hint="eastAsia" w:ascii="宋体" w:hAnsi="宋体"/>
              </w:rPr>
              <w:t>0431-</w:t>
            </w:r>
            <w:r>
              <w:rPr>
                <w:rFonts w:ascii="宋体" w:hAnsi="宋体"/>
              </w:rPr>
              <w:t>8</w:t>
            </w:r>
            <w:r>
              <w:rPr>
                <w:rFonts w:hint="eastAsia" w:ascii="宋体" w:hAnsi="宋体"/>
              </w:rPr>
              <w:t>5368866</w:t>
            </w:r>
          </w:p>
        </w:tc>
      </w:tr>
      <w:tr>
        <w:tblPrEx>
          <w:tblLayout w:type="fixed"/>
          <w:tblCellMar>
            <w:top w:w="0" w:type="dxa"/>
            <w:left w:w="170" w:type="dxa"/>
            <w:bottom w:w="0" w:type="dxa"/>
            <w:right w:w="170" w:type="dxa"/>
          </w:tblCellMar>
        </w:tblPrEx>
        <w:trPr>
          <w:trHeight w:val="283" w:hRule="atLeast"/>
        </w:trPr>
        <w:tc>
          <w:tcPr>
            <w:tcW w:w="4330" w:type="dxa"/>
            <w:vAlign w:val="center"/>
          </w:tcPr>
          <w:p>
            <w:pPr>
              <w:snapToGrid w:val="0"/>
              <w:rPr>
                <w:rFonts w:ascii="宋体" w:hAnsi="宋体"/>
              </w:rPr>
            </w:pPr>
            <w:r>
              <w:rPr>
                <w:rFonts w:hint="eastAsia" w:ascii="宋体" w:hAnsi="宋体"/>
              </w:rPr>
              <w:t>电子邮箱：68486772@qq.com</w:t>
            </w:r>
          </w:p>
        </w:tc>
        <w:tc>
          <w:tcPr>
            <w:tcW w:w="4540" w:type="dxa"/>
            <w:vAlign w:val="center"/>
          </w:tcPr>
          <w:p>
            <w:pPr>
              <w:snapToGrid w:val="0"/>
              <w:rPr>
                <w:rFonts w:ascii="宋体" w:hAnsi="宋体"/>
              </w:rPr>
            </w:pPr>
            <w:r>
              <w:rPr>
                <w:rFonts w:hint="eastAsia" w:ascii="宋体" w:hAnsi="宋体"/>
              </w:rPr>
              <w:t>电子邮箱：3097839680@qq.com</w:t>
            </w:r>
          </w:p>
        </w:tc>
      </w:tr>
    </w:tbl>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六、本关键内容公开时间至投标截止时间10日前结束。</w:t>
      </w:r>
      <w:bookmarkStart w:id="9" w:name="_GoBack"/>
      <w:bookmarkEnd w:id="9"/>
    </w:p>
    <w:p>
      <w:pPr>
        <w:spacing w:line="320" w:lineRule="exact"/>
        <w:rPr>
          <w:rFonts w:ascii="楷体" w:hAnsi="楷体" w:eastAsia="楷体"/>
          <w:sz w:val="24"/>
        </w:rPr>
      </w:pPr>
    </w:p>
    <w:p>
      <w:pPr>
        <w:spacing w:line="320" w:lineRule="exact"/>
        <w:jc w:val="left"/>
        <w:rPr>
          <w:rFonts w:ascii="楷体" w:hAnsi="楷体" w:eastAsia="楷体"/>
          <w:sz w:val="24"/>
        </w:rPr>
      </w:pPr>
      <w:r>
        <w:rPr>
          <w:rFonts w:hint="eastAsia" w:ascii="楷体" w:hAnsi="楷体" w:eastAsia="楷体"/>
          <w:sz w:val="24"/>
        </w:rPr>
        <w:t>注：本项目相关的澄清、修改、补充文件及工程量固化清单电子文件发布在网盘：https://pan.baidu.com/s/1xb2P-eTP4hYfM7AwfhDFzA，提取码：1234。</w:t>
      </w:r>
    </w:p>
    <w:p>
      <w:pPr>
        <w:jc w:val="right"/>
        <w:rPr>
          <w:rFonts w:ascii="宋体" w:hAnsi="宋体"/>
          <w:szCs w:val="21"/>
        </w:rPr>
      </w:pPr>
    </w:p>
    <w:p>
      <w:pPr>
        <w:jc w:val="right"/>
        <w:rPr>
          <w:rFonts w:ascii="宋体" w:hAnsi="宋体"/>
          <w:szCs w:val="21"/>
        </w:rPr>
      </w:pPr>
    </w:p>
    <w:p>
      <w:pPr>
        <w:jc w:val="right"/>
        <w:rPr>
          <w:rFonts w:ascii="宋体" w:hAnsi="宋体"/>
          <w:szCs w:val="21"/>
        </w:rPr>
      </w:pPr>
      <w:r>
        <w:rPr>
          <w:rFonts w:hint="eastAsia" w:ascii="宋体" w:hAnsi="宋体"/>
          <w:szCs w:val="21"/>
        </w:rPr>
        <w:t>2021年8月</w:t>
      </w:r>
      <w:r>
        <w:rPr>
          <w:rFonts w:hint="eastAsia" w:ascii="宋体" w:hAnsi="宋体"/>
          <w:szCs w:val="21"/>
          <w:lang w:val="en-US" w:eastAsia="zh-CN"/>
        </w:rPr>
        <w:t>5</w:t>
      </w:r>
      <w:r>
        <w:rPr>
          <w:rFonts w:hint="eastAsia" w:ascii="宋体" w:hAnsi="宋体"/>
          <w:szCs w:val="21"/>
        </w:rPr>
        <w:t>日</w:t>
      </w:r>
      <w:bookmarkEnd w:id="0"/>
      <w:bookmarkEnd w:id="1"/>
      <w:r>
        <w:rPr>
          <w:rFonts w:hint="eastAsia" w:ascii="宋体" w:hAnsi="宋体"/>
          <w:sz w:val="24"/>
        </w:rPr>
        <w:t xml:space="preserve"> </w:t>
      </w:r>
    </w:p>
    <w:sectPr>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jc w:val="both"/>
        <w:rPr>
          <w:rFonts w:ascii="楷体" w:hAnsi="楷体" w:eastAsia="楷体"/>
        </w:rPr>
      </w:pPr>
      <w:r>
        <w:rPr>
          <w:rStyle w:val="18"/>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D050ADF"/>
    <w:multiLevelType w:val="multilevel"/>
    <w:tmpl w:val="7D050AD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77"/>
    <w:rsid w:val="0005335B"/>
    <w:rsid w:val="001B2F15"/>
    <w:rsid w:val="001B446F"/>
    <w:rsid w:val="001E7FD4"/>
    <w:rsid w:val="0021703D"/>
    <w:rsid w:val="00231F0D"/>
    <w:rsid w:val="00233745"/>
    <w:rsid w:val="00282745"/>
    <w:rsid w:val="002B7B92"/>
    <w:rsid w:val="002E465D"/>
    <w:rsid w:val="00351A3A"/>
    <w:rsid w:val="003B019A"/>
    <w:rsid w:val="003D62BE"/>
    <w:rsid w:val="004749D0"/>
    <w:rsid w:val="004C5613"/>
    <w:rsid w:val="004F05E3"/>
    <w:rsid w:val="00502E88"/>
    <w:rsid w:val="00532828"/>
    <w:rsid w:val="005514D3"/>
    <w:rsid w:val="005972CD"/>
    <w:rsid w:val="005B2A43"/>
    <w:rsid w:val="005C21E4"/>
    <w:rsid w:val="005C68B7"/>
    <w:rsid w:val="005D37F2"/>
    <w:rsid w:val="00604A49"/>
    <w:rsid w:val="00633F66"/>
    <w:rsid w:val="00641857"/>
    <w:rsid w:val="006763AA"/>
    <w:rsid w:val="006C38E4"/>
    <w:rsid w:val="007118D4"/>
    <w:rsid w:val="00746E09"/>
    <w:rsid w:val="00772500"/>
    <w:rsid w:val="00791974"/>
    <w:rsid w:val="00812F23"/>
    <w:rsid w:val="00861859"/>
    <w:rsid w:val="00871362"/>
    <w:rsid w:val="008746CD"/>
    <w:rsid w:val="00891E07"/>
    <w:rsid w:val="00916D20"/>
    <w:rsid w:val="00923518"/>
    <w:rsid w:val="00976577"/>
    <w:rsid w:val="009C3EDE"/>
    <w:rsid w:val="009D6831"/>
    <w:rsid w:val="009E021E"/>
    <w:rsid w:val="00A24784"/>
    <w:rsid w:val="00A576E0"/>
    <w:rsid w:val="00AE752B"/>
    <w:rsid w:val="00B007FE"/>
    <w:rsid w:val="00B06859"/>
    <w:rsid w:val="00B608ED"/>
    <w:rsid w:val="00B834AC"/>
    <w:rsid w:val="00B94549"/>
    <w:rsid w:val="00BD06B8"/>
    <w:rsid w:val="00C55B37"/>
    <w:rsid w:val="00C72FD5"/>
    <w:rsid w:val="00D94845"/>
    <w:rsid w:val="00E2099B"/>
    <w:rsid w:val="00E34D0C"/>
    <w:rsid w:val="00E85CD3"/>
    <w:rsid w:val="00E87CC6"/>
    <w:rsid w:val="00EE2448"/>
    <w:rsid w:val="00F66AB9"/>
    <w:rsid w:val="00FA4201"/>
    <w:rsid w:val="00FB039B"/>
    <w:rsid w:val="4FB274D3"/>
    <w:rsid w:val="71735C2D"/>
    <w:rsid w:val="736C1C5A"/>
    <w:rsid w:val="744A3374"/>
    <w:rsid w:val="7819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6">
    <w:name w:val="List 3"/>
    <w:basedOn w:val="1"/>
    <w:semiHidden/>
    <w:unhideWhenUsed/>
    <w:qFormat/>
    <w:uiPriority w:val="99"/>
    <w:pPr>
      <w:ind w:left="100" w:leftChars="400" w:hanging="200" w:hangingChars="200"/>
      <w:contextualSpacing/>
    </w:pPr>
  </w:style>
  <w:style w:type="paragraph" w:styleId="7">
    <w:name w:val="annotation text"/>
    <w:basedOn w:val="1"/>
    <w:link w:val="29"/>
    <w:qFormat/>
    <w:uiPriority w:val="0"/>
    <w:pPr>
      <w:jc w:val="left"/>
    </w:pPr>
    <w:rPr>
      <w:rFonts w:ascii="Calibri" w:hAnsi="Calibri"/>
      <w:szCs w:val="22"/>
    </w:rPr>
  </w:style>
  <w:style w:type="paragraph" w:styleId="8">
    <w:name w:val="Balloon Text"/>
    <w:basedOn w:val="1"/>
    <w:link w:val="23"/>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0"/>
    <w:unhideWhenUsed/>
    <w:qFormat/>
    <w:uiPriority w:val="0"/>
    <w:pPr>
      <w:snapToGrid w:val="0"/>
      <w:jc w:val="left"/>
    </w:pPr>
    <w:rPr>
      <w:rFonts w:ascii="Calibri" w:hAnsi="Calibri"/>
      <w:kern w:val="0"/>
      <w:sz w:val="18"/>
      <w:szCs w:val="18"/>
    </w:rPr>
  </w:style>
  <w:style w:type="paragraph" w:styleId="12">
    <w:name w:val="Body Text Indent 3"/>
    <w:basedOn w:val="1"/>
    <w:link w:val="19"/>
    <w:qFormat/>
    <w:uiPriority w:val="0"/>
    <w:pPr>
      <w:spacing w:after="120"/>
      <w:ind w:left="420" w:leftChars="200"/>
    </w:pPr>
    <w:rPr>
      <w:sz w:val="16"/>
      <w:szCs w:val="16"/>
    </w:rPr>
  </w:style>
  <w:style w:type="paragraph" w:styleId="13">
    <w:name w:val="Title"/>
    <w:basedOn w:val="1"/>
    <w:next w:val="1"/>
    <w:link w:val="22"/>
    <w:qFormat/>
    <w:uiPriority w:val="0"/>
    <w:pPr>
      <w:spacing w:before="240" w:after="60"/>
      <w:jc w:val="center"/>
      <w:outlineLvl w:val="0"/>
    </w:pPr>
    <w:rPr>
      <w:rFonts w:ascii="Cambria" w:hAnsi="Cambria"/>
      <w:b/>
      <w:bCs/>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unhideWhenUsed/>
    <w:qFormat/>
    <w:uiPriority w:val="99"/>
    <w:rPr>
      <w:color w:val="0000FF"/>
      <w:u w:val="single"/>
    </w:rPr>
  </w:style>
  <w:style w:type="character" w:styleId="18">
    <w:name w:val="footnote reference"/>
    <w:qFormat/>
    <w:uiPriority w:val="0"/>
    <w:rPr>
      <w:vertAlign w:val="superscript"/>
    </w:rPr>
  </w:style>
  <w:style w:type="character" w:customStyle="1" w:styleId="19">
    <w:name w:val="正文文本缩进 3 Char"/>
    <w:basedOn w:val="16"/>
    <w:link w:val="12"/>
    <w:uiPriority w:val="0"/>
    <w:rPr>
      <w:rFonts w:ascii="Times New Roman" w:hAnsi="Times New Roman" w:eastAsia="宋体" w:cs="Times New Roman"/>
      <w:sz w:val="16"/>
      <w:szCs w:val="16"/>
    </w:rPr>
  </w:style>
  <w:style w:type="character" w:customStyle="1" w:styleId="20">
    <w:name w:val="脚注文本 Char"/>
    <w:basedOn w:val="16"/>
    <w:link w:val="11"/>
    <w:qFormat/>
    <w:uiPriority w:val="0"/>
    <w:rPr>
      <w:rFonts w:ascii="Calibri" w:hAnsi="Calibri" w:eastAsia="宋体" w:cs="Times New Roman"/>
      <w:kern w:val="0"/>
      <w:sz w:val="18"/>
      <w:szCs w:val="18"/>
    </w:rPr>
  </w:style>
  <w:style w:type="character" w:customStyle="1" w:styleId="21">
    <w:name w:val="页眉 Char"/>
    <w:basedOn w:val="16"/>
    <w:link w:val="10"/>
    <w:qFormat/>
    <w:uiPriority w:val="99"/>
    <w:rPr>
      <w:rFonts w:ascii="Times New Roman" w:hAnsi="Times New Roman" w:eastAsia="宋体" w:cs="Times New Roman"/>
      <w:sz w:val="18"/>
      <w:szCs w:val="18"/>
    </w:rPr>
  </w:style>
  <w:style w:type="character" w:customStyle="1" w:styleId="22">
    <w:name w:val="标题 Char"/>
    <w:basedOn w:val="16"/>
    <w:link w:val="13"/>
    <w:qFormat/>
    <w:uiPriority w:val="0"/>
    <w:rPr>
      <w:rFonts w:ascii="Cambria" w:hAnsi="Cambria" w:eastAsia="宋体" w:cs="Times New Roman"/>
      <w:b/>
      <w:bCs/>
      <w:sz w:val="32"/>
      <w:szCs w:val="32"/>
    </w:rPr>
  </w:style>
  <w:style w:type="character" w:customStyle="1" w:styleId="23">
    <w:name w:val="批注框文本 Char"/>
    <w:basedOn w:val="16"/>
    <w:link w:val="8"/>
    <w:semiHidden/>
    <w:qFormat/>
    <w:uiPriority w:val="99"/>
    <w:rPr>
      <w:rFonts w:ascii="Times New Roman" w:hAnsi="Times New Roman" w:eastAsia="宋体" w:cs="Times New Roman"/>
      <w:sz w:val="18"/>
      <w:szCs w:val="18"/>
    </w:rPr>
  </w:style>
  <w:style w:type="character" w:customStyle="1" w:styleId="24">
    <w:name w:val="页脚 Char"/>
    <w:basedOn w:val="16"/>
    <w:link w:val="9"/>
    <w:qFormat/>
    <w:uiPriority w:val="99"/>
    <w:rPr>
      <w:rFonts w:ascii="Times New Roman" w:hAnsi="Times New Roman" w:eastAsia="宋体" w:cs="Times New Roman"/>
      <w:sz w:val="18"/>
      <w:szCs w:val="18"/>
    </w:rPr>
  </w:style>
  <w:style w:type="character" w:customStyle="1" w:styleId="25">
    <w:name w:val="标题 1 Char"/>
    <w:basedOn w:val="16"/>
    <w:link w:val="2"/>
    <w:qFormat/>
    <w:uiPriority w:val="9"/>
    <w:rPr>
      <w:rFonts w:ascii="Calibri" w:hAnsi="Calibri" w:eastAsia="宋体" w:cs="Times New Roman"/>
      <w:b/>
      <w:bCs/>
      <w:kern w:val="44"/>
      <w:sz w:val="44"/>
      <w:szCs w:val="44"/>
    </w:rPr>
  </w:style>
  <w:style w:type="character" w:customStyle="1" w:styleId="26">
    <w:name w:val="标题 3 Char"/>
    <w:basedOn w:val="16"/>
    <w:link w:val="4"/>
    <w:qFormat/>
    <w:uiPriority w:val="99"/>
    <w:rPr>
      <w:rFonts w:ascii="Calibri" w:hAnsi="Calibri" w:eastAsia="宋体" w:cs="Times New Roman"/>
      <w:b/>
      <w:bCs/>
      <w:kern w:val="0"/>
      <w:sz w:val="32"/>
      <w:szCs w:val="32"/>
    </w:rPr>
  </w:style>
  <w:style w:type="character" w:customStyle="1" w:styleId="27">
    <w:name w:val="标题 2 Char"/>
    <w:basedOn w:val="16"/>
    <w:link w:val="3"/>
    <w:semiHidden/>
    <w:uiPriority w:val="9"/>
    <w:rPr>
      <w:rFonts w:asciiTheme="majorHAnsi" w:hAnsiTheme="majorHAnsi" w:eastAsiaTheme="majorEastAsia" w:cstheme="majorBidi"/>
      <w:b/>
      <w:bCs/>
      <w:sz w:val="32"/>
      <w:szCs w:val="32"/>
    </w:rPr>
  </w:style>
  <w:style w:type="character" w:customStyle="1" w:styleId="28">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9">
    <w:name w:val="批注文字 Char"/>
    <w:basedOn w:val="16"/>
    <w:link w:val="7"/>
    <w:qFormat/>
    <w:uiPriority w:val="0"/>
    <w:rPr>
      <w:rFonts w:ascii="Calibri" w:hAnsi="Calibri" w:eastAsia="宋体" w:cs="Times New Roman"/>
    </w:rPr>
  </w:style>
  <w:style w:type="paragraph" w:customStyle="1" w:styleId="30">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 (2)_"/>
    <w:link w:val="33"/>
    <w:uiPriority w:val="0"/>
    <w:rPr>
      <w:rFonts w:ascii="宋体" w:hAnsi="宋体" w:cs="宋体"/>
      <w:sz w:val="22"/>
      <w:szCs w:val="22"/>
      <w:shd w:val="clear" w:color="auto" w:fill="FFFFFF"/>
    </w:rPr>
  </w:style>
  <w:style w:type="paragraph" w:customStyle="1" w:styleId="33">
    <w:name w:val="正文文本 (2)"/>
    <w:basedOn w:val="1"/>
    <w:link w:val="32"/>
    <w:qFormat/>
    <w:uiPriority w:val="0"/>
    <w:pPr>
      <w:shd w:val="clear" w:color="auto" w:fill="FFFFFF"/>
      <w:spacing w:before="300" w:line="439" w:lineRule="exact"/>
      <w:jc w:val="distribute"/>
    </w:pPr>
    <w:rPr>
      <w:rFonts w:ascii="宋体" w:hAnsi="宋体" w:cs="宋体"/>
      <w:kern w:val="0"/>
      <w:sz w:val="22"/>
      <w:szCs w:val="22"/>
    </w:rPr>
  </w:style>
  <w:style w:type="character" w:customStyle="1" w:styleId="34">
    <w:name w:val="正文文本 (7)_"/>
    <w:link w:val="35"/>
    <w:uiPriority w:val="0"/>
    <w:rPr>
      <w:rFonts w:ascii="宋体" w:hAnsi="宋体" w:cs="宋体"/>
      <w:spacing w:val="10"/>
      <w:sz w:val="22"/>
      <w:szCs w:val="22"/>
      <w:shd w:val="clear" w:color="auto" w:fill="FFFFFF"/>
    </w:rPr>
  </w:style>
  <w:style w:type="paragraph" w:customStyle="1" w:styleId="35">
    <w:name w:val="正文文本 (7)"/>
    <w:basedOn w:val="1"/>
    <w:link w:val="34"/>
    <w:uiPriority w:val="0"/>
    <w:pPr>
      <w:shd w:val="clear" w:color="auto" w:fill="FFFFFF"/>
      <w:spacing w:before="120" w:after="300" w:line="0" w:lineRule="atLeast"/>
      <w:jc w:val="center"/>
    </w:pPr>
    <w:rPr>
      <w:rFonts w:ascii="宋体" w:hAnsi="宋体" w:cs="宋体"/>
      <w:spacing w:val="10"/>
      <w:kern w:val="0"/>
      <w:sz w:val="22"/>
      <w:szCs w:val="22"/>
    </w:rPr>
  </w:style>
  <w:style w:type="character" w:customStyle="1" w:styleId="36">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D888D-4316-4C0B-A965-E65208366CEA}">
  <ds:schemaRefs/>
</ds:datastoreItem>
</file>

<file path=docProps/app.xml><?xml version="1.0" encoding="utf-8"?>
<Properties xmlns="http://schemas.openxmlformats.org/officeDocument/2006/extended-properties" xmlns:vt="http://schemas.openxmlformats.org/officeDocument/2006/docPropsVTypes">
  <Template>Normal</Template>
  <Pages>1</Pages>
  <Words>962</Words>
  <Characters>5489</Characters>
  <Lines>45</Lines>
  <Paragraphs>12</Paragraphs>
  <TotalTime>21</TotalTime>
  <ScaleCrop>false</ScaleCrop>
  <LinksUpToDate>false</LinksUpToDate>
  <CharactersWithSpaces>6439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于忠宏</cp:lastModifiedBy>
  <cp:lastPrinted>2021-07-27T05:30:00Z</cp:lastPrinted>
  <dcterms:modified xsi:type="dcterms:W3CDTF">2021-08-05T05:35:33Z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