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2963" w14:textId="0B2EABEA" w:rsidR="00CB5C84" w:rsidRPr="000035E0" w:rsidRDefault="004D1C14" w:rsidP="004D1C14">
      <w:pPr>
        <w:adjustRightInd w:val="0"/>
        <w:snapToGrid w:val="0"/>
        <w:jc w:val="center"/>
        <w:rPr>
          <w:rFonts w:ascii="黑体" w:eastAsia="黑体" w:hAnsi="黑体" w:cs="Times New Roman"/>
          <w:bCs/>
          <w:sz w:val="26"/>
          <w:szCs w:val="26"/>
        </w:rPr>
      </w:pPr>
      <w:bookmarkStart w:id="0" w:name="_Toc258182503"/>
      <w:bookmarkStart w:id="1" w:name="_Toc530376653"/>
      <w:r w:rsidRPr="004D1C14">
        <w:rPr>
          <w:rFonts w:ascii="黑体" w:eastAsia="黑体" w:hAnsi="黑体" w:cs="Times New Roman" w:hint="eastAsia"/>
          <w:bCs/>
          <w:sz w:val="26"/>
          <w:szCs w:val="26"/>
        </w:rPr>
        <w:t>吉林省高速公路集团有限公司</w:t>
      </w:r>
      <w:r w:rsidRPr="004D1C14">
        <w:rPr>
          <w:rFonts w:ascii="黑体" w:eastAsia="黑体" w:hAnsi="黑体" w:cs="Times New Roman"/>
          <w:bCs/>
          <w:sz w:val="26"/>
          <w:szCs w:val="26"/>
        </w:rPr>
        <w:t>2021年度机电系统备品备件采购招标</w:t>
      </w:r>
      <w:r w:rsidR="00CB5C84" w:rsidRPr="000035E0">
        <w:rPr>
          <w:rFonts w:ascii="黑体" w:eastAsia="黑体" w:hAnsi="黑体" w:cs="Times New Roman" w:hint="eastAsia"/>
          <w:bCs/>
          <w:sz w:val="26"/>
          <w:szCs w:val="26"/>
        </w:rPr>
        <w:t>文件关键内容</w:t>
      </w:r>
    </w:p>
    <w:p w14:paraId="578871BC" w14:textId="77777777" w:rsidR="00CB5C84" w:rsidRPr="000558A1" w:rsidRDefault="00CB5C84" w:rsidP="004D1C14">
      <w:pPr>
        <w:adjustRightInd w:val="0"/>
        <w:snapToGrid w:val="0"/>
        <w:rPr>
          <w:rFonts w:ascii="宋体" w:eastAsia="宋体" w:hAnsi="宋体" w:cs="Times New Roman"/>
          <w:szCs w:val="21"/>
        </w:rPr>
      </w:pPr>
    </w:p>
    <w:p w14:paraId="28803109" w14:textId="6192BB41" w:rsidR="00CB5C84" w:rsidRDefault="00CB5C84" w:rsidP="004D1C14">
      <w:pPr>
        <w:keepNext/>
        <w:keepLines/>
        <w:snapToGrid w:val="0"/>
        <w:outlineLvl w:val="2"/>
        <w:rPr>
          <w:rFonts w:ascii="Calibri" w:eastAsia="黑体" w:hAnsi="Calibri" w:cs="Times New Roman"/>
          <w:sz w:val="24"/>
          <w:szCs w:val="24"/>
        </w:rPr>
      </w:pPr>
      <w:r w:rsidRPr="009C13FD">
        <w:rPr>
          <w:rFonts w:ascii="Calibri" w:eastAsia="黑体" w:hAnsi="Calibri" w:cs="Times New Roman" w:hint="eastAsia"/>
          <w:sz w:val="24"/>
          <w:szCs w:val="24"/>
        </w:rPr>
        <w:t>项目概况详见本次招标项目招标公告第</w:t>
      </w:r>
      <w:r w:rsidRPr="009C13FD">
        <w:rPr>
          <w:rFonts w:ascii="Calibri" w:eastAsia="黑体" w:hAnsi="Calibri" w:cs="Times New Roman" w:hint="eastAsia"/>
          <w:sz w:val="24"/>
          <w:szCs w:val="24"/>
        </w:rPr>
        <w:t>1</w:t>
      </w:r>
      <w:r w:rsidRPr="009C13FD">
        <w:rPr>
          <w:rFonts w:ascii="Calibri" w:eastAsia="黑体" w:hAnsi="Calibri" w:cs="Times New Roman" w:hint="eastAsia"/>
          <w:sz w:val="24"/>
          <w:szCs w:val="24"/>
        </w:rPr>
        <w:t>条、第</w:t>
      </w:r>
      <w:r w:rsidRPr="009C13FD">
        <w:rPr>
          <w:rFonts w:ascii="Calibri" w:eastAsia="黑体" w:hAnsi="Calibri" w:cs="Times New Roman" w:hint="eastAsia"/>
          <w:sz w:val="24"/>
          <w:szCs w:val="24"/>
        </w:rPr>
        <w:t>2</w:t>
      </w:r>
      <w:r w:rsidRPr="009C13FD">
        <w:rPr>
          <w:rFonts w:ascii="Calibri" w:eastAsia="黑体" w:hAnsi="Calibri" w:cs="Times New Roman" w:hint="eastAsia"/>
          <w:sz w:val="24"/>
          <w:szCs w:val="24"/>
        </w:rPr>
        <w:t>条。</w:t>
      </w:r>
    </w:p>
    <w:p w14:paraId="2494C4F4" w14:textId="77777777" w:rsidR="004D1C14" w:rsidRPr="004D1C14" w:rsidRDefault="004D1C14" w:rsidP="004D1C14">
      <w:pPr>
        <w:keepNext/>
        <w:keepLines/>
        <w:snapToGrid w:val="0"/>
        <w:jc w:val="center"/>
        <w:outlineLvl w:val="0"/>
        <w:rPr>
          <w:rFonts w:ascii="宋体" w:eastAsia="宋体" w:hAnsi="宋体" w:cs="Times New Roman"/>
          <w:b/>
          <w:bCs/>
          <w:kern w:val="44"/>
          <w:sz w:val="44"/>
          <w:szCs w:val="44"/>
        </w:rPr>
      </w:pPr>
      <w:r w:rsidRPr="004D1C14">
        <w:rPr>
          <w:rFonts w:ascii="宋体" w:eastAsia="宋体" w:hAnsi="宋体" w:cs="Times New Roman" w:hint="eastAsia"/>
          <w:b/>
          <w:bCs/>
          <w:kern w:val="44"/>
          <w:sz w:val="44"/>
          <w:szCs w:val="44"/>
        </w:rPr>
        <w:t>评标办法（综合评估法）</w:t>
      </w:r>
    </w:p>
    <w:p w14:paraId="7A547A10" w14:textId="77777777" w:rsidR="004D1C14" w:rsidRPr="004D1C14" w:rsidRDefault="004D1C14" w:rsidP="004D1C14">
      <w:pPr>
        <w:keepNext/>
        <w:keepLines/>
        <w:snapToGrid w:val="0"/>
        <w:outlineLvl w:val="1"/>
        <w:rPr>
          <w:rFonts w:ascii="黑体" w:eastAsia="黑体" w:hAnsi="宋体" w:cs="Times New Roman"/>
          <w:b/>
          <w:snapToGrid w:val="0"/>
          <w:sz w:val="36"/>
          <w:szCs w:val="32"/>
        </w:rPr>
      </w:pPr>
      <w:bookmarkStart w:id="2" w:name="_Toc462671353"/>
      <w:r w:rsidRPr="004D1C14">
        <w:rPr>
          <w:rFonts w:ascii="宋体" w:eastAsia="宋体" w:hAnsi="宋体" w:cs="Times New Roman" w:hint="eastAsia"/>
          <w:b/>
          <w:snapToGrid w:val="0"/>
          <w:sz w:val="36"/>
          <w:szCs w:val="24"/>
        </w:rPr>
        <w:t>评</w:t>
      </w:r>
      <w:r w:rsidRPr="004D1C14">
        <w:rPr>
          <w:rFonts w:ascii="黑体" w:eastAsia="黑体" w:hAnsi="宋体" w:cs="Times New Roman" w:hint="eastAsia"/>
          <w:b/>
          <w:snapToGrid w:val="0"/>
          <w:sz w:val="36"/>
          <w:szCs w:val="24"/>
        </w:rPr>
        <w:t>标办法前附表</w:t>
      </w:r>
      <w:bookmarkEnd w:id="2"/>
    </w:p>
    <w:tbl>
      <w:tblPr>
        <w:tblW w:w="9631"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12"/>
        <w:gridCol w:w="598"/>
        <w:gridCol w:w="2268"/>
        <w:gridCol w:w="5953"/>
      </w:tblGrid>
      <w:tr w:rsidR="004D1C14" w:rsidRPr="004D1C14" w14:paraId="0AB450CA" w14:textId="77777777" w:rsidTr="00CE41A5">
        <w:trPr>
          <w:trHeight w:val="397"/>
        </w:trPr>
        <w:tc>
          <w:tcPr>
            <w:tcW w:w="1410" w:type="dxa"/>
            <w:gridSpan w:val="2"/>
            <w:tcBorders>
              <w:top w:val="outset" w:sz="6" w:space="0" w:color="auto"/>
              <w:left w:val="outset" w:sz="6" w:space="0" w:color="auto"/>
              <w:bottom w:val="outset" w:sz="6" w:space="0" w:color="auto"/>
              <w:right w:val="outset" w:sz="6" w:space="0" w:color="auto"/>
            </w:tcBorders>
            <w:vAlign w:val="center"/>
          </w:tcPr>
          <w:p w14:paraId="15DBA536"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条款号</w:t>
            </w:r>
          </w:p>
        </w:tc>
        <w:tc>
          <w:tcPr>
            <w:tcW w:w="2268" w:type="dxa"/>
            <w:tcBorders>
              <w:top w:val="outset" w:sz="6" w:space="0" w:color="auto"/>
              <w:left w:val="outset" w:sz="6" w:space="0" w:color="auto"/>
              <w:bottom w:val="outset" w:sz="6" w:space="0" w:color="auto"/>
              <w:right w:val="outset" w:sz="6" w:space="0" w:color="auto"/>
            </w:tcBorders>
            <w:vAlign w:val="center"/>
          </w:tcPr>
          <w:p w14:paraId="265DC396"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评审因素</w:t>
            </w:r>
          </w:p>
        </w:tc>
        <w:tc>
          <w:tcPr>
            <w:tcW w:w="5953" w:type="dxa"/>
            <w:tcBorders>
              <w:top w:val="outset" w:sz="6" w:space="0" w:color="auto"/>
              <w:left w:val="outset" w:sz="6" w:space="0" w:color="auto"/>
              <w:bottom w:val="outset" w:sz="6" w:space="0" w:color="auto"/>
              <w:right w:val="outset" w:sz="6" w:space="0" w:color="auto"/>
            </w:tcBorders>
            <w:vAlign w:val="center"/>
          </w:tcPr>
          <w:p w14:paraId="76252974"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评审标准</w:t>
            </w:r>
          </w:p>
        </w:tc>
      </w:tr>
      <w:tr w:rsidR="004D1C14" w:rsidRPr="004D1C14" w14:paraId="296C670E" w14:textId="77777777" w:rsidTr="00CE41A5">
        <w:trPr>
          <w:trHeight w:val="397"/>
        </w:trPr>
        <w:tc>
          <w:tcPr>
            <w:tcW w:w="812" w:type="dxa"/>
            <w:tcBorders>
              <w:top w:val="outset" w:sz="6" w:space="0" w:color="auto"/>
              <w:left w:val="outset" w:sz="6" w:space="0" w:color="auto"/>
              <w:bottom w:val="outset" w:sz="6" w:space="0" w:color="auto"/>
              <w:right w:val="outset" w:sz="6" w:space="0" w:color="auto"/>
            </w:tcBorders>
            <w:vAlign w:val="center"/>
          </w:tcPr>
          <w:p w14:paraId="428BFC6C"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hint="eastAsia"/>
                <w:szCs w:val="21"/>
              </w:rPr>
              <w:t>1</w:t>
            </w:r>
          </w:p>
        </w:tc>
        <w:tc>
          <w:tcPr>
            <w:tcW w:w="598" w:type="dxa"/>
            <w:tcBorders>
              <w:top w:val="outset" w:sz="6" w:space="0" w:color="auto"/>
              <w:left w:val="outset" w:sz="6" w:space="0" w:color="auto"/>
              <w:bottom w:val="outset" w:sz="6" w:space="0" w:color="auto"/>
              <w:right w:val="outset" w:sz="6" w:space="0" w:color="auto"/>
            </w:tcBorders>
            <w:vAlign w:val="center"/>
          </w:tcPr>
          <w:p w14:paraId="0F5F8711"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hint="eastAsia"/>
                <w:szCs w:val="21"/>
              </w:rPr>
              <w:t>评标办法</w:t>
            </w:r>
          </w:p>
        </w:tc>
        <w:tc>
          <w:tcPr>
            <w:tcW w:w="2268" w:type="dxa"/>
            <w:tcBorders>
              <w:top w:val="outset" w:sz="6" w:space="0" w:color="auto"/>
              <w:left w:val="outset" w:sz="6" w:space="0" w:color="auto"/>
              <w:bottom w:val="outset" w:sz="6" w:space="0" w:color="auto"/>
              <w:right w:val="outset" w:sz="6" w:space="0" w:color="auto"/>
            </w:tcBorders>
            <w:vAlign w:val="center"/>
          </w:tcPr>
          <w:p w14:paraId="5ECD43C2"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中标候选人排序方法</w:t>
            </w:r>
          </w:p>
        </w:tc>
        <w:tc>
          <w:tcPr>
            <w:tcW w:w="5953" w:type="dxa"/>
            <w:tcBorders>
              <w:top w:val="outset" w:sz="6" w:space="0" w:color="auto"/>
              <w:left w:val="outset" w:sz="6" w:space="0" w:color="auto"/>
              <w:bottom w:val="outset" w:sz="6" w:space="0" w:color="auto"/>
              <w:right w:val="outset" w:sz="6" w:space="0" w:color="auto"/>
            </w:tcBorders>
            <w:vAlign w:val="center"/>
          </w:tcPr>
          <w:p w14:paraId="03AD463E"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由评标委员会投票确定。</w:t>
            </w:r>
          </w:p>
        </w:tc>
      </w:tr>
      <w:tr w:rsidR="004D1C14" w:rsidRPr="004D1C14" w14:paraId="2FD00A0D" w14:textId="77777777" w:rsidTr="00CE41A5">
        <w:trPr>
          <w:trHeight w:val="397"/>
        </w:trPr>
        <w:tc>
          <w:tcPr>
            <w:tcW w:w="812" w:type="dxa"/>
            <w:vMerge w:val="restart"/>
            <w:tcBorders>
              <w:top w:val="outset" w:sz="6" w:space="0" w:color="auto"/>
              <w:left w:val="outset" w:sz="6" w:space="0" w:color="auto"/>
              <w:right w:val="outset" w:sz="6" w:space="0" w:color="auto"/>
            </w:tcBorders>
            <w:vAlign w:val="center"/>
          </w:tcPr>
          <w:p w14:paraId="3EBA5635"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2.1.1</w:t>
            </w:r>
          </w:p>
        </w:tc>
        <w:tc>
          <w:tcPr>
            <w:tcW w:w="598" w:type="dxa"/>
            <w:vMerge w:val="restart"/>
            <w:tcBorders>
              <w:top w:val="outset" w:sz="6" w:space="0" w:color="auto"/>
              <w:left w:val="outset" w:sz="6" w:space="0" w:color="auto"/>
              <w:right w:val="outset" w:sz="6" w:space="0" w:color="auto"/>
            </w:tcBorders>
            <w:vAlign w:val="center"/>
          </w:tcPr>
          <w:p w14:paraId="0D8A0C18"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形式评审</w:t>
            </w:r>
          </w:p>
          <w:p w14:paraId="03FEAA39"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标准</w:t>
            </w:r>
          </w:p>
        </w:tc>
        <w:tc>
          <w:tcPr>
            <w:tcW w:w="2268" w:type="dxa"/>
            <w:tcBorders>
              <w:top w:val="outset" w:sz="6" w:space="0" w:color="auto"/>
              <w:left w:val="outset" w:sz="6" w:space="0" w:color="auto"/>
              <w:bottom w:val="outset" w:sz="6" w:space="0" w:color="auto"/>
              <w:right w:val="outset" w:sz="6" w:space="0" w:color="auto"/>
            </w:tcBorders>
            <w:vAlign w:val="center"/>
          </w:tcPr>
          <w:p w14:paraId="5BD4F458"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投标人名称</w:t>
            </w:r>
          </w:p>
        </w:tc>
        <w:tc>
          <w:tcPr>
            <w:tcW w:w="5953" w:type="dxa"/>
            <w:tcBorders>
              <w:top w:val="outset" w:sz="6" w:space="0" w:color="auto"/>
              <w:left w:val="outset" w:sz="6" w:space="0" w:color="auto"/>
              <w:bottom w:val="outset" w:sz="6" w:space="0" w:color="auto"/>
              <w:right w:val="outset" w:sz="6" w:space="0" w:color="auto"/>
            </w:tcBorders>
            <w:vAlign w:val="center"/>
          </w:tcPr>
          <w:p w14:paraId="13AEB12F"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与营业执照、资质证书</w:t>
            </w:r>
            <w:r w:rsidRPr="004D1C14">
              <w:rPr>
                <w:rFonts w:ascii="宋体" w:eastAsia="宋体" w:hAnsi="宋体" w:cs="Times New Roman" w:hint="eastAsia"/>
                <w:szCs w:val="21"/>
              </w:rPr>
              <w:t>（如有）</w:t>
            </w:r>
            <w:r w:rsidRPr="004D1C14">
              <w:rPr>
                <w:rFonts w:ascii="宋体" w:eastAsia="宋体" w:hAnsi="宋体" w:cs="Times New Roman"/>
                <w:szCs w:val="21"/>
              </w:rPr>
              <w:t>一致</w:t>
            </w:r>
          </w:p>
        </w:tc>
      </w:tr>
      <w:tr w:rsidR="004D1C14" w:rsidRPr="004D1C14" w14:paraId="684AF869" w14:textId="77777777" w:rsidTr="00CE41A5">
        <w:trPr>
          <w:trHeight w:val="397"/>
        </w:trPr>
        <w:tc>
          <w:tcPr>
            <w:tcW w:w="812" w:type="dxa"/>
            <w:vMerge/>
            <w:tcBorders>
              <w:left w:val="outset" w:sz="6" w:space="0" w:color="auto"/>
              <w:right w:val="outset" w:sz="6" w:space="0" w:color="auto"/>
            </w:tcBorders>
            <w:vAlign w:val="center"/>
          </w:tcPr>
          <w:p w14:paraId="5B1E747B"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3A6771C5"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2D84594D"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投标函签字盖章</w:t>
            </w:r>
          </w:p>
        </w:tc>
        <w:tc>
          <w:tcPr>
            <w:tcW w:w="5953" w:type="dxa"/>
            <w:tcBorders>
              <w:top w:val="outset" w:sz="6" w:space="0" w:color="auto"/>
              <w:left w:val="outset" w:sz="6" w:space="0" w:color="auto"/>
              <w:bottom w:val="outset" w:sz="6" w:space="0" w:color="auto"/>
              <w:right w:val="outset" w:sz="6" w:space="0" w:color="auto"/>
            </w:tcBorders>
            <w:vAlign w:val="center"/>
          </w:tcPr>
          <w:p w14:paraId="4962A46E"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有法定代表人</w:t>
            </w:r>
            <w:r w:rsidRPr="004D1C14">
              <w:rPr>
                <w:rFonts w:ascii="宋体" w:eastAsia="宋体" w:hAnsi="宋体" w:cs="Times New Roman" w:hint="eastAsia"/>
                <w:szCs w:val="21"/>
              </w:rPr>
              <w:t>（单位负责人）</w:t>
            </w:r>
            <w:r w:rsidRPr="004D1C14">
              <w:rPr>
                <w:rFonts w:ascii="宋体" w:eastAsia="宋体" w:hAnsi="宋体" w:cs="Times New Roman"/>
                <w:szCs w:val="21"/>
              </w:rPr>
              <w:t>或其委托代理人签字</w:t>
            </w:r>
            <w:r w:rsidRPr="004D1C14">
              <w:rPr>
                <w:rFonts w:ascii="宋体" w:eastAsia="宋体" w:hAnsi="宋体" w:cs="Times New Roman" w:hint="eastAsia"/>
                <w:szCs w:val="21"/>
              </w:rPr>
              <w:t>或</w:t>
            </w:r>
            <w:r w:rsidRPr="004D1C14">
              <w:rPr>
                <w:rFonts w:ascii="宋体" w:eastAsia="宋体" w:hAnsi="宋体" w:cs="Times New Roman"/>
                <w:szCs w:val="21"/>
              </w:rPr>
              <w:t>加盖单位章。</w:t>
            </w:r>
            <w:r w:rsidRPr="004D1C14">
              <w:rPr>
                <w:rFonts w:ascii="宋体" w:eastAsia="宋体" w:hAnsi="宋体" w:cs="Times New Roman" w:hint="eastAsia"/>
                <w:szCs w:val="21"/>
              </w:rPr>
              <w:t>由法定代表人（单位负责人）签字的，应附法定代表人（单位负责人）身份证明，由代理人签字的，应附授权委托书，身份证明或授权委托书应符合第六章“投标文件格式”的规定。</w:t>
            </w:r>
          </w:p>
        </w:tc>
      </w:tr>
      <w:tr w:rsidR="004D1C14" w:rsidRPr="004D1C14" w14:paraId="0AA6CA6C" w14:textId="77777777" w:rsidTr="00CE41A5">
        <w:trPr>
          <w:trHeight w:val="397"/>
        </w:trPr>
        <w:tc>
          <w:tcPr>
            <w:tcW w:w="812" w:type="dxa"/>
            <w:vMerge/>
            <w:tcBorders>
              <w:left w:val="outset" w:sz="6" w:space="0" w:color="auto"/>
              <w:right w:val="outset" w:sz="6" w:space="0" w:color="auto"/>
            </w:tcBorders>
            <w:vAlign w:val="center"/>
          </w:tcPr>
          <w:p w14:paraId="1F28B5EE"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77D82082"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39640C25"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投标文件格式</w:t>
            </w:r>
          </w:p>
        </w:tc>
        <w:tc>
          <w:tcPr>
            <w:tcW w:w="5953" w:type="dxa"/>
            <w:tcBorders>
              <w:top w:val="outset" w:sz="6" w:space="0" w:color="auto"/>
              <w:left w:val="outset" w:sz="6" w:space="0" w:color="auto"/>
              <w:bottom w:val="outset" w:sz="6" w:space="0" w:color="auto"/>
              <w:right w:val="outset" w:sz="6" w:space="0" w:color="auto"/>
            </w:tcBorders>
            <w:vAlign w:val="center"/>
          </w:tcPr>
          <w:p w14:paraId="4E32B717"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w:t>
            </w:r>
            <w:r w:rsidRPr="004D1C14">
              <w:rPr>
                <w:rFonts w:ascii="宋体" w:eastAsia="宋体" w:hAnsi="宋体" w:cs="Times New Roman" w:hint="eastAsia"/>
                <w:szCs w:val="21"/>
              </w:rPr>
              <w:t>六</w:t>
            </w:r>
            <w:r w:rsidRPr="004D1C14">
              <w:rPr>
                <w:rFonts w:ascii="宋体" w:eastAsia="宋体" w:hAnsi="宋体" w:cs="Times New Roman"/>
                <w:szCs w:val="21"/>
              </w:rPr>
              <w:t>章“投标文件格式”的要求</w:t>
            </w:r>
          </w:p>
        </w:tc>
      </w:tr>
      <w:tr w:rsidR="004D1C14" w:rsidRPr="004D1C14" w14:paraId="73373337" w14:textId="77777777" w:rsidTr="00CE41A5">
        <w:trPr>
          <w:trHeight w:val="397"/>
        </w:trPr>
        <w:tc>
          <w:tcPr>
            <w:tcW w:w="812" w:type="dxa"/>
            <w:vMerge/>
            <w:tcBorders>
              <w:left w:val="outset" w:sz="6" w:space="0" w:color="auto"/>
              <w:right w:val="outset" w:sz="6" w:space="0" w:color="auto"/>
            </w:tcBorders>
            <w:vAlign w:val="center"/>
          </w:tcPr>
          <w:p w14:paraId="3BB03547"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71F8A66D"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6B15A84B"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联合体投标人</w:t>
            </w:r>
          </w:p>
        </w:tc>
        <w:tc>
          <w:tcPr>
            <w:tcW w:w="5953" w:type="dxa"/>
            <w:tcBorders>
              <w:top w:val="outset" w:sz="6" w:space="0" w:color="auto"/>
              <w:left w:val="outset" w:sz="6" w:space="0" w:color="auto"/>
              <w:bottom w:val="outset" w:sz="6" w:space="0" w:color="auto"/>
              <w:right w:val="outset" w:sz="6" w:space="0" w:color="auto"/>
            </w:tcBorders>
            <w:vAlign w:val="center"/>
          </w:tcPr>
          <w:p w14:paraId="38E63976"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投标人未以联合体方式投标</w:t>
            </w:r>
          </w:p>
        </w:tc>
      </w:tr>
      <w:tr w:rsidR="004D1C14" w:rsidRPr="004D1C14" w14:paraId="6D830B13" w14:textId="77777777" w:rsidTr="00CE41A5">
        <w:trPr>
          <w:trHeight w:val="397"/>
        </w:trPr>
        <w:tc>
          <w:tcPr>
            <w:tcW w:w="812" w:type="dxa"/>
            <w:vMerge/>
            <w:tcBorders>
              <w:left w:val="outset" w:sz="6" w:space="0" w:color="auto"/>
              <w:bottom w:val="outset" w:sz="6" w:space="0" w:color="auto"/>
              <w:right w:val="outset" w:sz="6" w:space="0" w:color="auto"/>
            </w:tcBorders>
            <w:vAlign w:val="center"/>
          </w:tcPr>
          <w:p w14:paraId="27B4AC88"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bottom w:val="outset" w:sz="6" w:space="0" w:color="auto"/>
              <w:right w:val="outset" w:sz="6" w:space="0" w:color="auto"/>
            </w:tcBorders>
            <w:vAlign w:val="center"/>
          </w:tcPr>
          <w:p w14:paraId="594BB871"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48EFBB7D"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备选投标方案</w:t>
            </w:r>
          </w:p>
        </w:tc>
        <w:tc>
          <w:tcPr>
            <w:tcW w:w="5953" w:type="dxa"/>
            <w:tcBorders>
              <w:top w:val="outset" w:sz="6" w:space="0" w:color="auto"/>
              <w:left w:val="outset" w:sz="6" w:space="0" w:color="auto"/>
              <w:bottom w:val="outset" w:sz="6" w:space="0" w:color="auto"/>
              <w:right w:val="outset" w:sz="6" w:space="0" w:color="auto"/>
            </w:tcBorders>
            <w:vAlign w:val="center"/>
          </w:tcPr>
          <w:p w14:paraId="2FF88E97"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投标人不得提交备选投标方案</w:t>
            </w:r>
          </w:p>
        </w:tc>
      </w:tr>
      <w:tr w:rsidR="004D1C14" w:rsidRPr="004D1C14" w14:paraId="5736EC6A" w14:textId="77777777" w:rsidTr="00CE41A5">
        <w:trPr>
          <w:trHeight w:val="397"/>
        </w:trPr>
        <w:tc>
          <w:tcPr>
            <w:tcW w:w="812" w:type="dxa"/>
            <w:vMerge w:val="restart"/>
            <w:tcBorders>
              <w:top w:val="outset" w:sz="6" w:space="0" w:color="auto"/>
              <w:left w:val="outset" w:sz="6" w:space="0" w:color="auto"/>
              <w:right w:val="outset" w:sz="6" w:space="0" w:color="auto"/>
            </w:tcBorders>
            <w:vAlign w:val="center"/>
          </w:tcPr>
          <w:p w14:paraId="574CB809"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2.1.2</w:t>
            </w:r>
          </w:p>
        </w:tc>
        <w:tc>
          <w:tcPr>
            <w:tcW w:w="598" w:type="dxa"/>
            <w:vMerge w:val="restart"/>
            <w:tcBorders>
              <w:top w:val="outset" w:sz="6" w:space="0" w:color="auto"/>
              <w:left w:val="outset" w:sz="6" w:space="0" w:color="auto"/>
              <w:right w:val="outset" w:sz="6" w:space="0" w:color="auto"/>
            </w:tcBorders>
            <w:vAlign w:val="center"/>
          </w:tcPr>
          <w:p w14:paraId="353D0CE8"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资格评审</w:t>
            </w:r>
          </w:p>
          <w:p w14:paraId="0224FFBE"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标准</w:t>
            </w:r>
          </w:p>
        </w:tc>
        <w:tc>
          <w:tcPr>
            <w:tcW w:w="2268" w:type="dxa"/>
            <w:tcBorders>
              <w:top w:val="outset" w:sz="6" w:space="0" w:color="auto"/>
              <w:left w:val="outset" w:sz="6" w:space="0" w:color="auto"/>
              <w:bottom w:val="outset" w:sz="6" w:space="0" w:color="auto"/>
              <w:right w:val="outset" w:sz="6" w:space="0" w:color="auto"/>
            </w:tcBorders>
            <w:vAlign w:val="center"/>
          </w:tcPr>
          <w:p w14:paraId="6073DF3C"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营业执照</w:t>
            </w:r>
          </w:p>
        </w:tc>
        <w:tc>
          <w:tcPr>
            <w:tcW w:w="5953" w:type="dxa"/>
            <w:tcBorders>
              <w:top w:val="outset" w:sz="6" w:space="0" w:color="auto"/>
              <w:left w:val="outset" w:sz="6" w:space="0" w:color="auto"/>
              <w:bottom w:val="outset" w:sz="6" w:space="0" w:color="auto"/>
              <w:right w:val="outset" w:sz="6" w:space="0" w:color="auto"/>
            </w:tcBorders>
            <w:vAlign w:val="center"/>
          </w:tcPr>
          <w:p w14:paraId="5847D804"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符合第二章“投标人须知” 第3.5.1项规定，</w:t>
            </w:r>
            <w:r w:rsidRPr="004D1C14">
              <w:rPr>
                <w:rFonts w:ascii="宋体" w:eastAsia="宋体" w:hAnsi="宋体" w:cs="Times New Roman"/>
                <w:szCs w:val="21"/>
              </w:rPr>
              <w:t>具备有效的营业执照</w:t>
            </w:r>
          </w:p>
        </w:tc>
      </w:tr>
      <w:tr w:rsidR="004D1C14" w:rsidRPr="004D1C14" w14:paraId="25F6C909" w14:textId="77777777" w:rsidTr="00CE41A5">
        <w:trPr>
          <w:trHeight w:val="397"/>
        </w:trPr>
        <w:tc>
          <w:tcPr>
            <w:tcW w:w="812" w:type="dxa"/>
            <w:vMerge/>
            <w:tcBorders>
              <w:left w:val="outset" w:sz="6" w:space="0" w:color="auto"/>
              <w:right w:val="outset" w:sz="6" w:space="0" w:color="auto"/>
            </w:tcBorders>
            <w:vAlign w:val="center"/>
          </w:tcPr>
          <w:p w14:paraId="71188BFA"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55BEDE1F"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165C1F1C"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资质</w:t>
            </w:r>
            <w:r w:rsidRPr="004D1C14">
              <w:rPr>
                <w:rFonts w:ascii="宋体" w:eastAsia="宋体" w:hAnsi="宋体" w:cs="Times New Roman" w:hint="eastAsia"/>
                <w:szCs w:val="21"/>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67223276"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符合第二章“投标人须知”第1.4.1项规定</w:t>
            </w:r>
          </w:p>
        </w:tc>
      </w:tr>
      <w:tr w:rsidR="004D1C14" w:rsidRPr="004D1C14" w14:paraId="610C4BB1" w14:textId="77777777" w:rsidTr="00CE41A5">
        <w:trPr>
          <w:trHeight w:val="397"/>
        </w:trPr>
        <w:tc>
          <w:tcPr>
            <w:tcW w:w="812" w:type="dxa"/>
            <w:vMerge/>
            <w:tcBorders>
              <w:left w:val="outset" w:sz="6" w:space="0" w:color="auto"/>
              <w:right w:val="outset" w:sz="6" w:space="0" w:color="auto"/>
            </w:tcBorders>
            <w:vAlign w:val="center"/>
          </w:tcPr>
          <w:p w14:paraId="078B34E4"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0278C169"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6DA07D8F"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财务</w:t>
            </w:r>
            <w:r w:rsidRPr="004D1C14">
              <w:rPr>
                <w:rFonts w:ascii="宋体" w:eastAsia="宋体" w:hAnsi="宋体" w:cs="Times New Roman" w:hint="eastAsia"/>
                <w:szCs w:val="21"/>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40FDBB6E"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符合第二章“投标人须知”第1.4.1项规定</w:t>
            </w:r>
          </w:p>
        </w:tc>
      </w:tr>
      <w:tr w:rsidR="004D1C14" w:rsidRPr="004D1C14" w14:paraId="0D543E30" w14:textId="77777777" w:rsidTr="00CE41A5">
        <w:trPr>
          <w:trHeight w:val="397"/>
        </w:trPr>
        <w:tc>
          <w:tcPr>
            <w:tcW w:w="812" w:type="dxa"/>
            <w:vMerge/>
            <w:tcBorders>
              <w:left w:val="outset" w:sz="6" w:space="0" w:color="auto"/>
              <w:right w:val="outset" w:sz="6" w:space="0" w:color="auto"/>
            </w:tcBorders>
            <w:vAlign w:val="center"/>
          </w:tcPr>
          <w:p w14:paraId="2FC0B23F"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0E82F8C6"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518E8E42"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业绩</w:t>
            </w:r>
            <w:r w:rsidRPr="004D1C14">
              <w:rPr>
                <w:rFonts w:ascii="宋体" w:eastAsia="宋体" w:hAnsi="宋体" w:cs="Times New Roman" w:hint="eastAsia"/>
                <w:szCs w:val="21"/>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64F45B02"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符合第二章“投标人须知”第1.4.1项规定</w:t>
            </w:r>
          </w:p>
        </w:tc>
      </w:tr>
      <w:tr w:rsidR="004D1C14" w:rsidRPr="004D1C14" w14:paraId="4B26167C" w14:textId="77777777" w:rsidTr="00CE41A5">
        <w:trPr>
          <w:trHeight w:val="397"/>
        </w:trPr>
        <w:tc>
          <w:tcPr>
            <w:tcW w:w="812" w:type="dxa"/>
            <w:vMerge/>
            <w:tcBorders>
              <w:left w:val="outset" w:sz="6" w:space="0" w:color="auto"/>
              <w:right w:val="outset" w:sz="6" w:space="0" w:color="auto"/>
            </w:tcBorders>
            <w:vAlign w:val="center"/>
          </w:tcPr>
          <w:p w14:paraId="73E25E79"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4E4F3A26"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507696C0"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信誉</w:t>
            </w:r>
            <w:r w:rsidRPr="004D1C14">
              <w:rPr>
                <w:rFonts w:ascii="宋体" w:eastAsia="宋体" w:hAnsi="宋体" w:cs="Times New Roman" w:hint="eastAsia"/>
                <w:szCs w:val="21"/>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70822082"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符合第二章“投标人须知”第1.4.1项规定</w:t>
            </w:r>
          </w:p>
        </w:tc>
      </w:tr>
      <w:tr w:rsidR="004D1C14" w:rsidRPr="004D1C14" w14:paraId="5ACFB988" w14:textId="77777777" w:rsidTr="00CE41A5">
        <w:trPr>
          <w:trHeight w:val="397"/>
        </w:trPr>
        <w:tc>
          <w:tcPr>
            <w:tcW w:w="812" w:type="dxa"/>
            <w:vMerge/>
            <w:tcBorders>
              <w:left w:val="outset" w:sz="6" w:space="0" w:color="auto"/>
              <w:right w:val="outset" w:sz="6" w:space="0" w:color="auto"/>
            </w:tcBorders>
            <w:vAlign w:val="center"/>
          </w:tcPr>
          <w:p w14:paraId="0F39653F"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27EDDF54"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6B9D7141"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其他要求</w:t>
            </w:r>
          </w:p>
        </w:tc>
        <w:tc>
          <w:tcPr>
            <w:tcW w:w="5953" w:type="dxa"/>
            <w:tcBorders>
              <w:top w:val="outset" w:sz="6" w:space="0" w:color="auto"/>
              <w:left w:val="outset" w:sz="6" w:space="0" w:color="auto"/>
              <w:bottom w:val="outset" w:sz="6" w:space="0" w:color="auto"/>
              <w:right w:val="outset" w:sz="6" w:space="0" w:color="auto"/>
            </w:tcBorders>
            <w:vAlign w:val="center"/>
          </w:tcPr>
          <w:p w14:paraId="120EBF5B"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符合第二章“投标人须知”第1.4.1项规定</w:t>
            </w:r>
          </w:p>
        </w:tc>
      </w:tr>
      <w:tr w:rsidR="004D1C14" w:rsidRPr="004D1C14" w14:paraId="4E4FBEBA" w14:textId="77777777" w:rsidTr="00CE41A5">
        <w:trPr>
          <w:trHeight w:val="397"/>
        </w:trPr>
        <w:tc>
          <w:tcPr>
            <w:tcW w:w="812" w:type="dxa"/>
            <w:vMerge/>
            <w:tcBorders>
              <w:left w:val="outset" w:sz="6" w:space="0" w:color="auto"/>
              <w:right w:val="outset" w:sz="6" w:space="0" w:color="auto"/>
            </w:tcBorders>
            <w:vAlign w:val="center"/>
          </w:tcPr>
          <w:p w14:paraId="6E0D8E70"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191E5E71"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3D19E35A"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不存在禁止投标的情形</w:t>
            </w:r>
          </w:p>
        </w:tc>
        <w:tc>
          <w:tcPr>
            <w:tcW w:w="5953" w:type="dxa"/>
            <w:tcBorders>
              <w:top w:val="outset" w:sz="6" w:space="0" w:color="auto"/>
              <w:left w:val="outset" w:sz="6" w:space="0" w:color="auto"/>
              <w:bottom w:val="outset" w:sz="6" w:space="0" w:color="auto"/>
              <w:right w:val="outset" w:sz="6" w:space="0" w:color="auto"/>
            </w:tcBorders>
            <w:vAlign w:val="center"/>
          </w:tcPr>
          <w:p w14:paraId="2533C66B"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不存在</w:t>
            </w:r>
            <w:r w:rsidRPr="004D1C14">
              <w:rPr>
                <w:rFonts w:ascii="宋体" w:eastAsia="宋体" w:hAnsi="宋体" w:cs="Times New Roman"/>
                <w:szCs w:val="21"/>
              </w:rPr>
              <w:t>第二章“投标人须知”第1.4.</w:t>
            </w:r>
            <w:r w:rsidRPr="004D1C14">
              <w:rPr>
                <w:rFonts w:ascii="宋体" w:eastAsia="宋体" w:hAnsi="宋体" w:cs="Times New Roman" w:hint="eastAsia"/>
                <w:szCs w:val="21"/>
              </w:rPr>
              <w:t>3</w:t>
            </w:r>
            <w:r w:rsidRPr="004D1C14">
              <w:rPr>
                <w:rFonts w:ascii="宋体" w:eastAsia="宋体" w:hAnsi="宋体" w:cs="Times New Roman"/>
                <w:szCs w:val="21"/>
              </w:rPr>
              <w:t>项规定</w:t>
            </w:r>
            <w:r w:rsidRPr="004D1C14">
              <w:rPr>
                <w:rFonts w:ascii="宋体" w:eastAsia="宋体" w:hAnsi="宋体" w:cs="Times New Roman" w:hint="eastAsia"/>
                <w:szCs w:val="21"/>
              </w:rPr>
              <w:t>的任何一种情形</w:t>
            </w:r>
          </w:p>
        </w:tc>
      </w:tr>
      <w:tr w:rsidR="004D1C14" w:rsidRPr="004D1C14" w14:paraId="2C5B1BF4" w14:textId="77777777" w:rsidTr="00CE41A5">
        <w:trPr>
          <w:trHeight w:val="397"/>
        </w:trPr>
        <w:tc>
          <w:tcPr>
            <w:tcW w:w="812" w:type="dxa"/>
            <w:vMerge/>
            <w:tcBorders>
              <w:left w:val="outset" w:sz="6" w:space="0" w:color="auto"/>
              <w:right w:val="outset" w:sz="6" w:space="0" w:color="auto"/>
            </w:tcBorders>
            <w:vAlign w:val="center"/>
          </w:tcPr>
          <w:p w14:paraId="6454C6D3"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235C8404"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2F414E7E"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投标设备制造商的资质要求（如有）</w:t>
            </w:r>
          </w:p>
        </w:tc>
        <w:tc>
          <w:tcPr>
            <w:tcW w:w="5953" w:type="dxa"/>
            <w:tcBorders>
              <w:top w:val="outset" w:sz="6" w:space="0" w:color="auto"/>
              <w:left w:val="outset" w:sz="6" w:space="0" w:color="auto"/>
              <w:bottom w:val="outset" w:sz="6" w:space="0" w:color="auto"/>
              <w:right w:val="outset" w:sz="6" w:space="0" w:color="auto"/>
            </w:tcBorders>
            <w:vAlign w:val="center"/>
          </w:tcPr>
          <w:p w14:paraId="776D04B9"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符合第二章“投标人须知”第1.4.1项规定</w:t>
            </w:r>
          </w:p>
        </w:tc>
      </w:tr>
      <w:tr w:rsidR="004D1C14" w:rsidRPr="004D1C14" w14:paraId="11AAE4C1" w14:textId="77777777" w:rsidTr="00CE41A5">
        <w:trPr>
          <w:trHeight w:val="397"/>
        </w:trPr>
        <w:tc>
          <w:tcPr>
            <w:tcW w:w="812" w:type="dxa"/>
            <w:vMerge/>
            <w:tcBorders>
              <w:left w:val="outset" w:sz="6" w:space="0" w:color="auto"/>
              <w:right w:val="outset" w:sz="6" w:space="0" w:color="auto"/>
            </w:tcBorders>
            <w:vAlign w:val="center"/>
          </w:tcPr>
          <w:p w14:paraId="3E4C2519"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left w:val="outset" w:sz="6" w:space="0" w:color="auto"/>
              <w:right w:val="outset" w:sz="6" w:space="0" w:color="auto"/>
            </w:tcBorders>
            <w:vAlign w:val="center"/>
          </w:tcPr>
          <w:p w14:paraId="0A381889"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2511FB31"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制造商授权书（适用于代理经销商投标的情形）</w:t>
            </w:r>
          </w:p>
        </w:tc>
        <w:tc>
          <w:tcPr>
            <w:tcW w:w="5953" w:type="dxa"/>
            <w:tcBorders>
              <w:top w:val="outset" w:sz="6" w:space="0" w:color="auto"/>
              <w:left w:val="outset" w:sz="6" w:space="0" w:color="auto"/>
              <w:bottom w:val="outset" w:sz="6" w:space="0" w:color="auto"/>
              <w:right w:val="outset" w:sz="6" w:space="0" w:color="auto"/>
            </w:tcBorders>
            <w:vAlign w:val="center"/>
          </w:tcPr>
          <w:p w14:paraId="3DDE3BDA"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制造商、投标人按照招标文件提供的格式签订了制造商授权书，明确投标设备和各方责任，并提供了制造商授权书原件。</w:t>
            </w:r>
          </w:p>
        </w:tc>
      </w:tr>
      <w:tr w:rsidR="004D1C14" w:rsidRPr="004D1C14" w14:paraId="39772C6C" w14:textId="77777777" w:rsidTr="00CE41A5">
        <w:trPr>
          <w:trHeight w:val="397"/>
        </w:trPr>
        <w:tc>
          <w:tcPr>
            <w:tcW w:w="812" w:type="dxa"/>
            <w:vMerge w:val="restart"/>
            <w:tcBorders>
              <w:top w:val="outset" w:sz="6" w:space="0" w:color="auto"/>
              <w:left w:val="outset" w:sz="6" w:space="0" w:color="auto"/>
              <w:bottom w:val="outset" w:sz="6" w:space="0" w:color="auto"/>
              <w:right w:val="outset" w:sz="6" w:space="0" w:color="auto"/>
            </w:tcBorders>
            <w:vAlign w:val="center"/>
          </w:tcPr>
          <w:p w14:paraId="64166952"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2.1.3</w:t>
            </w:r>
          </w:p>
        </w:tc>
        <w:tc>
          <w:tcPr>
            <w:tcW w:w="598" w:type="dxa"/>
            <w:vMerge w:val="restart"/>
            <w:tcBorders>
              <w:top w:val="outset" w:sz="6" w:space="0" w:color="auto"/>
              <w:left w:val="outset" w:sz="6" w:space="0" w:color="auto"/>
              <w:bottom w:val="outset" w:sz="6" w:space="0" w:color="auto"/>
              <w:right w:val="outset" w:sz="6" w:space="0" w:color="auto"/>
            </w:tcBorders>
            <w:vAlign w:val="center"/>
          </w:tcPr>
          <w:p w14:paraId="4AD36B3F"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响应性评审标准</w:t>
            </w:r>
          </w:p>
        </w:tc>
        <w:tc>
          <w:tcPr>
            <w:tcW w:w="2268" w:type="dxa"/>
            <w:tcBorders>
              <w:top w:val="outset" w:sz="6" w:space="0" w:color="auto"/>
              <w:left w:val="outset" w:sz="6" w:space="0" w:color="auto"/>
              <w:bottom w:val="outset" w:sz="6" w:space="0" w:color="auto"/>
              <w:right w:val="outset" w:sz="6" w:space="0" w:color="auto"/>
            </w:tcBorders>
            <w:vAlign w:val="center"/>
          </w:tcPr>
          <w:p w14:paraId="2BC61E6A"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投标报价</w:t>
            </w:r>
          </w:p>
        </w:tc>
        <w:tc>
          <w:tcPr>
            <w:tcW w:w="5953" w:type="dxa"/>
            <w:tcBorders>
              <w:top w:val="outset" w:sz="6" w:space="0" w:color="auto"/>
              <w:left w:val="outset" w:sz="6" w:space="0" w:color="auto"/>
              <w:bottom w:val="outset" w:sz="6" w:space="0" w:color="auto"/>
              <w:right w:val="outset" w:sz="6" w:space="0" w:color="auto"/>
            </w:tcBorders>
            <w:vAlign w:val="center"/>
          </w:tcPr>
          <w:p w14:paraId="6A8989C5"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符合第二</w:t>
            </w:r>
            <w:r w:rsidRPr="004D1C14">
              <w:rPr>
                <w:rFonts w:ascii="宋体" w:eastAsia="宋体" w:hAnsi="宋体" w:cs="Times New Roman"/>
                <w:szCs w:val="21"/>
              </w:rPr>
              <w:t>章“投标人须知”第</w:t>
            </w:r>
            <w:r w:rsidRPr="004D1C14">
              <w:rPr>
                <w:rFonts w:ascii="宋体" w:eastAsia="宋体" w:hAnsi="宋体" w:cs="Times New Roman" w:hint="eastAsia"/>
                <w:szCs w:val="21"/>
              </w:rPr>
              <w:t>3.2款</w:t>
            </w:r>
            <w:r w:rsidRPr="004D1C14">
              <w:rPr>
                <w:rFonts w:ascii="宋体" w:eastAsia="宋体" w:hAnsi="宋体" w:cs="Times New Roman"/>
                <w:szCs w:val="21"/>
              </w:rPr>
              <w:t>规定</w:t>
            </w:r>
          </w:p>
        </w:tc>
      </w:tr>
      <w:tr w:rsidR="004D1C14" w:rsidRPr="004D1C14" w14:paraId="78D30046"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2BF00D9E"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33472CD5"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4C8FB754"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投标内容</w:t>
            </w:r>
          </w:p>
        </w:tc>
        <w:tc>
          <w:tcPr>
            <w:tcW w:w="5953" w:type="dxa"/>
            <w:tcBorders>
              <w:top w:val="outset" w:sz="6" w:space="0" w:color="auto"/>
              <w:left w:val="outset" w:sz="6" w:space="0" w:color="auto"/>
              <w:bottom w:val="outset" w:sz="6" w:space="0" w:color="auto"/>
              <w:right w:val="outset" w:sz="6" w:space="0" w:color="auto"/>
            </w:tcBorders>
            <w:vAlign w:val="center"/>
          </w:tcPr>
          <w:p w14:paraId="4078E416"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符合第二章“投标人须知”第1.3.1项规定</w:t>
            </w:r>
          </w:p>
        </w:tc>
      </w:tr>
      <w:tr w:rsidR="004D1C14" w:rsidRPr="004D1C14" w14:paraId="5E462526"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51BE66EE"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107F88B6"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07AC7634"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交货期</w:t>
            </w:r>
          </w:p>
        </w:tc>
        <w:tc>
          <w:tcPr>
            <w:tcW w:w="5953" w:type="dxa"/>
            <w:tcBorders>
              <w:top w:val="outset" w:sz="6" w:space="0" w:color="auto"/>
              <w:left w:val="outset" w:sz="6" w:space="0" w:color="auto"/>
              <w:bottom w:val="outset" w:sz="6" w:space="0" w:color="auto"/>
              <w:right w:val="outset" w:sz="6" w:space="0" w:color="auto"/>
            </w:tcBorders>
            <w:vAlign w:val="center"/>
          </w:tcPr>
          <w:p w14:paraId="7E3F5253"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符合第二章“投标人须知”第1.3.</w:t>
            </w:r>
            <w:r w:rsidRPr="004D1C14">
              <w:rPr>
                <w:rFonts w:ascii="宋体" w:eastAsia="宋体" w:hAnsi="宋体" w:cs="Times New Roman" w:hint="eastAsia"/>
                <w:szCs w:val="21"/>
              </w:rPr>
              <w:t>2</w:t>
            </w:r>
            <w:r w:rsidRPr="004D1C14">
              <w:rPr>
                <w:rFonts w:ascii="宋体" w:eastAsia="宋体" w:hAnsi="宋体" w:cs="Times New Roman"/>
                <w:szCs w:val="21"/>
              </w:rPr>
              <w:t>项规定</w:t>
            </w:r>
          </w:p>
        </w:tc>
      </w:tr>
      <w:tr w:rsidR="004D1C14" w:rsidRPr="004D1C14" w14:paraId="7308D8BA"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440C0B54"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1D1B7E45"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42C7CDFF"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交货地点</w:t>
            </w:r>
          </w:p>
        </w:tc>
        <w:tc>
          <w:tcPr>
            <w:tcW w:w="5953" w:type="dxa"/>
            <w:tcBorders>
              <w:top w:val="outset" w:sz="6" w:space="0" w:color="auto"/>
              <w:left w:val="outset" w:sz="6" w:space="0" w:color="auto"/>
              <w:bottom w:val="outset" w:sz="6" w:space="0" w:color="auto"/>
              <w:right w:val="outset" w:sz="6" w:space="0" w:color="auto"/>
            </w:tcBorders>
            <w:vAlign w:val="center"/>
          </w:tcPr>
          <w:p w14:paraId="06367A92"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符合第二章“投标人须知”第1.3.</w:t>
            </w:r>
            <w:r w:rsidRPr="004D1C14">
              <w:rPr>
                <w:rFonts w:ascii="宋体" w:eastAsia="宋体" w:hAnsi="宋体" w:cs="Times New Roman" w:hint="eastAsia"/>
                <w:szCs w:val="21"/>
              </w:rPr>
              <w:t>3</w:t>
            </w:r>
            <w:r w:rsidRPr="004D1C14">
              <w:rPr>
                <w:rFonts w:ascii="宋体" w:eastAsia="宋体" w:hAnsi="宋体" w:cs="Times New Roman"/>
                <w:szCs w:val="21"/>
              </w:rPr>
              <w:t>项规定</w:t>
            </w:r>
          </w:p>
        </w:tc>
      </w:tr>
      <w:tr w:rsidR="004D1C14" w:rsidRPr="004D1C14" w14:paraId="14B2D6D5"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356F3F6C"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07E0E2C9"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5968F69C"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技术性能指标</w:t>
            </w:r>
          </w:p>
        </w:tc>
        <w:tc>
          <w:tcPr>
            <w:tcW w:w="5953" w:type="dxa"/>
            <w:tcBorders>
              <w:top w:val="outset" w:sz="6" w:space="0" w:color="auto"/>
              <w:left w:val="outset" w:sz="6" w:space="0" w:color="auto"/>
              <w:bottom w:val="outset" w:sz="6" w:space="0" w:color="auto"/>
              <w:right w:val="outset" w:sz="6" w:space="0" w:color="auto"/>
            </w:tcBorders>
            <w:vAlign w:val="center"/>
          </w:tcPr>
          <w:p w14:paraId="2AC9A45A"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符合第二章“投标人须知”第</w:t>
            </w:r>
            <w:r w:rsidRPr="004D1C14">
              <w:rPr>
                <w:rFonts w:ascii="宋体" w:eastAsia="宋体" w:hAnsi="宋体" w:cs="Times New Roman"/>
                <w:szCs w:val="21"/>
              </w:rPr>
              <w:t>1.3.4</w:t>
            </w:r>
            <w:r w:rsidRPr="004D1C14">
              <w:rPr>
                <w:rFonts w:ascii="宋体" w:eastAsia="宋体" w:hAnsi="宋体" w:cs="Times New Roman" w:hint="eastAsia"/>
                <w:szCs w:val="21"/>
              </w:rPr>
              <w:t>项规定</w:t>
            </w:r>
          </w:p>
        </w:tc>
      </w:tr>
      <w:tr w:rsidR="004D1C14" w:rsidRPr="004D1C14" w14:paraId="3C4AF571"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2BE85D75"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0C560E33"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5C6B72F2"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投标有效期</w:t>
            </w:r>
          </w:p>
        </w:tc>
        <w:tc>
          <w:tcPr>
            <w:tcW w:w="5953" w:type="dxa"/>
            <w:tcBorders>
              <w:top w:val="outset" w:sz="6" w:space="0" w:color="auto"/>
              <w:left w:val="outset" w:sz="6" w:space="0" w:color="auto"/>
              <w:bottom w:val="outset" w:sz="6" w:space="0" w:color="auto"/>
              <w:right w:val="outset" w:sz="6" w:space="0" w:color="auto"/>
            </w:tcBorders>
            <w:vAlign w:val="center"/>
          </w:tcPr>
          <w:p w14:paraId="2125A580"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符合第二章“投标人须知”第3.3.1项规定</w:t>
            </w:r>
          </w:p>
        </w:tc>
      </w:tr>
      <w:tr w:rsidR="004D1C14" w:rsidRPr="004D1C14" w14:paraId="193D176B"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22B6D701"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5B630ADE"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01A4C7C2"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投标保证金</w:t>
            </w:r>
          </w:p>
        </w:tc>
        <w:tc>
          <w:tcPr>
            <w:tcW w:w="5953" w:type="dxa"/>
            <w:tcBorders>
              <w:top w:val="outset" w:sz="6" w:space="0" w:color="auto"/>
              <w:left w:val="outset" w:sz="6" w:space="0" w:color="auto"/>
              <w:bottom w:val="outset" w:sz="6" w:space="0" w:color="auto"/>
              <w:right w:val="outset" w:sz="6" w:space="0" w:color="auto"/>
            </w:tcBorders>
            <w:vAlign w:val="center"/>
          </w:tcPr>
          <w:p w14:paraId="2990208A"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符合第二章“投标人须知”第3.4.1项规定</w:t>
            </w:r>
          </w:p>
        </w:tc>
      </w:tr>
      <w:tr w:rsidR="004D1C14" w:rsidRPr="004D1C14" w14:paraId="4A98FE66"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57B81536"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4C1296B0"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002BCCD6"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权利义务</w:t>
            </w:r>
          </w:p>
        </w:tc>
        <w:tc>
          <w:tcPr>
            <w:tcW w:w="5953" w:type="dxa"/>
            <w:tcBorders>
              <w:top w:val="outset" w:sz="6" w:space="0" w:color="auto"/>
              <w:left w:val="outset" w:sz="6" w:space="0" w:color="auto"/>
              <w:bottom w:val="outset" w:sz="6" w:space="0" w:color="auto"/>
              <w:right w:val="outset" w:sz="6" w:space="0" w:color="auto"/>
            </w:tcBorders>
            <w:vAlign w:val="center"/>
          </w:tcPr>
          <w:p w14:paraId="2B5DDAA0"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w:t>
            </w:r>
            <w:r w:rsidRPr="004D1C14">
              <w:rPr>
                <w:rFonts w:ascii="宋体" w:eastAsia="宋体" w:hAnsi="宋体" w:cs="Times New Roman" w:hint="eastAsia"/>
                <w:szCs w:val="21"/>
              </w:rPr>
              <w:t>1.11.1</w:t>
            </w:r>
            <w:r w:rsidRPr="004D1C14">
              <w:rPr>
                <w:rFonts w:ascii="宋体" w:eastAsia="宋体" w:hAnsi="宋体" w:cs="Times New Roman"/>
                <w:szCs w:val="21"/>
              </w:rPr>
              <w:t>项规定</w:t>
            </w:r>
            <w:r w:rsidRPr="004D1C14">
              <w:rPr>
                <w:rFonts w:ascii="宋体" w:eastAsia="宋体" w:hAnsi="宋体" w:cs="Times New Roman" w:hint="eastAsia"/>
                <w:szCs w:val="21"/>
              </w:rPr>
              <w:t>和第四章“合同条款及格式”中的实质性要求和条件</w:t>
            </w:r>
          </w:p>
        </w:tc>
      </w:tr>
      <w:tr w:rsidR="004D1C14" w:rsidRPr="004D1C14" w14:paraId="7A92FFF7"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6A6461D9"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280AB706"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3E1C17F4"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hint="eastAsia"/>
                <w:szCs w:val="21"/>
              </w:rPr>
              <w:t>投标设备及技术服务和</w:t>
            </w:r>
            <w:r w:rsidRPr="004D1C14">
              <w:rPr>
                <w:rFonts w:ascii="宋体" w:eastAsia="宋体" w:hAnsi="宋体" w:cs="Times New Roman" w:hint="eastAsia"/>
                <w:szCs w:val="21"/>
              </w:rPr>
              <w:lastRenderedPageBreak/>
              <w:t>质保期服务</w:t>
            </w:r>
          </w:p>
        </w:tc>
        <w:tc>
          <w:tcPr>
            <w:tcW w:w="5953" w:type="dxa"/>
            <w:tcBorders>
              <w:top w:val="outset" w:sz="6" w:space="0" w:color="auto"/>
              <w:left w:val="outset" w:sz="6" w:space="0" w:color="auto"/>
              <w:bottom w:val="outset" w:sz="6" w:space="0" w:color="auto"/>
              <w:right w:val="outset" w:sz="6" w:space="0" w:color="auto"/>
            </w:tcBorders>
            <w:vAlign w:val="center"/>
          </w:tcPr>
          <w:p w14:paraId="56CFBD03"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lastRenderedPageBreak/>
              <w:t>符合第</w:t>
            </w:r>
            <w:r w:rsidRPr="004D1C14">
              <w:rPr>
                <w:rFonts w:ascii="宋体" w:eastAsia="宋体" w:hAnsi="宋体" w:cs="Times New Roman" w:hint="eastAsia"/>
                <w:szCs w:val="21"/>
              </w:rPr>
              <w:t>五</w:t>
            </w:r>
            <w:r w:rsidRPr="004D1C14">
              <w:rPr>
                <w:rFonts w:ascii="宋体" w:eastAsia="宋体" w:hAnsi="宋体" w:cs="Times New Roman"/>
                <w:szCs w:val="21"/>
              </w:rPr>
              <w:t>章“</w:t>
            </w:r>
            <w:r w:rsidRPr="004D1C14">
              <w:rPr>
                <w:rFonts w:ascii="宋体" w:eastAsia="宋体" w:hAnsi="宋体" w:cs="Times New Roman" w:hint="eastAsia"/>
                <w:szCs w:val="21"/>
              </w:rPr>
              <w:t>供货要求</w:t>
            </w:r>
            <w:r w:rsidRPr="004D1C14">
              <w:rPr>
                <w:rFonts w:ascii="宋体" w:eastAsia="宋体" w:hAnsi="宋体" w:cs="Times New Roman"/>
                <w:szCs w:val="21"/>
              </w:rPr>
              <w:t>”</w:t>
            </w:r>
            <w:r w:rsidRPr="004D1C14">
              <w:rPr>
                <w:rFonts w:ascii="宋体" w:eastAsia="宋体" w:hAnsi="宋体" w:cs="Times New Roman" w:hint="eastAsia"/>
                <w:szCs w:val="21"/>
              </w:rPr>
              <w:t>中的实质性要求和条件</w:t>
            </w:r>
          </w:p>
        </w:tc>
      </w:tr>
      <w:tr w:rsidR="004D1C14" w:rsidRPr="004D1C14" w14:paraId="2D98B991" w14:textId="77777777" w:rsidTr="00CE41A5">
        <w:trPr>
          <w:trHeight w:val="397"/>
        </w:trPr>
        <w:tc>
          <w:tcPr>
            <w:tcW w:w="812" w:type="dxa"/>
            <w:vMerge/>
            <w:tcBorders>
              <w:top w:val="outset" w:sz="6" w:space="0" w:color="auto"/>
              <w:left w:val="outset" w:sz="6" w:space="0" w:color="auto"/>
              <w:bottom w:val="outset" w:sz="6" w:space="0" w:color="auto"/>
              <w:right w:val="outset" w:sz="6" w:space="0" w:color="auto"/>
            </w:tcBorders>
            <w:vAlign w:val="center"/>
          </w:tcPr>
          <w:p w14:paraId="7472ABCD" w14:textId="77777777" w:rsidR="004D1C14" w:rsidRPr="004D1C14" w:rsidRDefault="004D1C14" w:rsidP="004D1C14">
            <w:pPr>
              <w:snapToGrid w:val="0"/>
              <w:jc w:val="center"/>
              <w:rPr>
                <w:rFonts w:ascii="宋体" w:eastAsia="宋体" w:hAnsi="宋体" w:cs="Times New Roman"/>
                <w:szCs w:val="21"/>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6E35C816" w14:textId="77777777" w:rsidR="004D1C14" w:rsidRPr="004D1C14" w:rsidRDefault="004D1C14" w:rsidP="004D1C14">
            <w:pPr>
              <w:snapToGrid w:val="0"/>
              <w:jc w:val="center"/>
              <w:rPr>
                <w:rFonts w:ascii="宋体" w:eastAsia="宋体" w:hAnsi="宋体" w:cs="Times New Roman"/>
                <w:szCs w:val="21"/>
              </w:rPr>
            </w:pPr>
          </w:p>
        </w:tc>
        <w:tc>
          <w:tcPr>
            <w:tcW w:w="2268" w:type="dxa"/>
            <w:tcBorders>
              <w:top w:val="outset" w:sz="6" w:space="0" w:color="auto"/>
              <w:left w:val="outset" w:sz="6" w:space="0" w:color="auto"/>
              <w:bottom w:val="outset" w:sz="6" w:space="0" w:color="auto"/>
              <w:right w:val="outset" w:sz="6" w:space="0" w:color="auto"/>
            </w:tcBorders>
            <w:vAlign w:val="center"/>
          </w:tcPr>
          <w:p w14:paraId="2049F47F"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Times New Roman"/>
                <w:szCs w:val="21"/>
              </w:rPr>
              <w:t>技术</w:t>
            </w:r>
            <w:r w:rsidRPr="004D1C14">
              <w:rPr>
                <w:rFonts w:ascii="宋体" w:eastAsia="宋体" w:hAnsi="宋体" w:cs="Times New Roman" w:hint="eastAsia"/>
                <w:szCs w:val="21"/>
              </w:rPr>
              <w:t>支持资料</w:t>
            </w:r>
          </w:p>
        </w:tc>
        <w:tc>
          <w:tcPr>
            <w:tcW w:w="5953" w:type="dxa"/>
            <w:tcBorders>
              <w:top w:val="outset" w:sz="6" w:space="0" w:color="auto"/>
              <w:left w:val="outset" w:sz="6" w:space="0" w:color="auto"/>
              <w:bottom w:val="outset" w:sz="6" w:space="0" w:color="auto"/>
              <w:right w:val="outset" w:sz="6" w:space="0" w:color="auto"/>
            </w:tcBorders>
            <w:vAlign w:val="center"/>
          </w:tcPr>
          <w:p w14:paraId="50357365"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szCs w:val="21"/>
              </w:rPr>
              <w:t>符合第二章“投标人须知”第</w:t>
            </w:r>
            <w:r w:rsidRPr="004D1C14">
              <w:rPr>
                <w:rFonts w:ascii="宋体" w:eastAsia="宋体" w:hAnsi="宋体" w:cs="Times New Roman" w:hint="eastAsia"/>
                <w:szCs w:val="21"/>
              </w:rPr>
              <w:t>1.11.3</w:t>
            </w:r>
            <w:r w:rsidRPr="004D1C14">
              <w:rPr>
                <w:rFonts w:ascii="宋体" w:eastAsia="宋体" w:hAnsi="宋体" w:cs="Times New Roman"/>
                <w:szCs w:val="21"/>
              </w:rPr>
              <w:t>项规定</w:t>
            </w:r>
          </w:p>
        </w:tc>
      </w:tr>
    </w:tbl>
    <w:p w14:paraId="5713BB47" w14:textId="553720C5" w:rsidR="004D1C14" w:rsidRPr="004D1C14" w:rsidRDefault="004D1C14" w:rsidP="004D1C14">
      <w:pPr>
        <w:snapToGrid w:val="0"/>
        <w:rPr>
          <w:rFonts w:ascii="宋体" w:eastAsia="宋体" w:hAnsi="宋体" w:cs="Times New Roman"/>
          <w:szCs w:val="21"/>
        </w:rPr>
      </w:pPr>
      <w:bookmarkStart w:id="3" w:name="_Toc184635093"/>
    </w:p>
    <w:tbl>
      <w:tblPr>
        <w:tblW w:w="0" w:type="auto"/>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993"/>
        <w:gridCol w:w="1984"/>
        <w:gridCol w:w="5677"/>
      </w:tblGrid>
      <w:tr w:rsidR="004D1C14" w:rsidRPr="004D1C14" w14:paraId="14B0175B" w14:textId="77777777" w:rsidTr="00CE41A5">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2B047733"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条款号</w:t>
            </w:r>
          </w:p>
        </w:tc>
        <w:tc>
          <w:tcPr>
            <w:tcW w:w="1984" w:type="dxa"/>
            <w:tcBorders>
              <w:top w:val="outset" w:sz="6" w:space="0" w:color="auto"/>
              <w:left w:val="outset" w:sz="6" w:space="0" w:color="auto"/>
              <w:bottom w:val="outset" w:sz="6" w:space="0" w:color="auto"/>
              <w:right w:val="outset" w:sz="6" w:space="0" w:color="auto"/>
            </w:tcBorders>
            <w:vAlign w:val="center"/>
          </w:tcPr>
          <w:p w14:paraId="655DA249"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条款内容</w:t>
            </w:r>
          </w:p>
        </w:tc>
        <w:tc>
          <w:tcPr>
            <w:tcW w:w="5677" w:type="dxa"/>
            <w:tcBorders>
              <w:top w:val="outset" w:sz="6" w:space="0" w:color="auto"/>
              <w:left w:val="outset" w:sz="6" w:space="0" w:color="auto"/>
              <w:bottom w:val="outset" w:sz="6" w:space="0" w:color="auto"/>
              <w:right w:val="outset" w:sz="6" w:space="0" w:color="auto"/>
            </w:tcBorders>
            <w:vAlign w:val="center"/>
          </w:tcPr>
          <w:p w14:paraId="5427C4A7"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编列内容</w:t>
            </w:r>
          </w:p>
        </w:tc>
      </w:tr>
      <w:tr w:rsidR="004D1C14" w:rsidRPr="004D1C14" w14:paraId="1A09A527" w14:textId="77777777" w:rsidTr="00CE41A5">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427CCBFC"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2.2.1</w:t>
            </w:r>
          </w:p>
        </w:tc>
        <w:tc>
          <w:tcPr>
            <w:tcW w:w="1984" w:type="dxa"/>
            <w:tcBorders>
              <w:top w:val="outset" w:sz="6" w:space="0" w:color="auto"/>
              <w:left w:val="outset" w:sz="6" w:space="0" w:color="auto"/>
              <w:bottom w:val="outset" w:sz="6" w:space="0" w:color="auto"/>
              <w:right w:val="outset" w:sz="6" w:space="0" w:color="auto"/>
            </w:tcBorders>
            <w:vAlign w:val="center"/>
          </w:tcPr>
          <w:p w14:paraId="48AA58CA"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分值构成</w:t>
            </w:r>
          </w:p>
          <w:p w14:paraId="4A1D19D8"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（总分100分）</w:t>
            </w:r>
          </w:p>
        </w:tc>
        <w:tc>
          <w:tcPr>
            <w:tcW w:w="5677" w:type="dxa"/>
            <w:tcBorders>
              <w:top w:val="outset" w:sz="6" w:space="0" w:color="auto"/>
              <w:left w:val="outset" w:sz="6" w:space="0" w:color="auto"/>
              <w:bottom w:val="outset" w:sz="6" w:space="0" w:color="auto"/>
              <w:right w:val="outset" w:sz="6" w:space="0" w:color="auto"/>
            </w:tcBorders>
            <w:vAlign w:val="center"/>
          </w:tcPr>
          <w:p w14:paraId="597552DA"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商务部分：</w:t>
            </w:r>
            <w:r w:rsidRPr="004D1C14">
              <w:rPr>
                <w:rFonts w:ascii="宋体" w:eastAsia="宋体" w:hAnsi="宋体" w:cs="Times New Roman"/>
                <w:szCs w:val="21"/>
              </w:rPr>
              <w:t>20</w:t>
            </w:r>
            <w:r w:rsidRPr="004D1C14">
              <w:rPr>
                <w:rFonts w:ascii="宋体" w:eastAsia="宋体" w:hAnsi="宋体" w:cs="Times New Roman" w:hint="eastAsia"/>
                <w:szCs w:val="21"/>
              </w:rPr>
              <w:t>分</w:t>
            </w:r>
          </w:p>
          <w:p w14:paraId="04F857CE"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技术部分：</w:t>
            </w:r>
            <w:r w:rsidRPr="004D1C14">
              <w:rPr>
                <w:rFonts w:ascii="宋体" w:eastAsia="宋体" w:hAnsi="宋体" w:cs="Times New Roman"/>
                <w:szCs w:val="21"/>
              </w:rPr>
              <w:t>50</w:t>
            </w:r>
            <w:r w:rsidRPr="004D1C14">
              <w:rPr>
                <w:rFonts w:ascii="宋体" w:eastAsia="宋体" w:hAnsi="宋体" w:cs="Times New Roman" w:hint="eastAsia"/>
                <w:szCs w:val="21"/>
              </w:rPr>
              <w:t>分</w:t>
            </w:r>
          </w:p>
          <w:p w14:paraId="464D2ECF"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投标报价：</w:t>
            </w:r>
            <w:r w:rsidRPr="004D1C14">
              <w:rPr>
                <w:rFonts w:ascii="宋体" w:eastAsia="宋体" w:hAnsi="宋体" w:cs="Times New Roman"/>
                <w:szCs w:val="21"/>
              </w:rPr>
              <w:t>3</w:t>
            </w:r>
            <w:r w:rsidRPr="004D1C14">
              <w:rPr>
                <w:rFonts w:ascii="宋体" w:eastAsia="宋体" w:hAnsi="宋体" w:cs="Times New Roman" w:hint="eastAsia"/>
                <w:szCs w:val="21"/>
              </w:rPr>
              <w:t>0分</w:t>
            </w:r>
          </w:p>
        </w:tc>
      </w:tr>
      <w:tr w:rsidR="004D1C14" w:rsidRPr="004D1C14" w14:paraId="1BD0C4C6" w14:textId="77777777" w:rsidTr="00CE41A5">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7F11767F"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2.2.2</w:t>
            </w:r>
          </w:p>
        </w:tc>
        <w:tc>
          <w:tcPr>
            <w:tcW w:w="1984" w:type="dxa"/>
            <w:tcBorders>
              <w:top w:val="outset" w:sz="6" w:space="0" w:color="auto"/>
              <w:left w:val="outset" w:sz="6" w:space="0" w:color="auto"/>
              <w:bottom w:val="outset" w:sz="6" w:space="0" w:color="auto"/>
              <w:right w:val="outset" w:sz="6" w:space="0" w:color="auto"/>
            </w:tcBorders>
            <w:vAlign w:val="center"/>
          </w:tcPr>
          <w:p w14:paraId="5BFBE237"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评标基准价计算方法</w:t>
            </w:r>
          </w:p>
        </w:tc>
        <w:tc>
          <w:tcPr>
            <w:tcW w:w="5677" w:type="dxa"/>
            <w:tcBorders>
              <w:top w:val="outset" w:sz="6" w:space="0" w:color="auto"/>
              <w:left w:val="outset" w:sz="6" w:space="0" w:color="auto"/>
              <w:bottom w:val="outset" w:sz="6" w:space="0" w:color="auto"/>
              <w:right w:val="outset" w:sz="6" w:space="0" w:color="auto"/>
            </w:tcBorders>
            <w:vAlign w:val="center"/>
          </w:tcPr>
          <w:p w14:paraId="69225063"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评标基准价的计算：</w:t>
            </w:r>
          </w:p>
          <w:p w14:paraId="6472E232"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（1）评标价的确定：</w:t>
            </w:r>
          </w:p>
          <w:p w14:paraId="265C7826"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评标价=投标函文字报价</w:t>
            </w:r>
          </w:p>
          <w:p w14:paraId="447A176E"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（2）评标基准价的确定：</w:t>
            </w:r>
          </w:p>
          <w:p w14:paraId="1AE1B7B2"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p w14:paraId="6050EE3F"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宋体" w:hint="eastAsia"/>
                <w:szCs w:val="21"/>
              </w:rPr>
              <w:t>评标基准价四舍五入精确至个位</w:t>
            </w:r>
          </w:p>
        </w:tc>
      </w:tr>
      <w:tr w:rsidR="004D1C14" w:rsidRPr="004D1C14" w14:paraId="2B5C5689" w14:textId="77777777" w:rsidTr="00CE41A5">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3319AA42"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2.2.3</w:t>
            </w:r>
          </w:p>
        </w:tc>
        <w:tc>
          <w:tcPr>
            <w:tcW w:w="1984" w:type="dxa"/>
            <w:tcBorders>
              <w:top w:val="outset" w:sz="6" w:space="0" w:color="auto"/>
              <w:left w:val="outset" w:sz="6" w:space="0" w:color="auto"/>
              <w:bottom w:val="outset" w:sz="6" w:space="0" w:color="auto"/>
              <w:right w:val="outset" w:sz="6" w:space="0" w:color="auto"/>
            </w:tcBorders>
            <w:vAlign w:val="center"/>
          </w:tcPr>
          <w:p w14:paraId="7AA58701" w14:textId="77777777" w:rsidR="004D1C14" w:rsidRPr="004D1C14" w:rsidRDefault="004D1C14" w:rsidP="004D1C14">
            <w:pPr>
              <w:snapToGrid w:val="0"/>
              <w:jc w:val="center"/>
              <w:rPr>
                <w:rFonts w:ascii="宋体" w:eastAsia="宋体" w:hAnsi="宋体" w:cs="宋体"/>
                <w:szCs w:val="21"/>
              </w:rPr>
            </w:pPr>
            <w:r w:rsidRPr="004D1C14">
              <w:rPr>
                <w:rFonts w:ascii="宋体" w:eastAsia="宋体" w:hAnsi="宋体" w:cs="宋体" w:hint="eastAsia"/>
                <w:szCs w:val="21"/>
              </w:rPr>
              <w:t>投标报价的偏差率</w:t>
            </w:r>
          </w:p>
          <w:p w14:paraId="3B393A2F"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计算公式</w:t>
            </w:r>
          </w:p>
        </w:tc>
        <w:tc>
          <w:tcPr>
            <w:tcW w:w="5677" w:type="dxa"/>
            <w:tcBorders>
              <w:top w:val="outset" w:sz="6" w:space="0" w:color="auto"/>
              <w:left w:val="outset" w:sz="6" w:space="0" w:color="auto"/>
              <w:bottom w:val="outset" w:sz="6" w:space="0" w:color="auto"/>
              <w:right w:val="outset" w:sz="6" w:space="0" w:color="auto"/>
            </w:tcBorders>
            <w:vAlign w:val="center"/>
          </w:tcPr>
          <w:p w14:paraId="1D79EAA1"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偏差率=100%×（投标人评标价-评标基准价）/评标基准价</w:t>
            </w:r>
          </w:p>
          <w:p w14:paraId="692AD5E3"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Times New Roman" w:hint="eastAsia"/>
                <w:szCs w:val="21"/>
              </w:rPr>
              <w:t>偏差率（以百分数形式表示）保留两位小数，如**.**%</w:t>
            </w:r>
          </w:p>
        </w:tc>
      </w:tr>
    </w:tbl>
    <w:p w14:paraId="10707CEC" w14:textId="77777777" w:rsidR="004D1C14" w:rsidRPr="004D1C14" w:rsidRDefault="004D1C14" w:rsidP="004D1C14">
      <w:pPr>
        <w:snapToGrid w:val="0"/>
        <w:rPr>
          <w:rFonts w:ascii="宋体" w:eastAsia="宋体" w:hAnsi="宋体" w:cs="Times New Roman"/>
          <w:szCs w:val="21"/>
        </w:rPr>
      </w:pPr>
    </w:p>
    <w:tbl>
      <w:tblPr>
        <w:tblW w:w="9647"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01"/>
        <w:gridCol w:w="1292"/>
        <w:gridCol w:w="1543"/>
        <w:gridCol w:w="6111"/>
      </w:tblGrid>
      <w:tr w:rsidR="004D1C14" w:rsidRPr="004D1C14" w14:paraId="4118DD36" w14:textId="77777777" w:rsidTr="00CE41A5">
        <w:trPr>
          <w:trHeight w:val="567"/>
        </w:trPr>
        <w:tc>
          <w:tcPr>
            <w:tcW w:w="1993" w:type="dxa"/>
            <w:gridSpan w:val="2"/>
            <w:tcBorders>
              <w:top w:val="outset" w:sz="6" w:space="0" w:color="auto"/>
              <w:left w:val="outset" w:sz="6" w:space="0" w:color="auto"/>
              <w:bottom w:val="outset" w:sz="6" w:space="0" w:color="auto"/>
              <w:right w:val="outset" w:sz="6" w:space="0" w:color="auto"/>
            </w:tcBorders>
            <w:vAlign w:val="center"/>
          </w:tcPr>
          <w:p w14:paraId="46751139"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条款号</w:t>
            </w:r>
          </w:p>
        </w:tc>
        <w:tc>
          <w:tcPr>
            <w:tcW w:w="1543" w:type="dxa"/>
            <w:tcBorders>
              <w:top w:val="outset" w:sz="6" w:space="0" w:color="auto"/>
              <w:left w:val="outset" w:sz="6" w:space="0" w:color="auto"/>
              <w:bottom w:val="outset" w:sz="6" w:space="0" w:color="auto"/>
              <w:right w:val="outset" w:sz="6" w:space="0" w:color="auto"/>
            </w:tcBorders>
            <w:vAlign w:val="center"/>
          </w:tcPr>
          <w:p w14:paraId="142286FC"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Times New Roman"/>
                <w:szCs w:val="21"/>
              </w:rPr>
              <w:t>评分因素</w:t>
            </w:r>
          </w:p>
        </w:tc>
        <w:tc>
          <w:tcPr>
            <w:tcW w:w="6111" w:type="dxa"/>
            <w:tcBorders>
              <w:top w:val="outset" w:sz="6" w:space="0" w:color="auto"/>
              <w:left w:val="outset" w:sz="6" w:space="0" w:color="auto"/>
              <w:bottom w:val="outset" w:sz="6" w:space="0" w:color="auto"/>
              <w:right w:val="outset" w:sz="6" w:space="0" w:color="auto"/>
            </w:tcBorders>
            <w:vAlign w:val="center"/>
          </w:tcPr>
          <w:p w14:paraId="0BA12BC5" w14:textId="77777777" w:rsidR="004D1C14" w:rsidRPr="004D1C14" w:rsidRDefault="004D1C14" w:rsidP="004D1C14">
            <w:pPr>
              <w:snapToGrid w:val="0"/>
              <w:ind w:firstLineChars="100" w:firstLine="210"/>
              <w:jc w:val="center"/>
              <w:rPr>
                <w:rFonts w:ascii="宋体" w:eastAsia="宋体" w:hAnsi="宋体" w:cs="Times New Roman"/>
                <w:szCs w:val="21"/>
              </w:rPr>
            </w:pPr>
            <w:r w:rsidRPr="004D1C14">
              <w:rPr>
                <w:rFonts w:ascii="宋体" w:eastAsia="宋体" w:hAnsi="宋体" w:cs="Times New Roman"/>
                <w:szCs w:val="21"/>
              </w:rPr>
              <w:t>评分标准</w:t>
            </w:r>
          </w:p>
        </w:tc>
      </w:tr>
      <w:tr w:rsidR="004D1C14" w:rsidRPr="004D1C14" w14:paraId="28EB85C5" w14:textId="77777777" w:rsidTr="00CE41A5">
        <w:trPr>
          <w:trHeight w:val="567"/>
        </w:trPr>
        <w:tc>
          <w:tcPr>
            <w:tcW w:w="701" w:type="dxa"/>
            <w:tcBorders>
              <w:top w:val="outset" w:sz="6" w:space="0" w:color="auto"/>
              <w:left w:val="outset" w:sz="6" w:space="0" w:color="auto"/>
              <w:right w:val="outset" w:sz="6" w:space="0" w:color="auto"/>
            </w:tcBorders>
            <w:vAlign w:val="center"/>
          </w:tcPr>
          <w:p w14:paraId="71EB46BE"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2.2.4（1）</w:t>
            </w:r>
          </w:p>
        </w:tc>
        <w:tc>
          <w:tcPr>
            <w:tcW w:w="1292" w:type="dxa"/>
            <w:tcBorders>
              <w:top w:val="outset" w:sz="6" w:space="0" w:color="auto"/>
              <w:left w:val="outset" w:sz="6" w:space="0" w:color="auto"/>
              <w:right w:val="outset" w:sz="6" w:space="0" w:color="auto"/>
            </w:tcBorders>
            <w:vAlign w:val="center"/>
          </w:tcPr>
          <w:p w14:paraId="6A05D6F7" w14:textId="77777777" w:rsidR="004D1C14" w:rsidRPr="004D1C14" w:rsidRDefault="004D1C14" w:rsidP="004D1C14">
            <w:pPr>
              <w:snapToGrid w:val="0"/>
              <w:jc w:val="center"/>
              <w:rPr>
                <w:rFonts w:ascii="宋体" w:eastAsia="宋体" w:hAnsi="宋体" w:cs="宋体"/>
                <w:szCs w:val="21"/>
              </w:rPr>
            </w:pPr>
            <w:r w:rsidRPr="004D1C14">
              <w:rPr>
                <w:rFonts w:ascii="宋体" w:eastAsia="宋体" w:hAnsi="宋体" w:cs="宋体" w:hint="eastAsia"/>
                <w:szCs w:val="21"/>
              </w:rPr>
              <w:t>商务</w:t>
            </w:r>
          </w:p>
          <w:p w14:paraId="7D14A9F4" w14:textId="77777777" w:rsidR="004D1C14" w:rsidRPr="004D1C14" w:rsidRDefault="004D1C14" w:rsidP="004D1C14">
            <w:pPr>
              <w:snapToGrid w:val="0"/>
              <w:jc w:val="center"/>
              <w:rPr>
                <w:rFonts w:ascii="宋体" w:eastAsia="宋体" w:hAnsi="宋体" w:cs="宋体"/>
                <w:szCs w:val="21"/>
              </w:rPr>
            </w:pPr>
            <w:r w:rsidRPr="004D1C14">
              <w:rPr>
                <w:rFonts w:ascii="宋体" w:eastAsia="宋体" w:hAnsi="宋体" w:cs="宋体" w:hint="eastAsia"/>
                <w:szCs w:val="21"/>
              </w:rPr>
              <w:t>评分标准</w:t>
            </w:r>
          </w:p>
          <w:p w14:paraId="1CC8E8E2"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w:t>
            </w:r>
            <w:r w:rsidRPr="004D1C14">
              <w:rPr>
                <w:rFonts w:ascii="宋体" w:eastAsia="宋体" w:hAnsi="宋体" w:cs="宋体"/>
                <w:b/>
                <w:bCs/>
                <w:szCs w:val="21"/>
              </w:rPr>
              <w:t>20</w:t>
            </w:r>
            <w:r w:rsidRPr="004D1C14">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629AE7A9" w14:textId="77777777" w:rsidR="004D1C14" w:rsidRPr="004D1C14" w:rsidRDefault="004D1C14" w:rsidP="004D1C14">
            <w:pPr>
              <w:snapToGrid w:val="0"/>
              <w:ind w:leftChars="-2" w:left="-4" w:right="-20" w:firstLineChars="16" w:firstLine="34"/>
              <w:jc w:val="center"/>
              <w:rPr>
                <w:rFonts w:ascii="宋体" w:eastAsia="宋体" w:hAnsi="宋体" w:cs="宋体"/>
                <w:color w:val="000000"/>
                <w:szCs w:val="21"/>
              </w:rPr>
            </w:pPr>
            <w:r w:rsidRPr="004D1C14">
              <w:rPr>
                <w:rFonts w:ascii="宋体" w:eastAsia="宋体" w:hAnsi="宋体" w:cs="宋体" w:hint="eastAsia"/>
                <w:color w:val="000000"/>
                <w:szCs w:val="21"/>
              </w:rPr>
              <w:t>投标设备的</w:t>
            </w:r>
          </w:p>
          <w:p w14:paraId="6BB63C1F" w14:textId="77777777" w:rsidR="004D1C14" w:rsidRPr="004D1C14" w:rsidRDefault="004D1C14" w:rsidP="004D1C14">
            <w:pPr>
              <w:snapToGrid w:val="0"/>
              <w:ind w:leftChars="-2" w:left="-4" w:right="-20" w:firstLineChars="16" w:firstLine="34"/>
              <w:jc w:val="center"/>
              <w:rPr>
                <w:rFonts w:ascii="宋体" w:eastAsia="宋体" w:hAnsi="宋体" w:cs="宋体"/>
                <w:color w:val="000000"/>
                <w:szCs w:val="21"/>
              </w:rPr>
            </w:pPr>
            <w:r w:rsidRPr="004D1C14">
              <w:rPr>
                <w:rFonts w:ascii="宋体" w:eastAsia="宋体" w:hAnsi="宋体" w:cs="宋体" w:hint="eastAsia"/>
                <w:color w:val="000000"/>
                <w:szCs w:val="21"/>
              </w:rPr>
              <w:t>市场评价</w:t>
            </w:r>
          </w:p>
          <w:p w14:paraId="492D6985" w14:textId="77777777" w:rsidR="004D1C14" w:rsidRPr="004D1C14" w:rsidRDefault="004D1C14" w:rsidP="004D1C14">
            <w:pPr>
              <w:snapToGrid w:val="0"/>
              <w:ind w:leftChars="-2" w:left="-4" w:right="-20" w:firstLineChars="16" w:firstLine="34"/>
              <w:jc w:val="center"/>
              <w:rPr>
                <w:rFonts w:ascii="宋体" w:eastAsia="宋体" w:hAnsi="宋体" w:cs="Times New Roman"/>
                <w:szCs w:val="21"/>
              </w:rPr>
            </w:pPr>
            <w:r w:rsidRPr="004D1C14">
              <w:rPr>
                <w:rFonts w:ascii="宋体" w:eastAsia="宋体" w:hAnsi="宋体" w:cs="宋体" w:hint="eastAsia"/>
                <w:color w:val="000000"/>
                <w:szCs w:val="21"/>
              </w:rPr>
              <w:t>（</w:t>
            </w:r>
            <w:r w:rsidRPr="004D1C14">
              <w:rPr>
                <w:rFonts w:ascii="宋体" w:eastAsia="宋体" w:hAnsi="宋体" w:cs="宋体"/>
                <w:b/>
                <w:bCs/>
                <w:color w:val="000000"/>
                <w:szCs w:val="21"/>
              </w:rPr>
              <w:t>20</w:t>
            </w:r>
            <w:r w:rsidRPr="004D1C14">
              <w:rPr>
                <w:rFonts w:ascii="宋体" w:eastAsia="宋体" w:hAnsi="宋体" w:cs="宋体" w:hint="eastAsia"/>
                <w:color w:val="000000"/>
                <w:szCs w:val="21"/>
              </w:rPr>
              <w:t>分）</w:t>
            </w:r>
          </w:p>
        </w:tc>
        <w:tc>
          <w:tcPr>
            <w:tcW w:w="6111" w:type="dxa"/>
            <w:tcBorders>
              <w:top w:val="outset" w:sz="6" w:space="0" w:color="auto"/>
              <w:left w:val="outset" w:sz="6" w:space="0" w:color="auto"/>
              <w:bottom w:val="outset" w:sz="6" w:space="0" w:color="auto"/>
              <w:right w:val="outset" w:sz="6" w:space="0" w:color="auto"/>
            </w:tcBorders>
            <w:vAlign w:val="center"/>
          </w:tcPr>
          <w:p w14:paraId="6E3601AF" w14:textId="77777777" w:rsidR="004D1C14" w:rsidRPr="004D1C14" w:rsidRDefault="004D1C14" w:rsidP="004D1C14">
            <w:pPr>
              <w:snapToGrid w:val="0"/>
              <w:ind w:firstLineChars="100" w:firstLine="210"/>
              <w:rPr>
                <w:rFonts w:ascii="楷体" w:eastAsia="楷体" w:hAnsi="楷体" w:cs="Times New Roman"/>
                <w:szCs w:val="21"/>
              </w:rPr>
            </w:pPr>
            <w:r w:rsidRPr="004D1C14">
              <w:rPr>
                <w:rFonts w:ascii="宋体" w:eastAsia="宋体" w:hAnsi="宋体" w:cs="宋体" w:hint="eastAsia"/>
                <w:color w:val="000000"/>
                <w:szCs w:val="21"/>
              </w:rPr>
              <w:t>投标设备的市场评价一般得</w:t>
            </w:r>
            <w:r w:rsidRPr="004D1C14">
              <w:rPr>
                <w:rFonts w:ascii="宋体" w:eastAsia="宋体" w:hAnsi="宋体" w:cs="宋体"/>
                <w:color w:val="000000"/>
                <w:szCs w:val="21"/>
              </w:rPr>
              <w:t>12</w:t>
            </w:r>
            <w:r w:rsidRPr="004D1C14">
              <w:rPr>
                <w:rFonts w:ascii="宋体" w:eastAsia="宋体" w:hAnsi="宋体" w:cs="宋体" w:hint="eastAsia"/>
                <w:color w:val="000000"/>
                <w:szCs w:val="21"/>
              </w:rPr>
              <w:t>～1</w:t>
            </w:r>
            <w:r w:rsidRPr="004D1C14">
              <w:rPr>
                <w:rFonts w:ascii="宋体" w:eastAsia="宋体" w:hAnsi="宋体" w:cs="宋体"/>
                <w:color w:val="000000"/>
                <w:szCs w:val="21"/>
              </w:rPr>
              <w:t>6</w:t>
            </w:r>
            <w:r w:rsidRPr="004D1C14">
              <w:rPr>
                <w:rFonts w:ascii="宋体" w:eastAsia="宋体" w:hAnsi="宋体" w:cs="宋体" w:hint="eastAsia"/>
                <w:color w:val="000000"/>
                <w:szCs w:val="21"/>
              </w:rPr>
              <w:t>分，优良得</w:t>
            </w:r>
            <w:r w:rsidRPr="004D1C14">
              <w:rPr>
                <w:rFonts w:ascii="宋体" w:eastAsia="宋体" w:hAnsi="宋体" w:cs="宋体"/>
                <w:color w:val="000000"/>
                <w:szCs w:val="21"/>
              </w:rPr>
              <w:t>16</w:t>
            </w:r>
            <w:r w:rsidRPr="004D1C14">
              <w:rPr>
                <w:rFonts w:ascii="宋体" w:eastAsia="宋体" w:hAnsi="宋体" w:cs="宋体" w:hint="eastAsia"/>
                <w:color w:val="000000"/>
                <w:szCs w:val="21"/>
              </w:rPr>
              <w:t>～</w:t>
            </w:r>
            <w:r w:rsidRPr="004D1C14">
              <w:rPr>
                <w:rFonts w:ascii="宋体" w:eastAsia="宋体" w:hAnsi="宋体" w:cs="宋体"/>
                <w:color w:val="000000"/>
                <w:szCs w:val="21"/>
              </w:rPr>
              <w:t>20</w:t>
            </w:r>
            <w:r w:rsidRPr="004D1C14">
              <w:rPr>
                <w:rFonts w:ascii="宋体" w:eastAsia="宋体" w:hAnsi="宋体" w:cs="宋体" w:hint="eastAsia"/>
                <w:color w:val="000000"/>
                <w:szCs w:val="21"/>
              </w:rPr>
              <w:t>分</w:t>
            </w:r>
          </w:p>
        </w:tc>
      </w:tr>
      <w:tr w:rsidR="004D1C14" w:rsidRPr="004D1C14" w14:paraId="72ABF885" w14:textId="77777777" w:rsidTr="00CE41A5">
        <w:trPr>
          <w:trHeight w:val="567"/>
        </w:trPr>
        <w:tc>
          <w:tcPr>
            <w:tcW w:w="701" w:type="dxa"/>
            <w:vMerge w:val="restart"/>
            <w:tcBorders>
              <w:top w:val="outset" w:sz="6" w:space="0" w:color="auto"/>
              <w:left w:val="outset" w:sz="6" w:space="0" w:color="auto"/>
              <w:bottom w:val="outset" w:sz="6" w:space="0" w:color="auto"/>
              <w:right w:val="outset" w:sz="6" w:space="0" w:color="auto"/>
            </w:tcBorders>
            <w:vAlign w:val="center"/>
          </w:tcPr>
          <w:p w14:paraId="6E779F52"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2.2.4（2）</w:t>
            </w:r>
          </w:p>
        </w:tc>
        <w:tc>
          <w:tcPr>
            <w:tcW w:w="1292" w:type="dxa"/>
            <w:vMerge w:val="restart"/>
            <w:tcBorders>
              <w:top w:val="outset" w:sz="6" w:space="0" w:color="auto"/>
              <w:left w:val="outset" w:sz="6" w:space="0" w:color="auto"/>
              <w:bottom w:val="outset" w:sz="6" w:space="0" w:color="auto"/>
              <w:right w:val="outset" w:sz="6" w:space="0" w:color="auto"/>
            </w:tcBorders>
            <w:vAlign w:val="center"/>
          </w:tcPr>
          <w:p w14:paraId="7E27F4F0" w14:textId="77777777" w:rsidR="004D1C14" w:rsidRPr="004D1C14" w:rsidRDefault="004D1C14" w:rsidP="004D1C14">
            <w:pPr>
              <w:snapToGrid w:val="0"/>
              <w:jc w:val="center"/>
              <w:rPr>
                <w:rFonts w:ascii="宋体" w:eastAsia="宋体" w:hAnsi="宋体" w:cs="宋体"/>
                <w:szCs w:val="21"/>
              </w:rPr>
            </w:pPr>
            <w:r w:rsidRPr="004D1C14">
              <w:rPr>
                <w:rFonts w:ascii="宋体" w:eastAsia="宋体" w:hAnsi="宋体" w:cs="宋体" w:hint="eastAsia"/>
                <w:szCs w:val="21"/>
              </w:rPr>
              <w:t>技术</w:t>
            </w:r>
          </w:p>
          <w:p w14:paraId="5DEC879B" w14:textId="77777777" w:rsidR="004D1C14" w:rsidRPr="004D1C14" w:rsidRDefault="004D1C14" w:rsidP="004D1C14">
            <w:pPr>
              <w:snapToGrid w:val="0"/>
              <w:jc w:val="center"/>
              <w:rPr>
                <w:rFonts w:ascii="宋体" w:eastAsia="宋体" w:hAnsi="宋体" w:cs="宋体"/>
                <w:szCs w:val="21"/>
              </w:rPr>
            </w:pPr>
            <w:r w:rsidRPr="004D1C14">
              <w:rPr>
                <w:rFonts w:ascii="宋体" w:eastAsia="宋体" w:hAnsi="宋体" w:cs="宋体" w:hint="eastAsia"/>
                <w:szCs w:val="21"/>
              </w:rPr>
              <w:t>评分标准</w:t>
            </w:r>
          </w:p>
          <w:p w14:paraId="561B3F37"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w:t>
            </w:r>
            <w:r w:rsidRPr="004D1C14">
              <w:rPr>
                <w:rFonts w:ascii="宋体" w:eastAsia="宋体" w:hAnsi="宋体" w:cs="宋体"/>
                <w:b/>
                <w:bCs/>
                <w:szCs w:val="21"/>
              </w:rPr>
              <w:t>50</w:t>
            </w:r>
            <w:r w:rsidRPr="004D1C14">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tcPr>
          <w:p w14:paraId="6E550F1F" w14:textId="77777777" w:rsidR="004D1C14" w:rsidRPr="004D1C14" w:rsidRDefault="004D1C14" w:rsidP="004D1C14">
            <w:pPr>
              <w:snapToGrid w:val="0"/>
              <w:ind w:leftChars="-2" w:left="-4" w:right="-20" w:firstLineChars="16" w:firstLine="34"/>
              <w:jc w:val="center"/>
              <w:rPr>
                <w:rFonts w:ascii="宋体" w:eastAsia="宋体" w:hAnsi="宋体" w:cs="宋体"/>
                <w:color w:val="000000"/>
                <w:szCs w:val="21"/>
              </w:rPr>
            </w:pPr>
            <w:r w:rsidRPr="004D1C14">
              <w:rPr>
                <w:rFonts w:ascii="宋体" w:eastAsia="宋体" w:hAnsi="宋体" w:cs="宋体"/>
                <w:color w:val="000000"/>
                <w:szCs w:val="21"/>
              </w:rPr>
              <w:t>投标设备技术性能指标的</w:t>
            </w:r>
            <w:r w:rsidRPr="004D1C14">
              <w:rPr>
                <w:rFonts w:ascii="宋体" w:eastAsia="宋体" w:hAnsi="宋体" w:cs="宋体" w:hint="eastAsia"/>
                <w:color w:val="000000"/>
                <w:szCs w:val="21"/>
              </w:rPr>
              <w:t>评价</w:t>
            </w:r>
          </w:p>
          <w:p w14:paraId="503218EA" w14:textId="77777777" w:rsidR="004D1C14" w:rsidRPr="004D1C14" w:rsidRDefault="004D1C14" w:rsidP="004D1C14">
            <w:pPr>
              <w:snapToGrid w:val="0"/>
              <w:ind w:leftChars="-2" w:left="-4" w:right="-20" w:firstLineChars="16" w:firstLine="34"/>
              <w:jc w:val="center"/>
              <w:rPr>
                <w:rFonts w:ascii="宋体" w:eastAsia="宋体" w:hAnsi="宋体" w:cs="宋体"/>
                <w:color w:val="000000"/>
                <w:szCs w:val="21"/>
              </w:rPr>
            </w:pPr>
            <w:r w:rsidRPr="004D1C14">
              <w:rPr>
                <w:rFonts w:ascii="宋体" w:eastAsia="宋体" w:hAnsi="宋体" w:cs="宋体" w:hint="eastAsia"/>
                <w:color w:val="000000"/>
                <w:szCs w:val="21"/>
              </w:rPr>
              <w:t>（</w:t>
            </w:r>
            <w:r w:rsidRPr="004D1C14">
              <w:rPr>
                <w:rFonts w:ascii="宋体" w:eastAsia="宋体" w:hAnsi="宋体" w:cs="宋体"/>
                <w:b/>
                <w:bCs/>
                <w:color w:val="000000"/>
                <w:szCs w:val="21"/>
              </w:rPr>
              <w:t>30</w:t>
            </w:r>
            <w:r w:rsidRPr="004D1C14">
              <w:rPr>
                <w:rFonts w:ascii="宋体" w:eastAsia="宋体" w:hAnsi="宋体" w:cs="宋体" w:hint="eastAsia"/>
                <w:color w:val="000000"/>
                <w:szCs w:val="21"/>
              </w:rPr>
              <w:t>分）</w:t>
            </w:r>
          </w:p>
        </w:tc>
        <w:tc>
          <w:tcPr>
            <w:tcW w:w="6111" w:type="dxa"/>
            <w:tcBorders>
              <w:top w:val="outset" w:sz="6" w:space="0" w:color="auto"/>
              <w:left w:val="outset" w:sz="6" w:space="0" w:color="auto"/>
              <w:bottom w:val="outset" w:sz="6" w:space="0" w:color="auto"/>
              <w:right w:val="outset" w:sz="6" w:space="0" w:color="auto"/>
            </w:tcBorders>
            <w:vAlign w:val="center"/>
          </w:tcPr>
          <w:p w14:paraId="2CF29E34"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宋体" w:hint="eastAsia"/>
                <w:color w:val="000000"/>
                <w:kern w:val="0"/>
                <w:szCs w:val="21"/>
              </w:rPr>
              <w:t>对投标设备的技术性能指标进行评价，基本满足设备要求的得</w:t>
            </w:r>
            <w:r w:rsidRPr="004D1C14">
              <w:rPr>
                <w:rFonts w:ascii="宋体" w:eastAsia="宋体" w:hAnsi="宋体" w:cs="宋体"/>
                <w:color w:val="000000"/>
                <w:kern w:val="0"/>
                <w:szCs w:val="21"/>
              </w:rPr>
              <w:t>18</w:t>
            </w:r>
            <w:r w:rsidRPr="004D1C14">
              <w:rPr>
                <w:rFonts w:ascii="宋体" w:eastAsia="宋体" w:hAnsi="宋体" w:cs="宋体" w:hint="eastAsia"/>
                <w:color w:val="000000"/>
                <w:kern w:val="0"/>
                <w:szCs w:val="21"/>
              </w:rPr>
              <w:t>～</w:t>
            </w:r>
            <w:r w:rsidRPr="004D1C14">
              <w:rPr>
                <w:rFonts w:ascii="宋体" w:eastAsia="宋体" w:hAnsi="宋体" w:cs="宋体"/>
                <w:color w:val="000000"/>
                <w:kern w:val="0"/>
                <w:szCs w:val="21"/>
              </w:rPr>
              <w:t>24</w:t>
            </w:r>
            <w:r w:rsidRPr="004D1C14">
              <w:rPr>
                <w:rFonts w:ascii="宋体" w:eastAsia="宋体" w:hAnsi="宋体" w:cs="宋体" w:hint="eastAsia"/>
                <w:color w:val="000000"/>
                <w:kern w:val="0"/>
                <w:szCs w:val="21"/>
              </w:rPr>
              <w:t>分，优良得</w:t>
            </w:r>
            <w:r w:rsidRPr="004D1C14">
              <w:rPr>
                <w:rFonts w:ascii="宋体" w:eastAsia="宋体" w:hAnsi="宋体" w:cs="宋体"/>
                <w:color w:val="000000"/>
                <w:szCs w:val="21"/>
              </w:rPr>
              <w:t>24</w:t>
            </w:r>
            <w:r w:rsidRPr="004D1C14">
              <w:rPr>
                <w:rFonts w:ascii="宋体" w:eastAsia="宋体" w:hAnsi="宋体" w:cs="宋体" w:hint="eastAsia"/>
                <w:color w:val="000000"/>
                <w:kern w:val="0"/>
                <w:szCs w:val="21"/>
              </w:rPr>
              <w:t>～</w:t>
            </w:r>
            <w:r w:rsidRPr="004D1C14">
              <w:rPr>
                <w:rFonts w:ascii="宋体" w:eastAsia="宋体" w:hAnsi="宋体" w:cs="宋体"/>
                <w:color w:val="000000"/>
                <w:kern w:val="0"/>
                <w:szCs w:val="21"/>
              </w:rPr>
              <w:t>30</w:t>
            </w:r>
            <w:r w:rsidRPr="004D1C14">
              <w:rPr>
                <w:rFonts w:ascii="宋体" w:eastAsia="宋体" w:hAnsi="宋体" w:cs="宋体" w:hint="eastAsia"/>
                <w:color w:val="000000"/>
                <w:kern w:val="0"/>
                <w:szCs w:val="21"/>
              </w:rPr>
              <w:t>分</w:t>
            </w:r>
          </w:p>
        </w:tc>
      </w:tr>
      <w:tr w:rsidR="004D1C14" w:rsidRPr="004D1C14" w14:paraId="70705636" w14:textId="77777777" w:rsidTr="00CE41A5">
        <w:trPr>
          <w:trHeight w:val="567"/>
        </w:trPr>
        <w:tc>
          <w:tcPr>
            <w:tcW w:w="701" w:type="dxa"/>
            <w:vMerge/>
            <w:tcBorders>
              <w:top w:val="outset" w:sz="6" w:space="0" w:color="auto"/>
              <w:left w:val="outset" w:sz="6" w:space="0" w:color="auto"/>
              <w:bottom w:val="outset" w:sz="6" w:space="0" w:color="auto"/>
              <w:right w:val="outset" w:sz="6" w:space="0" w:color="auto"/>
            </w:tcBorders>
            <w:vAlign w:val="center"/>
          </w:tcPr>
          <w:p w14:paraId="4A69F908" w14:textId="77777777" w:rsidR="004D1C14" w:rsidRPr="004D1C14" w:rsidRDefault="004D1C14" w:rsidP="004D1C14">
            <w:pPr>
              <w:snapToGrid w:val="0"/>
              <w:jc w:val="left"/>
              <w:rPr>
                <w:rFonts w:ascii="宋体" w:eastAsia="宋体" w:hAnsi="宋体" w:cs="Times New Roman"/>
                <w:szCs w:val="21"/>
              </w:rPr>
            </w:pPr>
          </w:p>
        </w:tc>
        <w:tc>
          <w:tcPr>
            <w:tcW w:w="1292" w:type="dxa"/>
            <w:vMerge/>
            <w:tcBorders>
              <w:top w:val="outset" w:sz="6" w:space="0" w:color="auto"/>
              <w:left w:val="outset" w:sz="6" w:space="0" w:color="auto"/>
              <w:bottom w:val="outset" w:sz="6" w:space="0" w:color="auto"/>
              <w:right w:val="outset" w:sz="6" w:space="0" w:color="auto"/>
            </w:tcBorders>
            <w:vAlign w:val="center"/>
          </w:tcPr>
          <w:p w14:paraId="5E838557" w14:textId="77777777" w:rsidR="004D1C14" w:rsidRPr="004D1C14" w:rsidRDefault="004D1C14" w:rsidP="004D1C14">
            <w:pPr>
              <w:snapToGrid w:val="0"/>
              <w:rPr>
                <w:rFonts w:ascii="宋体" w:eastAsia="宋体" w:hAnsi="宋体" w:cs="Times New Roman"/>
                <w:szCs w:val="21"/>
              </w:rPr>
            </w:pPr>
          </w:p>
        </w:tc>
        <w:tc>
          <w:tcPr>
            <w:tcW w:w="1543" w:type="dxa"/>
            <w:tcBorders>
              <w:top w:val="outset" w:sz="6" w:space="0" w:color="auto"/>
              <w:left w:val="outset" w:sz="6" w:space="0" w:color="auto"/>
              <w:bottom w:val="outset" w:sz="6" w:space="0" w:color="auto"/>
              <w:right w:val="outset" w:sz="6" w:space="0" w:color="auto"/>
            </w:tcBorders>
          </w:tcPr>
          <w:p w14:paraId="769F47D9" w14:textId="77777777" w:rsidR="004D1C14" w:rsidRPr="004D1C14" w:rsidRDefault="004D1C14" w:rsidP="004D1C14">
            <w:pPr>
              <w:snapToGrid w:val="0"/>
              <w:ind w:leftChars="-2" w:left="-4" w:right="-20" w:firstLineChars="16" w:firstLine="34"/>
              <w:jc w:val="center"/>
              <w:rPr>
                <w:rFonts w:ascii="宋体" w:eastAsia="宋体" w:hAnsi="宋体" w:cs="宋体"/>
                <w:color w:val="000000"/>
                <w:szCs w:val="21"/>
              </w:rPr>
            </w:pPr>
            <w:r w:rsidRPr="004D1C14">
              <w:rPr>
                <w:rFonts w:ascii="宋体" w:eastAsia="宋体" w:hAnsi="宋体" w:cs="宋体"/>
                <w:color w:val="000000"/>
                <w:szCs w:val="21"/>
              </w:rPr>
              <w:t>对投标人技术服务和质保期服务能力的评价</w:t>
            </w:r>
          </w:p>
          <w:p w14:paraId="57944997" w14:textId="77777777" w:rsidR="004D1C14" w:rsidRPr="004D1C14" w:rsidRDefault="004D1C14" w:rsidP="004D1C14">
            <w:pPr>
              <w:snapToGrid w:val="0"/>
              <w:ind w:leftChars="-2" w:left="-4" w:right="-20" w:firstLineChars="16" w:firstLine="34"/>
              <w:jc w:val="center"/>
              <w:rPr>
                <w:rFonts w:ascii="宋体" w:eastAsia="宋体" w:hAnsi="宋体" w:cs="宋体"/>
                <w:color w:val="000000"/>
                <w:szCs w:val="21"/>
              </w:rPr>
            </w:pPr>
            <w:r w:rsidRPr="004D1C14">
              <w:rPr>
                <w:rFonts w:ascii="宋体" w:eastAsia="宋体" w:hAnsi="宋体" w:cs="宋体" w:hint="eastAsia"/>
                <w:color w:val="000000"/>
                <w:szCs w:val="21"/>
              </w:rPr>
              <w:t>（</w:t>
            </w:r>
            <w:r w:rsidRPr="004D1C14">
              <w:rPr>
                <w:rFonts w:ascii="宋体" w:eastAsia="宋体" w:hAnsi="宋体" w:cs="宋体"/>
                <w:b/>
                <w:bCs/>
                <w:color w:val="000000"/>
                <w:szCs w:val="21"/>
              </w:rPr>
              <w:t>20</w:t>
            </w:r>
            <w:r w:rsidRPr="004D1C14">
              <w:rPr>
                <w:rFonts w:ascii="宋体" w:eastAsia="宋体" w:hAnsi="宋体" w:cs="宋体" w:hint="eastAsia"/>
                <w:color w:val="000000"/>
                <w:szCs w:val="21"/>
              </w:rPr>
              <w:t>分）</w:t>
            </w:r>
          </w:p>
        </w:tc>
        <w:tc>
          <w:tcPr>
            <w:tcW w:w="6111" w:type="dxa"/>
            <w:tcBorders>
              <w:top w:val="outset" w:sz="6" w:space="0" w:color="auto"/>
              <w:left w:val="outset" w:sz="6" w:space="0" w:color="auto"/>
              <w:bottom w:val="outset" w:sz="6" w:space="0" w:color="auto"/>
              <w:right w:val="outset" w:sz="6" w:space="0" w:color="auto"/>
            </w:tcBorders>
            <w:vAlign w:val="center"/>
          </w:tcPr>
          <w:p w14:paraId="6ED80623" w14:textId="77777777" w:rsidR="004D1C14" w:rsidRPr="004D1C14" w:rsidRDefault="004D1C14" w:rsidP="004D1C14">
            <w:pPr>
              <w:snapToGrid w:val="0"/>
              <w:ind w:firstLineChars="100" w:firstLine="210"/>
              <w:rPr>
                <w:rFonts w:ascii="宋体" w:eastAsia="宋体" w:hAnsi="宋体" w:cs="Times New Roman"/>
                <w:szCs w:val="21"/>
              </w:rPr>
            </w:pPr>
            <w:r w:rsidRPr="004D1C14">
              <w:rPr>
                <w:rFonts w:ascii="宋体" w:eastAsia="宋体" w:hAnsi="宋体" w:cs="宋体" w:hint="eastAsia"/>
                <w:color w:val="000000"/>
                <w:kern w:val="0"/>
                <w:szCs w:val="21"/>
              </w:rPr>
              <w:t>对投标人技术服务和质保期服务能力进行评价，基本可行得</w:t>
            </w:r>
            <w:r w:rsidRPr="004D1C14">
              <w:rPr>
                <w:rFonts w:ascii="宋体" w:eastAsia="宋体" w:hAnsi="宋体" w:cs="宋体"/>
                <w:color w:val="000000"/>
                <w:kern w:val="0"/>
                <w:szCs w:val="21"/>
              </w:rPr>
              <w:t>12</w:t>
            </w:r>
            <w:r w:rsidRPr="004D1C14">
              <w:rPr>
                <w:rFonts w:ascii="宋体" w:eastAsia="宋体" w:hAnsi="宋体" w:cs="宋体" w:hint="eastAsia"/>
                <w:color w:val="000000"/>
                <w:kern w:val="0"/>
                <w:szCs w:val="21"/>
              </w:rPr>
              <w:t>～</w:t>
            </w:r>
            <w:r w:rsidRPr="004D1C14">
              <w:rPr>
                <w:rFonts w:ascii="宋体" w:eastAsia="宋体" w:hAnsi="宋体" w:cs="宋体"/>
                <w:color w:val="000000"/>
                <w:kern w:val="0"/>
                <w:szCs w:val="21"/>
              </w:rPr>
              <w:t>16</w:t>
            </w:r>
            <w:r w:rsidRPr="004D1C14">
              <w:rPr>
                <w:rFonts w:ascii="宋体" w:eastAsia="宋体" w:hAnsi="宋体" w:cs="宋体" w:hint="eastAsia"/>
                <w:color w:val="000000"/>
                <w:kern w:val="0"/>
                <w:szCs w:val="21"/>
              </w:rPr>
              <w:t>分，满意得</w:t>
            </w:r>
            <w:r w:rsidRPr="004D1C14">
              <w:rPr>
                <w:rFonts w:ascii="宋体" w:eastAsia="宋体" w:hAnsi="宋体" w:cs="宋体"/>
                <w:color w:val="000000"/>
                <w:kern w:val="0"/>
                <w:szCs w:val="21"/>
              </w:rPr>
              <w:t>16</w:t>
            </w:r>
            <w:r w:rsidRPr="004D1C14">
              <w:rPr>
                <w:rFonts w:ascii="宋体" w:eastAsia="宋体" w:hAnsi="宋体" w:cs="宋体" w:hint="eastAsia"/>
                <w:color w:val="000000"/>
                <w:kern w:val="0"/>
                <w:szCs w:val="21"/>
              </w:rPr>
              <w:t>～</w:t>
            </w:r>
            <w:r w:rsidRPr="004D1C14">
              <w:rPr>
                <w:rFonts w:ascii="宋体" w:eastAsia="宋体" w:hAnsi="宋体" w:cs="宋体"/>
                <w:color w:val="000000"/>
                <w:kern w:val="0"/>
                <w:szCs w:val="21"/>
              </w:rPr>
              <w:t>20</w:t>
            </w:r>
            <w:r w:rsidRPr="004D1C14">
              <w:rPr>
                <w:rFonts w:ascii="宋体" w:eastAsia="宋体" w:hAnsi="宋体" w:cs="宋体" w:hint="eastAsia"/>
                <w:color w:val="000000"/>
                <w:kern w:val="0"/>
                <w:szCs w:val="21"/>
              </w:rPr>
              <w:t>分</w:t>
            </w:r>
          </w:p>
        </w:tc>
      </w:tr>
      <w:tr w:rsidR="004D1C14" w:rsidRPr="004D1C14" w14:paraId="71FC0C90" w14:textId="77777777" w:rsidTr="00CE41A5">
        <w:trPr>
          <w:trHeight w:val="567"/>
        </w:trPr>
        <w:tc>
          <w:tcPr>
            <w:tcW w:w="701" w:type="dxa"/>
            <w:tcBorders>
              <w:top w:val="outset" w:sz="6" w:space="0" w:color="auto"/>
              <w:left w:val="outset" w:sz="6" w:space="0" w:color="auto"/>
              <w:bottom w:val="outset" w:sz="6" w:space="0" w:color="auto"/>
              <w:right w:val="outset" w:sz="6" w:space="0" w:color="auto"/>
            </w:tcBorders>
            <w:vAlign w:val="center"/>
          </w:tcPr>
          <w:p w14:paraId="20A84C3B" w14:textId="77777777" w:rsidR="004D1C14" w:rsidRPr="004D1C14" w:rsidRDefault="004D1C14" w:rsidP="004D1C14">
            <w:pPr>
              <w:snapToGrid w:val="0"/>
              <w:rPr>
                <w:rFonts w:ascii="宋体" w:eastAsia="宋体" w:hAnsi="宋体" w:cs="Times New Roman"/>
                <w:szCs w:val="21"/>
              </w:rPr>
            </w:pPr>
            <w:r w:rsidRPr="004D1C14">
              <w:rPr>
                <w:rFonts w:ascii="宋体" w:eastAsia="宋体" w:hAnsi="宋体" w:cs="宋体" w:hint="eastAsia"/>
                <w:szCs w:val="21"/>
              </w:rPr>
              <w:t>2.2.4（3）</w:t>
            </w:r>
          </w:p>
        </w:tc>
        <w:tc>
          <w:tcPr>
            <w:tcW w:w="1292" w:type="dxa"/>
            <w:tcBorders>
              <w:top w:val="outset" w:sz="6" w:space="0" w:color="auto"/>
              <w:left w:val="outset" w:sz="6" w:space="0" w:color="auto"/>
              <w:bottom w:val="outset" w:sz="6" w:space="0" w:color="auto"/>
              <w:right w:val="outset" w:sz="6" w:space="0" w:color="auto"/>
            </w:tcBorders>
            <w:vAlign w:val="center"/>
          </w:tcPr>
          <w:p w14:paraId="73813B96"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投标</w:t>
            </w:r>
            <w:r w:rsidRPr="004D1C14">
              <w:rPr>
                <w:rFonts w:ascii="宋体" w:eastAsia="宋体" w:hAnsi="宋体" w:cs="Times New Roman" w:hint="eastAsia"/>
                <w:szCs w:val="21"/>
              </w:rPr>
              <w:t>报价</w:t>
            </w:r>
          </w:p>
          <w:p w14:paraId="3FD7E69F" w14:textId="77777777" w:rsidR="004D1C14" w:rsidRPr="004D1C14" w:rsidRDefault="004D1C14" w:rsidP="004D1C14">
            <w:pPr>
              <w:snapToGrid w:val="0"/>
              <w:jc w:val="center"/>
              <w:rPr>
                <w:rFonts w:ascii="宋体" w:eastAsia="宋体" w:hAnsi="宋体" w:cs="宋体"/>
                <w:szCs w:val="21"/>
              </w:rPr>
            </w:pPr>
            <w:r w:rsidRPr="004D1C14">
              <w:rPr>
                <w:rFonts w:ascii="宋体" w:eastAsia="宋体" w:hAnsi="宋体" w:cs="宋体" w:hint="eastAsia"/>
                <w:szCs w:val="21"/>
              </w:rPr>
              <w:t>评分标准</w:t>
            </w:r>
          </w:p>
          <w:p w14:paraId="58B748C9" w14:textId="77777777" w:rsidR="004D1C14" w:rsidRPr="004D1C14" w:rsidRDefault="004D1C14" w:rsidP="004D1C14">
            <w:pPr>
              <w:snapToGrid w:val="0"/>
              <w:jc w:val="center"/>
              <w:rPr>
                <w:rFonts w:ascii="宋体" w:eastAsia="宋体" w:hAnsi="宋体" w:cs="Times New Roman"/>
                <w:szCs w:val="21"/>
              </w:rPr>
            </w:pPr>
            <w:r w:rsidRPr="004D1C14">
              <w:rPr>
                <w:rFonts w:ascii="宋体" w:eastAsia="宋体" w:hAnsi="宋体" w:cs="宋体" w:hint="eastAsia"/>
                <w:szCs w:val="21"/>
              </w:rPr>
              <w:t>（</w:t>
            </w:r>
            <w:r w:rsidRPr="004D1C14">
              <w:rPr>
                <w:rFonts w:ascii="宋体" w:eastAsia="宋体" w:hAnsi="宋体" w:cs="宋体"/>
                <w:b/>
                <w:bCs/>
                <w:szCs w:val="21"/>
              </w:rPr>
              <w:t>3</w:t>
            </w:r>
            <w:r w:rsidRPr="004D1C14">
              <w:rPr>
                <w:rFonts w:ascii="宋体" w:eastAsia="宋体" w:hAnsi="宋体" w:cs="宋体" w:hint="eastAsia"/>
                <w:b/>
                <w:bCs/>
                <w:szCs w:val="21"/>
              </w:rPr>
              <w:t>0</w:t>
            </w:r>
            <w:r w:rsidRPr="004D1C14">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0A703DDC" w14:textId="77777777" w:rsidR="004D1C14" w:rsidRPr="004D1C14" w:rsidRDefault="004D1C14" w:rsidP="004D1C14">
            <w:pPr>
              <w:snapToGrid w:val="0"/>
              <w:jc w:val="center"/>
              <w:rPr>
                <w:rFonts w:ascii="宋体" w:eastAsia="宋体" w:hAnsi="宋体" w:cs="宋体"/>
                <w:kern w:val="0"/>
                <w:szCs w:val="21"/>
              </w:rPr>
            </w:pPr>
            <w:r w:rsidRPr="004D1C14">
              <w:rPr>
                <w:rFonts w:ascii="宋体" w:eastAsia="宋体" w:hAnsi="宋体" w:cs="宋体" w:hint="eastAsia"/>
                <w:kern w:val="0"/>
                <w:szCs w:val="21"/>
              </w:rPr>
              <w:t>投标报价</w:t>
            </w:r>
          </w:p>
          <w:p w14:paraId="0F01D78C" w14:textId="77777777" w:rsidR="004D1C14" w:rsidRPr="004D1C14" w:rsidRDefault="004D1C14" w:rsidP="004D1C14">
            <w:pPr>
              <w:snapToGrid w:val="0"/>
              <w:jc w:val="center"/>
              <w:rPr>
                <w:rFonts w:ascii="宋体" w:eastAsia="宋体" w:hAnsi="宋体" w:cs="宋体"/>
                <w:szCs w:val="21"/>
              </w:rPr>
            </w:pPr>
            <w:r w:rsidRPr="004D1C14">
              <w:rPr>
                <w:rFonts w:ascii="宋体" w:eastAsia="宋体" w:hAnsi="宋体" w:cs="宋体" w:hint="eastAsia"/>
                <w:kern w:val="0"/>
                <w:szCs w:val="21"/>
              </w:rPr>
              <w:t>（</w:t>
            </w:r>
            <w:r w:rsidRPr="004D1C14">
              <w:rPr>
                <w:rFonts w:ascii="宋体" w:eastAsia="宋体" w:hAnsi="宋体" w:cs="宋体"/>
                <w:b/>
                <w:bCs/>
                <w:kern w:val="0"/>
                <w:szCs w:val="21"/>
              </w:rPr>
              <w:t>3</w:t>
            </w:r>
            <w:r w:rsidRPr="004D1C14">
              <w:rPr>
                <w:rFonts w:ascii="宋体" w:eastAsia="宋体" w:hAnsi="宋体" w:cs="宋体" w:hint="eastAsia"/>
                <w:b/>
                <w:bCs/>
                <w:kern w:val="0"/>
                <w:szCs w:val="21"/>
              </w:rPr>
              <w:t>0</w:t>
            </w:r>
            <w:r w:rsidRPr="004D1C14">
              <w:rPr>
                <w:rFonts w:ascii="宋体" w:eastAsia="宋体" w:hAnsi="宋体" w:cs="宋体" w:hint="eastAsia"/>
                <w:kern w:val="0"/>
                <w:szCs w:val="21"/>
              </w:rPr>
              <w:t>分）</w:t>
            </w:r>
          </w:p>
        </w:tc>
        <w:tc>
          <w:tcPr>
            <w:tcW w:w="6111" w:type="dxa"/>
            <w:tcBorders>
              <w:top w:val="outset" w:sz="6" w:space="0" w:color="auto"/>
              <w:left w:val="outset" w:sz="6" w:space="0" w:color="auto"/>
              <w:bottom w:val="outset" w:sz="6" w:space="0" w:color="auto"/>
              <w:right w:val="outset" w:sz="6" w:space="0" w:color="auto"/>
            </w:tcBorders>
          </w:tcPr>
          <w:p w14:paraId="54B6D94B"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（1）如果投标人的评标价＞评标基准价，则</w:t>
            </w:r>
          </w:p>
          <w:p w14:paraId="05BAFE5F" w14:textId="77777777" w:rsidR="004D1C14" w:rsidRPr="004D1C14" w:rsidRDefault="004D1C14" w:rsidP="004D1C14">
            <w:pPr>
              <w:snapToGrid w:val="0"/>
              <w:ind w:firstLineChars="650" w:firstLine="1365"/>
              <w:jc w:val="left"/>
              <w:rPr>
                <w:rFonts w:ascii="宋体" w:eastAsia="宋体" w:hAnsi="宋体" w:cs="宋体"/>
                <w:szCs w:val="21"/>
              </w:rPr>
            </w:pPr>
            <w:r w:rsidRPr="004D1C14">
              <w:rPr>
                <w:rFonts w:ascii="宋体" w:eastAsia="宋体" w:hAnsi="宋体" w:cs="宋体" w:hint="eastAsia"/>
                <w:szCs w:val="21"/>
              </w:rPr>
              <w:t>评标价得分=30-｜偏差率｜×100×</w:t>
            </w:r>
            <w:r w:rsidRPr="004D1C14">
              <w:rPr>
                <w:rFonts w:ascii="宋体" w:eastAsia="宋体" w:hAnsi="宋体" w:cs="宋体" w:hint="eastAsia"/>
                <w:b/>
                <w:bCs/>
                <w:szCs w:val="21"/>
              </w:rPr>
              <w:t>0.</w:t>
            </w:r>
            <w:r w:rsidRPr="004D1C14">
              <w:rPr>
                <w:rFonts w:ascii="宋体" w:eastAsia="宋体" w:hAnsi="宋体" w:cs="宋体"/>
                <w:b/>
                <w:bCs/>
                <w:szCs w:val="21"/>
              </w:rPr>
              <w:t>2</w:t>
            </w:r>
          </w:p>
          <w:p w14:paraId="71BD3A1B"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（2）如果投标人的评标价≤评标基准价，则</w:t>
            </w:r>
          </w:p>
          <w:p w14:paraId="036B1579" w14:textId="77777777" w:rsidR="004D1C14" w:rsidRPr="004D1C14" w:rsidRDefault="004D1C14" w:rsidP="004D1C14">
            <w:pPr>
              <w:snapToGrid w:val="0"/>
              <w:ind w:firstLineChars="650" w:firstLine="1365"/>
              <w:jc w:val="left"/>
              <w:rPr>
                <w:rFonts w:ascii="宋体" w:eastAsia="宋体" w:hAnsi="宋体" w:cs="宋体"/>
                <w:szCs w:val="21"/>
              </w:rPr>
            </w:pPr>
            <w:r w:rsidRPr="004D1C14">
              <w:rPr>
                <w:rFonts w:ascii="宋体" w:eastAsia="宋体" w:hAnsi="宋体" w:cs="宋体" w:hint="eastAsia"/>
                <w:szCs w:val="21"/>
              </w:rPr>
              <w:t>评标价得分=30-｜偏差率｜×100×</w:t>
            </w:r>
            <w:r w:rsidRPr="004D1C14">
              <w:rPr>
                <w:rFonts w:ascii="宋体" w:eastAsia="宋体" w:hAnsi="宋体" w:cs="宋体" w:hint="eastAsia"/>
                <w:b/>
                <w:bCs/>
                <w:szCs w:val="21"/>
              </w:rPr>
              <w:t>0.</w:t>
            </w:r>
            <w:r w:rsidRPr="004D1C14">
              <w:rPr>
                <w:rFonts w:ascii="宋体" w:eastAsia="宋体" w:hAnsi="宋体" w:cs="宋体"/>
                <w:b/>
                <w:bCs/>
                <w:szCs w:val="21"/>
              </w:rPr>
              <w:t>1</w:t>
            </w:r>
          </w:p>
          <w:p w14:paraId="3E237995" w14:textId="77777777" w:rsidR="004D1C14" w:rsidRPr="004D1C14" w:rsidRDefault="004D1C14" w:rsidP="004D1C14">
            <w:pPr>
              <w:snapToGrid w:val="0"/>
              <w:ind w:firstLineChars="100" w:firstLine="210"/>
              <w:rPr>
                <w:rFonts w:ascii="宋体" w:eastAsia="宋体" w:hAnsi="宋体" w:cs="宋体"/>
                <w:szCs w:val="21"/>
              </w:rPr>
            </w:pPr>
            <w:r w:rsidRPr="004D1C14">
              <w:rPr>
                <w:rFonts w:ascii="宋体" w:eastAsia="宋体" w:hAnsi="宋体" w:cs="宋体" w:hint="eastAsia"/>
                <w:szCs w:val="21"/>
              </w:rPr>
              <w:t>注：｜偏差率｜为偏差率的绝对值，评标价得分最低得0分</w:t>
            </w:r>
          </w:p>
        </w:tc>
      </w:tr>
    </w:tbl>
    <w:p w14:paraId="5EF85A92" w14:textId="77777777" w:rsidR="004D1C14" w:rsidRDefault="004D1C14" w:rsidP="004D1C14">
      <w:pPr>
        <w:keepNext/>
        <w:keepLines/>
        <w:snapToGrid w:val="0"/>
        <w:outlineLvl w:val="3"/>
        <w:rPr>
          <w:rFonts w:ascii="黑体" w:eastAsia="黑体" w:hAnsi="黑体" w:cs="Times New Roman"/>
          <w:sz w:val="24"/>
          <w:szCs w:val="24"/>
        </w:rPr>
      </w:pPr>
    </w:p>
    <w:p w14:paraId="6D7ADC6E" w14:textId="14C4DA53" w:rsidR="004D1C14" w:rsidRPr="004D1C14" w:rsidRDefault="004D1C14" w:rsidP="004D1C14">
      <w:pPr>
        <w:keepNext/>
        <w:keepLines/>
        <w:snapToGrid w:val="0"/>
        <w:outlineLvl w:val="3"/>
        <w:rPr>
          <w:rFonts w:ascii="黑体" w:eastAsia="黑体" w:hAnsi="黑体" w:cs="Times New Roman"/>
          <w:sz w:val="24"/>
          <w:szCs w:val="24"/>
        </w:rPr>
      </w:pPr>
      <w:r w:rsidRPr="004D1C14">
        <w:rPr>
          <w:rFonts w:ascii="黑体" w:eastAsia="黑体" w:hAnsi="黑体" w:cs="Times New Roman"/>
          <w:sz w:val="24"/>
          <w:szCs w:val="24"/>
        </w:rPr>
        <w:t>1</w:t>
      </w:r>
      <w:r w:rsidRPr="004D1C14">
        <w:rPr>
          <w:rFonts w:ascii="黑体" w:eastAsia="黑体" w:hAnsi="黑体" w:cs="Times New Roman" w:hint="eastAsia"/>
          <w:sz w:val="24"/>
          <w:szCs w:val="24"/>
        </w:rPr>
        <w:t>.</w:t>
      </w:r>
      <w:r w:rsidRPr="004D1C14">
        <w:rPr>
          <w:rFonts w:ascii="黑体" w:eastAsia="黑体" w:hAnsi="黑体" w:cs="Times New Roman"/>
          <w:sz w:val="24"/>
          <w:szCs w:val="24"/>
        </w:rPr>
        <w:t xml:space="preserve"> </w:t>
      </w:r>
      <w:r w:rsidRPr="004D1C14">
        <w:rPr>
          <w:rFonts w:ascii="黑体" w:eastAsia="黑体" w:hAnsi="黑体" w:cs="Times New Roman" w:hint="eastAsia"/>
          <w:sz w:val="24"/>
          <w:szCs w:val="24"/>
        </w:rPr>
        <w:t>评标方法</w:t>
      </w:r>
      <w:bookmarkEnd w:id="3"/>
    </w:p>
    <w:p w14:paraId="1D676C5D"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3B4DDC4" w14:textId="77777777" w:rsidR="004D1C14" w:rsidRPr="004D1C14" w:rsidRDefault="004D1C14" w:rsidP="004D1C14">
      <w:pPr>
        <w:keepNext/>
        <w:keepLines/>
        <w:snapToGrid w:val="0"/>
        <w:outlineLvl w:val="3"/>
        <w:rPr>
          <w:rFonts w:ascii="黑体" w:eastAsia="黑体" w:hAnsi="黑体" w:cs="Times New Roman"/>
          <w:sz w:val="24"/>
          <w:szCs w:val="24"/>
        </w:rPr>
      </w:pPr>
      <w:bookmarkStart w:id="4" w:name="_Toc184635094"/>
      <w:r w:rsidRPr="004D1C14">
        <w:rPr>
          <w:rFonts w:ascii="黑体" w:eastAsia="黑体" w:hAnsi="黑体" w:cs="Times New Roman"/>
          <w:sz w:val="24"/>
          <w:szCs w:val="24"/>
        </w:rPr>
        <w:t>2</w:t>
      </w:r>
      <w:r w:rsidRPr="004D1C14">
        <w:rPr>
          <w:rFonts w:ascii="黑体" w:eastAsia="黑体" w:hAnsi="黑体" w:cs="Times New Roman" w:hint="eastAsia"/>
          <w:sz w:val="24"/>
          <w:szCs w:val="24"/>
        </w:rPr>
        <w:t>.</w:t>
      </w:r>
      <w:r w:rsidRPr="004D1C14">
        <w:rPr>
          <w:rFonts w:ascii="黑体" w:eastAsia="黑体" w:hAnsi="黑体" w:cs="Times New Roman"/>
          <w:sz w:val="24"/>
          <w:szCs w:val="24"/>
        </w:rPr>
        <w:t xml:space="preserve"> </w:t>
      </w:r>
      <w:r w:rsidRPr="004D1C14">
        <w:rPr>
          <w:rFonts w:ascii="黑体" w:eastAsia="黑体" w:hAnsi="黑体" w:cs="Times New Roman" w:hint="eastAsia"/>
          <w:sz w:val="24"/>
          <w:szCs w:val="24"/>
        </w:rPr>
        <w:t>评审标准</w:t>
      </w:r>
      <w:bookmarkEnd w:id="4"/>
    </w:p>
    <w:p w14:paraId="6CAC6199" w14:textId="77777777" w:rsidR="004D1C14" w:rsidRPr="004D1C14" w:rsidRDefault="004D1C14" w:rsidP="004D1C14">
      <w:pPr>
        <w:keepNext/>
        <w:keepLines/>
        <w:snapToGrid w:val="0"/>
        <w:outlineLvl w:val="3"/>
        <w:rPr>
          <w:rFonts w:ascii="黑体" w:eastAsia="黑体" w:hAnsi="黑体" w:cs="Times New Roman"/>
          <w:szCs w:val="21"/>
        </w:rPr>
      </w:pPr>
      <w:r w:rsidRPr="004D1C14">
        <w:rPr>
          <w:rFonts w:ascii="黑体" w:eastAsia="黑体" w:hAnsi="黑体" w:cs="Times New Roman"/>
          <w:szCs w:val="21"/>
        </w:rPr>
        <w:t xml:space="preserve">2.1 </w:t>
      </w:r>
      <w:r w:rsidRPr="004D1C14">
        <w:rPr>
          <w:rFonts w:ascii="黑体" w:eastAsia="黑体" w:hAnsi="黑体" w:cs="Times New Roman" w:hint="eastAsia"/>
          <w:szCs w:val="21"/>
        </w:rPr>
        <w:t>初步评审标准</w:t>
      </w:r>
    </w:p>
    <w:p w14:paraId="2C2909AB"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2.1.1 形式评审标准：见评标办法前附表。</w:t>
      </w:r>
    </w:p>
    <w:p w14:paraId="3D64ABEE"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2.1.2 资格评审标准：见评标办法前附表。</w:t>
      </w:r>
    </w:p>
    <w:p w14:paraId="5A2495E3"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2.1.3 响应性评审标准：见评标办法前附表。</w:t>
      </w:r>
    </w:p>
    <w:p w14:paraId="489709CB" w14:textId="77777777" w:rsidR="004D1C14" w:rsidRPr="004D1C14" w:rsidRDefault="004D1C14" w:rsidP="004D1C14">
      <w:pPr>
        <w:keepNext/>
        <w:keepLines/>
        <w:snapToGrid w:val="0"/>
        <w:outlineLvl w:val="3"/>
        <w:rPr>
          <w:rFonts w:ascii="黑体" w:eastAsia="黑体" w:hAnsi="黑体" w:cs="Times New Roman"/>
          <w:szCs w:val="21"/>
        </w:rPr>
      </w:pPr>
      <w:r w:rsidRPr="004D1C14">
        <w:rPr>
          <w:rFonts w:ascii="黑体" w:eastAsia="黑体" w:hAnsi="黑体" w:cs="Times New Roman"/>
          <w:szCs w:val="21"/>
        </w:rPr>
        <w:t xml:space="preserve">2.2 </w:t>
      </w:r>
      <w:r w:rsidRPr="004D1C14">
        <w:rPr>
          <w:rFonts w:ascii="黑体" w:eastAsia="黑体" w:hAnsi="黑体" w:cs="Times New Roman" w:hint="eastAsia"/>
          <w:szCs w:val="21"/>
        </w:rPr>
        <w:t>分值构成与评分标准</w:t>
      </w:r>
    </w:p>
    <w:p w14:paraId="655F92E6"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2.2.1 分值构成</w:t>
      </w:r>
    </w:p>
    <w:p w14:paraId="1E937FD0"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（l）商务部分：见评标办法前附表；</w:t>
      </w:r>
    </w:p>
    <w:p w14:paraId="1B9B0483"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lastRenderedPageBreak/>
        <w:t>（2）技术部分：见评标办法前附表；</w:t>
      </w:r>
    </w:p>
    <w:p w14:paraId="2508E70A"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（3）投标报价：见评标办法前附表；</w:t>
      </w:r>
    </w:p>
    <w:p w14:paraId="61942F1E"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（4）其他评分因素：见评标办法前附表。</w:t>
      </w:r>
    </w:p>
    <w:p w14:paraId="0CE06C7D"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2.2.2 评标基准价计算</w:t>
      </w:r>
    </w:p>
    <w:p w14:paraId="18AEC20B"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评标基准价计算方法：见评标办法前附表。</w:t>
      </w:r>
    </w:p>
    <w:p w14:paraId="0356D02E"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2.2.3 投标报价的偏差率计算</w:t>
      </w:r>
    </w:p>
    <w:p w14:paraId="347D2052"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投标报价的偏差率计算公式：见评标办法前附表。</w:t>
      </w:r>
    </w:p>
    <w:p w14:paraId="3F4DB8B0"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2.2.4 评分标准</w:t>
      </w:r>
    </w:p>
    <w:p w14:paraId="23B31C0B"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（1）商务评分标准：见评标办法前附表；</w:t>
      </w:r>
    </w:p>
    <w:p w14:paraId="29479F40"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（2）技术评分标准：见评标办法前附表；</w:t>
      </w:r>
    </w:p>
    <w:p w14:paraId="3BB51824"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（3）投标报价评分标准：见评标办法前附表；</w:t>
      </w:r>
    </w:p>
    <w:p w14:paraId="2D6BF844"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（4）其他因素评分标准：见评标办法前附表。</w:t>
      </w:r>
    </w:p>
    <w:p w14:paraId="222024B8" w14:textId="77777777" w:rsidR="004D1C14" w:rsidRPr="004D1C14" w:rsidRDefault="004D1C14" w:rsidP="004D1C14">
      <w:pPr>
        <w:keepNext/>
        <w:keepLines/>
        <w:snapToGrid w:val="0"/>
        <w:outlineLvl w:val="3"/>
        <w:rPr>
          <w:rFonts w:ascii="黑体" w:eastAsia="黑体" w:hAnsi="黑体" w:cs="Times New Roman"/>
          <w:sz w:val="24"/>
          <w:szCs w:val="24"/>
        </w:rPr>
      </w:pPr>
      <w:bookmarkStart w:id="5" w:name="_Toc184635095"/>
      <w:r w:rsidRPr="004D1C14">
        <w:rPr>
          <w:rFonts w:ascii="黑体" w:eastAsia="黑体" w:hAnsi="黑体" w:cs="Times New Roman"/>
          <w:sz w:val="24"/>
          <w:szCs w:val="24"/>
        </w:rPr>
        <w:t>3</w:t>
      </w:r>
      <w:r w:rsidRPr="004D1C14">
        <w:rPr>
          <w:rFonts w:ascii="黑体" w:eastAsia="黑体" w:hAnsi="黑体" w:cs="Times New Roman" w:hint="eastAsia"/>
          <w:sz w:val="24"/>
          <w:szCs w:val="24"/>
        </w:rPr>
        <w:t>.</w:t>
      </w:r>
      <w:r w:rsidRPr="004D1C14">
        <w:rPr>
          <w:rFonts w:ascii="黑体" w:eastAsia="黑体" w:hAnsi="黑体" w:cs="Times New Roman"/>
          <w:sz w:val="24"/>
          <w:szCs w:val="24"/>
        </w:rPr>
        <w:t xml:space="preserve"> </w:t>
      </w:r>
      <w:r w:rsidRPr="004D1C14">
        <w:rPr>
          <w:rFonts w:ascii="黑体" w:eastAsia="黑体" w:hAnsi="黑体" w:cs="Times New Roman" w:hint="eastAsia"/>
          <w:sz w:val="24"/>
          <w:szCs w:val="24"/>
        </w:rPr>
        <w:t>评标程序</w:t>
      </w:r>
      <w:bookmarkEnd w:id="5"/>
    </w:p>
    <w:p w14:paraId="462D5C6B" w14:textId="77777777" w:rsidR="004D1C14" w:rsidRPr="004D1C14" w:rsidRDefault="004D1C14" w:rsidP="004D1C14">
      <w:pPr>
        <w:keepNext/>
        <w:keepLines/>
        <w:snapToGrid w:val="0"/>
        <w:outlineLvl w:val="3"/>
        <w:rPr>
          <w:rFonts w:ascii="黑体" w:eastAsia="黑体" w:hAnsi="黑体" w:cs="Times New Roman"/>
          <w:szCs w:val="21"/>
        </w:rPr>
      </w:pPr>
      <w:r w:rsidRPr="004D1C14">
        <w:rPr>
          <w:rFonts w:ascii="黑体" w:eastAsia="黑体" w:hAnsi="黑体" w:cs="Times New Roman"/>
          <w:szCs w:val="21"/>
        </w:rPr>
        <w:t xml:space="preserve">3.1 </w:t>
      </w:r>
      <w:r w:rsidRPr="004D1C14">
        <w:rPr>
          <w:rFonts w:ascii="黑体" w:eastAsia="黑体" w:hAnsi="黑体" w:cs="Times New Roman" w:hint="eastAsia"/>
          <w:szCs w:val="21"/>
        </w:rPr>
        <w:t>初步评审</w:t>
      </w:r>
    </w:p>
    <w:p w14:paraId="553F49D7"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3.1.1 评标委员会可以要求投标人提交第二章“投标人须知”规定的有关证明和证件的原件，以便核验。评标委员会依据本章第2.1 款规定的标准对投标文件进行初步评审。有一项不符合评审标准的，评标委员会应当否决其投标。</w:t>
      </w:r>
    </w:p>
    <w:p w14:paraId="78009631"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3.1.2 投标人有以下情形之一的，评标委员会应当否决其投标：</w:t>
      </w:r>
    </w:p>
    <w:p w14:paraId="498ED4E1"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（l）投标文件没有对招标文件的实质性要求和条件作出响应，或者对招标文件的偏差超出招标文件规定的偏差范围或最高项数；</w:t>
      </w:r>
    </w:p>
    <w:p w14:paraId="078997FB"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（2）有串通投标、弄虚作假、行贿等违法行为。</w:t>
      </w:r>
    </w:p>
    <w:p w14:paraId="44981C4D"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3.1.3 投标报价有算术错误及其他错误的，评标委员会按以下原则要求投标人对投标报价进行修正，并要求投标人书面澄清确认。投标人拒不澄清确认的，评标委员会应当否决其投标。</w:t>
      </w:r>
    </w:p>
    <w:p w14:paraId="1A827E95"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（1）投标文件中的大写金额与小写金额不一致的，以大写金额为准；</w:t>
      </w:r>
    </w:p>
    <w:p w14:paraId="1B3ECDFB"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（2）总价金额与单价金额不一致的，以单价金额为准，但单价金额小数点有明显错误的除外；</w:t>
      </w:r>
    </w:p>
    <w:p w14:paraId="5370E455"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（3）投标报价为各分项报价金额之和，投标报价与分项报价的合价不一致的，应以各分项合价累计数为准，修正投标报价；</w:t>
      </w:r>
    </w:p>
    <w:p w14:paraId="2CF47C07"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（4）如果分项报价中存在缺漏项，则视为缺漏项价格已包含在其他分项报价之中。</w:t>
      </w:r>
    </w:p>
    <w:p w14:paraId="3A46E8A4" w14:textId="77777777" w:rsidR="004D1C14" w:rsidRPr="004D1C14" w:rsidRDefault="004D1C14" w:rsidP="004D1C14">
      <w:pPr>
        <w:keepNext/>
        <w:keepLines/>
        <w:snapToGrid w:val="0"/>
        <w:outlineLvl w:val="3"/>
        <w:rPr>
          <w:rFonts w:ascii="黑体" w:eastAsia="黑体" w:hAnsi="黑体" w:cs="Times New Roman"/>
          <w:szCs w:val="21"/>
        </w:rPr>
      </w:pPr>
      <w:r w:rsidRPr="004D1C14">
        <w:rPr>
          <w:rFonts w:ascii="黑体" w:eastAsia="黑体" w:hAnsi="黑体" w:cs="Times New Roman"/>
          <w:szCs w:val="21"/>
        </w:rPr>
        <w:t xml:space="preserve">3.2 </w:t>
      </w:r>
      <w:r w:rsidRPr="004D1C14">
        <w:rPr>
          <w:rFonts w:ascii="黑体" w:eastAsia="黑体" w:hAnsi="黑体" w:cs="Times New Roman" w:hint="eastAsia"/>
          <w:szCs w:val="21"/>
        </w:rPr>
        <w:t>详细评审</w:t>
      </w:r>
    </w:p>
    <w:p w14:paraId="4D57BC16"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3.2.1 评标委员会按本章第2.2 款规定的量化因素和分值进行打分，并计算出综合评估得分。</w:t>
      </w:r>
    </w:p>
    <w:p w14:paraId="39D77009"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（1）按本章第2.2.4 （1）目规定的评审因素和分值对商务部分计算出得分A ；</w:t>
      </w:r>
    </w:p>
    <w:p w14:paraId="18F1CD28"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（2）按本章第2.2.4 （2）目规定的评审因素和分值对技术部分计算出得分B；</w:t>
      </w:r>
    </w:p>
    <w:p w14:paraId="0F5840BD"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（3）按本章第2.2.4 （3）目规定的评审因素和分值对投标报价计算出得分C；</w:t>
      </w:r>
    </w:p>
    <w:p w14:paraId="47B857E5"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（4）按本章第2.2.4 （4）目规定的评审因素和分值对其他部分计算出得分D 。</w:t>
      </w:r>
    </w:p>
    <w:p w14:paraId="0610BFBE"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3.2.2 评分分值计算保留小数点后两位，小数点后第三位“四舍五入”。</w:t>
      </w:r>
    </w:p>
    <w:p w14:paraId="4B987D71"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3.2.3 投标人得分＝A 十B 十C 十D 。</w:t>
      </w:r>
    </w:p>
    <w:p w14:paraId="34113257"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2C508BA" w14:textId="77777777" w:rsidR="004D1C14" w:rsidRPr="004D1C14" w:rsidRDefault="004D1C14" w:rsidP="004D1C14">
      <w:pPr>
        <w:keepNext/>
        <w:keepLines/>
        <w:snapToGrid w:val="0"/>
        <w:outlineLvl w:val="3"/>
        <w:rPr>
          <w:rFonts w:ascii="黑体" w:eastAsia="黑体" w:hAnsi="黑体" w:cs="Times New Roman"/>
          <w:szCs w:val="21"/>
        </w:rPr>
      </w:pPr>
      <w:r w:rsidRPr="004D1C14">
        <w:rPr>
          <w:rFonts w:ascii="黑体" w:eastAsia="黑体" w:hAnsi="黑体" w:cs="Times New Roman"/>
          <w:szCs w:val="21"/>
        </w:rPr>
        <w:t xml:space="preserve">3.3 </w:t>
      </w:r>
      <w:r w:rsidRPr="004D1C14">
        <w:rPr>
          <w:rFonts w:ascii="黑体" w:eastAsia="黑体" w:hAnsi="黑体" w:cs="Times New Roman" w:hint="eastAsia"/>
          <w:szCs w:val="21"/>
        </w:rPr>
        <w:t>投标文件的澄清</w:t>
      </w:r>
    </w:p>
    <w:p w14:paraId="2BEC883C"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333645"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3.3.2 澄清、说明和补正不得超出投标文件的范围且不得改变投标文件的实质性内容，并构成投标文件的组成部分。</w:t>
      </w:r>
    </w:p>
    <w:p w14:paraId="43B5D20D"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3.3.3 评标委员会对投标人提交的澄清、说明或补正有疑问的，可以要求投标人进一步澄清、说明或补正，直至满足评标委员会的要求。</w:t>
      </w:r>
    </w:p>
    <w:p w14:paraId="31482686" w14:textId="77777777" w:rsidR="004D1C14" w:rsidRPr="004D1C14" w:rsidRDefault="004D1C14" w:rsidP="004D1C14">
      <w:pPr>
        <w:keepNext/>
        <w:keepLines/>
        <w:snapToGrid w:val="0"/>
        <w:outlineLvl w:val="3"/>
        <w:rPr>
          <w:rFonts w:ascii="黑体" w:eastAsia="黑体" w:hAnsi="黑体" w:cs="Times New Roman"/>
          <w:szCs w:val="21"/>
        </w:rPr>
      </w:pPr>
      <w:r w:rsidRPr="004D1C14">
        <w:rPr>
          <w:rFonts w:ascii="黑体" w:eastAsia="黑体" w:hAnsi="黑体" w:cs="Times New Roman"/>
          <w:szCs w:val="21"/>
        </w:rPr>
        <w:t xml:space="preserve">3.4 </w:t>
      </w:r>
      <w:r w:rsidRPr="004D1C14">
        <w:rPr>
          <w:rFonts w:ascii="黑体" w:eastAsia="黑体" w:hAnsi="黑体" w:cs="Times New Roman" w:hint="eastAsia"/>
          <w:szCs w:val="21"/>
        </w:rPr>
        <w:t>评标结果</w:t>
      </w:r>
    </w:p>
    <w:p w14:paraId="37FAA870"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3.4.1 除第二章“投标人须知”前附表授权直接确定中标人外，评标委员会按照得分由高到低的顺序推荐中标候选人，并标明排序。</w:t>
      </w:r>
    </w:p>
    <w:p w14:paraId="261CAEA6" w14:textId="77777777" w:rsidR="004D1C14" w:rsidRPr="004D1C14" w:rsidRDefault="004D1C14" w:rsidP="004D1C14">
      <w:pPr>
        <w:snapToGrid w:val="0"/>
        <w:ind w:firstLineChars="200" w:firstLine="420"/>
        <w:rPr>
          <w:rFonts w:ascii="宋体" w:eastAsia="宋体" w:hAnsi="宋体" w:cs="Times New Roman"/>
          <w:szCs w:val="21"/>
        </w:rPr>
      </w:pPr>
      <w:r w:rsidRPr="004D1C14">
        <w:rPr>
          <w:rFonts w:ascii="宋体" w:eastAsia="宋体" w:hAnsi="宋体" w:cs="Times New Roman" w:hint="eastAsia"/>
          <w:szCs w:val="21"/>
        </w:rPr>
        <w:t>3.4.2 评标委员会完成评标后，应当向招标人提交书面评标报告和中标候选人名单。</w:t>
      </w:r>
    </w:p>
    <w:p w14:paraId="768A9103" w14:textId="77777777" w:rsidR="004D1C14" w:rsidRDefault="004D1C14" w:rsidP="004D1C14">
      <w:pPr>
        <w:widowControl/>
        <w:snapToGrid w:val="0"/>
        <w:jc w:val="left"/>
        <w:rPr>
          <w:rFonts w:ascii="黑体" w:eastAsia="黑体" w:hAnsi="宋体" w:cs="Times New Roman"/>
          <w:sz w:val="28"/>
          <w:szCs w:val="28"/>
        </w:rPr>
      </w:pPr>
      <w:r>
        <w:rPr>
          <w:rFonts w:ascii="黑体" w:eastAsia="黑体" w:hAnsi="宋体" w:cs="Times New Roman"/>
          <w:sz w:val="28"/>
          <w:szCs w:val="28"/>
        </w:rPr>
        <w:br w:type="page"/>
      </w:r>
    </w:p>
    <w:p w14:paraId="1B3E2358" w14:textId="3A194576" w:rsidR="004D1C14" w:rsidRPr="004D1C14" w:rsidRDefault="004D1C14" w:rsidP="004D1C14">
      <w:pPr>
        <w:snapToGrid w:val="0"/>
        <w:jc w:val="center"/>
        <w:outlineLvl w:val="1"/>
        <w:rPr>
          <w:rFonts w:ascii="黑体" w:eastAsia="黑体" w:hAnsi="宋体" w:cs="Times New Roman"/>
          <w:sz w:val="28"/>
          <w:szCs w:val="28"/>
        </w:rPr>
      </w:pPr>
      <w:r w:rsidRPr="004D1C14">
        <w:rPr>
          <w:rFonts w:ascii="黑体" w:eastAsia="黑体" w:hAnsi="宋体" w:cs="Times New Roman" w:hint="eastAsia"/>
          <w:sz w:val="28"/>
          <w:szCs w:val="28"/>
        </w:rPr>
        <w:lastRenderedPageBreak/>
        <w:t>投标设备技术性能指标的详细描述</w:t>
      </w:r>
    </w:p>
    <w:p w14:paraId="39DEB857" w14:textId="77777777" w:rsidR="004D1C14" w:rsidRPr="004D1C14" w:rsidRDefault="004D1C14" w:rsidP="004D1C14">
      <w:pPr>
        <w:snapToGrid w:val="0"/>
        <w:rPr>
          <w:rFonts w:ascii="楷体_GB2312" w:eastAsia="楷体_GB2312" w:hAnsi="宋体" w:cs="宋体"/>
          <w:bCs/>
          <w:sz w:val="24"/>
          <w:szCs w:val="24"/>
          <w:lang w:val="zh-CN"/>
        </w:rPr>
      </w:pPr>
      <w:r w:rsidRPr="004D1C14">
        <w:rPr>
          <w:rFonts w:ascii="楷体_GB2312" w:eastAsia="楷体_GB2312" w:hAnsi="宋体" w:cs="宋体" w:hint="eastAsia"/>
          <w:bCs/>
          <w:sz w:val="24"/>
          <w:szCs w:val="24"/>
          <w:lang w:val="zh-CN"/>
        </w:rPr>
        <w:t>说明：</w:t>
      </w:r>
    </w:p>
    <w:p w14:paraId="3052C57C" w14:textId="77777777" w:rsidR="004D1C14" w:rsidRPr="004D1C14" w:rsidRDefault="004D1C14" w:rsidP="004D1C14">
      <w:pPr>
        <w:snapToGrid w:val="0"/>
        <w:ind w:firstLineChars="200" w:firstLine="480"/>
        <w:rPr>
          <w:rFonts w:ascii="楷体_GB2312" w:eastAsia="楷体_GB2312" w:hAnsi="宋体" w:cs="宋体"/>
          <w:bCs/>
          <w:sz w:val="24"/>
          <w:szCs w:val="24"/>
          <w:lang w:val="zh-CN"/>
        </w:rPr>
      </w:pPr>
      <w:r w:rsidRPr="004D1C14">
        <w:rPr>
          <w:rFonts w:ascii="楷体_GB2312" w:eastAsia="楷体_GB2312" w:hAnsi="宋体" w:cs="宋体" w:hint="eastAsia"/>
          <w:bCs/>
          <w:sz w:val="24"/>
          <w:szCs w:val="24"/>
          <w:lang w:val="zh-CN"/>
        </w:rPr>
        <w:t>1</w:t>
      </w:r>
      <w:r w:rsidRPr="004D1C14">
        <w:rPr>
          <w:rFonts w:ascii="楷体_GB2312" w:eastAsia="楷体_GB2312" w:hAnsi="宋体" w:cs="宋体"/>
          <w:bCs/>
          <w:sz w:val="24"/>
          <w:szCs w:val="24"/>
          <w:lang w:val="zh-CN"/>
        </w:rPr>
        <w:t>.</w:t>
      </w:r>
      <w:r w:rsidRPr="004D1C14">
        <w:rPr>
          <w:rFonts w:ascii="楷体_GB2312" w:eastAsia="楷体_GB2312" w:hAnsi="宋体" w:cs="宋体" w:hint="eastAsia"/>
          <w:bCs/>
          <w:sz w:val="24"/>
          <w:szCs w:val="24"/>
          <w:lang w:val="zh-CN"/>
        </w:rPr>
        <w:t>下表“参考技术性能指标最低要求”中，全部技术性能指标不强制要求提供证明材料，仅需描述技术性能指标情况。</w:t>
      </w:r>
    </w:p>
    <w:p w14:paraId="726F04C1" w14:textId="77777777" w:rsidR="004D1C14" w:rsidRPr="004D1C14" w:rsidRDefault="004D1C14" w:rsidP="004D1C14">
      <w:pPr>
        <w:snapToGrid w:val="0"/>
        <w:ind w:firstLineChars="200" w:firstLine="480"/>
        <w:rPr>
          <w:rFonts w:ascii="楷体_GB2312" w:eastAsia="楷体_GB2312" w:hAnsi="宋体" w:cs="宋体"/>
          <w:bCs/>
          <w:sz w:val="24"/>
          <w:szCs w:val="24"/>
          <w:lang w:val="zh-CN"/>
        </w:rPr>
      </w:pPr>
      <w:r w:rsidRPr="004D1C14">
        <w:rPr>
          <w:rFonts w:ascii="楷体_GB2312" w:eastAsia="楷体_GB2312" w:hAnsi="宋体" w:cs="宋体" w:hint="eastAsia"/>
          <w:bCs/>
          <w:sz w:val="24"/>
          <w:szCs w:val="24"/>
          <w:lang w:val="zh-CN"/>
        </w:rPr>
        <w:t>2</w:t>
      </w:r>
      <w:r w:rsidRPr="004D1C14">
        <w:rPr>
          <w:rFonts w:ascii="楷体_GB2312" w:eastAsia="楷体_GB2312" w:hAnsi="宋体" w:cs="宋体"/>
          <w:bCs/>
          <w:sz w:val="24"/>
          <w:szCs w:val="24"/>
          <w:lang w:val="zh-CN"/>
        </w:rPr>
        <w:t>.</w:t>
      </w:r>
      <w:r w:rsidRPr="004D1C14">
        <w:rPr>
          <w:rFonts w:ascii="楷体_GB2312" w:eastAsia="楷体_GB2312" w:hAnsi="宋体" w:cs="宋体" w:hint="eastAsia"/>
          <w:bCs/>
          <w:sz w:val="24"/>
          <w:szCs w:val="24"/>
          <w:lang w:val="zh-CN"/>
        </w:rPr>
        <w:t xml:space="preserve"> 下表</w:t>
      </w:r>
      <w:r w:rsidRPr="004D1C14">
        <w:rPr>
          <w:rFonts w:ascii="楷体_GB2312" w:eastAsia="楷体_GB2312" w:hAnsi="宋体" w:cs="宋体"/>
          <w:bCs/>
          <w:sz w:val="24"/>
          <w:szCs w:val="24"/>
          <w:lang w:val="zh-CN"/>
        </w:rPr>
        <w:t>“</w:t>
      </w:r>
      <w:r w:rsidRPr="004D1C14">
        <w:rPr>
          <w:rFonts w:ascii="楷体_GB2312" w:eastAsia="楷体_GB2312" w:hAnsi="宋体" w:cs="宋体" w:hint="eastAsia"/>
          <w:bCs/>
          <w:sz w:val="24"/>
          <w:szCs w:val="24"/>
          <w:lang w:val="zh-CN"/>
        </w:rPr>
        <w:t>投标设备技术性能指标</w:t>
      </w:r>
      <w:r w:rsidRPr="004D1C14">
        <w:rPr>
          <w:rFonts w:ascii="楷体_GB2312" w:eastAsia="楷体_GB2312" w:hAnsi="宋体" w:cs="宋体"/>
          <w:bCs/>
          <w:sz w:val="24"/>
          <w:szCs w:val="24"/>
          <w:lang w:val="zh-CN"/>
        </w:rPr>
        <w:t>”</w:t>
      </w:r>
      <w:r w:rsidRPr="004D1C14">
        <w:rPr>
          <w:rFonts w:ascii="楷体_GB2312" w:eastAsia="楷体_GB2312" w:hAnsi="宋体" w:cs="宋体" w:hint="eastAsia"/>
          <w:bCs/>
          <w:sz w:val="24"/>
          <w:szCs w:val="24"/>
          <w:lang w:val="zh-CN"/>
        </w:rPr>
        <w:t>一列，投标人须详细阐述投标设备的技术性能指标，</w:t>
      </w:r>
      <w:r w:rsidRPr="004D1C14">
        <w:rPr>
          <w:rFonts w:ascii="黑体" w:eastAsia="黑体" w:hAnsi="黑体" w:cs="宋体" w:hint="eastAsia"/>
          <w:b/>
          <w:sz w:val="24"/>
          <w:szCs w:val="24"/>
          <w:lang w:val="zh-CN"/>
        </w:rPr>
        <w:t>并将“正偏差”参数使用加粗、斜体和（或）下划线等格式显著标识</w:t>
      </w:r>
      <w:r w:rsidRPr="004D1C14">
        <w:rPr>
          <w:rFonts w:ascii="楷体_GB2312" w:eastAsia="楷体_GB2312" w:hAnsi="宋体" w:cs="宋体" w:hint="eastAsia"/>
          <w:bCs/>
          <w:sz w:val="24"/>
          <w:szCs w:val="24"/>
          <w:lang w:val="zh-CN"/>
        </w:rPr>
        <w:t>。如投标人在填报此列时敷衍了事（例如填报“完全响应”或是完全照抄“参考技术性能指标最低要求”），评标委员将酌情予以扣分。</w:t>
      </w:r>
    </w:p>
    <w:p w14:paraId="281650BB" w14:textId="77777777" w:rsidR="004D1C14" w:rsidRPr="004D1C14" w:rsidRDefault="004D1C14" w:rsidP="004D1C14">
      <w:pPr>
        <w:snapToGrid w:val="0"/>
        <w:ind w:firstLineChars="200" w:firstLine="480"/>
        <w:rPr>
          <w:rFonts w:ascii="楷体_GB2312" w:eastAsia="楷体_GB2312" w:hAnsi="宋体" w:cs="宋体"/>
          <w:bCs/>
          <w:sz w:val="24"/>
          <w:szCs w:val="24"/>
          <w:lang w:val="zh-CN"/>
        </w:rPr>
      </w:pPr>
      <w:r w:rsidRPr="004D1C14">
        <w:rPr>
          <w:rFonts w:ascii="楷体_GB2312" w:eastAsia="楷体_GB2312" w:hAnsi="宋体" w:cs="宋体" w:hint="eastAsia"/>
          <w:bCs/>
          <w:sz w:val="24"/>
          <w:szCs w:val="24"/>
          <w:lang w:val="zh-CN"/>
        </w:rPr>
        <w:t>3</w:t>
      </w:r>
      <w:r w:rsidRPr="004D1C14">
        <w:rPr>
          <w:rFonts w:ascii="楷体_GB2312" w:eastAsia="楷体_GB2312" w:hAnsi="宋体" w:cs="宋体"/>
          <w:bCs/>
          <w:sz w:val="24"/>
          <w:szCs w:val="24"/>
          <w:lang w:val="zh-CN"/>
        </w:rPr>
        <w:t>.</w:t>
      </w:r>
      <w:r w:rsidRPr="004D1C14">
        <w:rPr>
          <w:rFonts w:ascii="楷体_GB2312" w:eastAsia="楷体_GB2312" w:hAnsi="宋体" w:cs="宋体" w:hint="eastAsia"/>
          <w:bCs/>
          <w:sz w:val="24"/>
          <w:szCs w:val="24"/>
          <w:lang w:val="zh-CN"/>
        </w:rPr>
        <w:t>下表</w:t>
      </w:r>
      <w:r w:rsidRPr="004D1C14">
        <w:rPr>
          <w:rFonts w:ascii="楷体_GB2312" w:eastAsia="楷体_GB2312" w:hAnsi="宋体" w:cs="宋体"/>
          <w:bCs/>
          <w:sz w:val="24"/>
          <w:szCs w:val="24"/>
          <w:lang w:val="zh-CN"/>
        </w:rPr>
        <w:t>“</w:t>
      </w:r>
      <w:r w:rsidRPr="004D1C14">
        <w:rPr>
          <w:rFonts w:ascii="楷体_GB2312" w:eastAsia="楷体_GB2312" w:hAnsi="宋体" w:cs="宋体" w:hint="eastAsia"/>
          <w:bCs/>
          <w:sz w:val="24"/>
          <w:szCs w:val="24"/>
          <w:lang w:val="zh-CN"/>
        </w:rPr>
        <w:t>偏差</w:t>
      </w:r>
      <w:r w:rsidRPr="004D1C14">
        <w:rPr>
          <w:rFonts w:ascii="楷体_GB2312" w:eastAsia="楷体_GB2312" w:hAnsi="宋体" w:cs="宋体"/>
          <w:bCs/>
          <w:sz w:val="24"/>
          <w:szCs w:val="24"/>
          <w:lang w:val="zh-CN"/>
        </w:rPr>
        <w:t>”</w:t>
      </w:r>
      <w:r w:rsidRPr="004D1C14">
        <w:rPr>
          <w:rFonts w:ascii="楷体_GB2312" w:eastAsia="楷体_GB2312" w:hAnsi="宋体" w:cs="宋体" w:hint="eastAsia"/>
          <w:bCs/>
          <w:sz w:val="24"/>
          <w:szCs w:val="24"/>
          <w:lang w:val="zh-CN"/>
        </w:rPr>
        <w:t>一列，投标人须按投标设备具体情况填写“响应”或“正偏差”，</w:t>
      </w:r>
      <w:r w:rsidRPr="004D1C14">
        <w:rPr>
          <w:rFonts w:ascii="黑体" w:eastAsia="黑体" w:hAnsi="黑体" w:cs="宋体" w:hint="eastAsia"/>
          <w:b/>
          <w:sz w:val="24"/>
          <w:szCs w:val="24"/>
          <w:lang w:val="zh-CN"/>
        </w:rPr>
        <w:t>不允许负偏差</w:t>
      </w:r>
      <w:r w:rsidRPr="004D1C14">
        <w:rPr>
          <w:rFonts w:ascii="楷体_GB2312" w:eastAsia="楷体_GB2312" w:hAnsi="宋体" w:cs="宋体" w:hint="eastAsia"/>
          <w:bCs/>
          <w:sz w:val="24"/>
          <w:szCs w:val="24"/>
          <w:lang w:val="zh-CN"/>
        </w:rPr>
        <w:t>。</w:t>
      </w:r>
    </w:p>
    <w:p w14:paraId="7B23F012" w14:textId="77777777" w:rsidR="004D1C14" w:rsidRPr="004D1C14" w:rsidRDefault="004D1C14" w:rsidP="004D1C14">
      <w:pPr>
        <w:snapToGrid w:val="0"/>
        <w:ind w:firstLineChars="200" w:firstLine="480"/>
        <w:rPr>
          <w:rFonts w:ascii="楷体_GB2312" w:eastAsia="楷体_GB2312" w:hAnsi="宋体" w:cs="宋体"/>
          <w:bCs/>
          <w:sz w:val="24"/>
          <w:szCs w:val="24"/>
          <w:lang w:val="zh-CN"/>
        </w:rPr>
      </w:pPr>
      <w:r w:rsidRPr="004D1C14">
        <w:rPr>
          <w:rFonts w:ascii="楷体_GB2312" w:eastAsia="楷体_GB2312" w:hAnsi="宋体" w:cs="宋体" w:hint="eastAsia"/>
          <w:bCs/>
          <w:sz w:val="24"/>
          <w:szCs w:val="24"/>
          <w:lang w:val="zh-CN"/>
        </w:rPr>
        <w:t>4</w:t>
      </w:r>
      <w:r w:rsidRPr="004D1C14">
        <w:rPr>
          <w:rFonts w:ascii="楷体_GB2312" w:eastAsia="楷体_GB2312" w:hAnsi="宋体" w:cs="宋体"/>
          <w:bCs/>
          <w:sz w:val="24"/>
          <w:szCs w:val="24"/>
          <w:lang w:val="zh-CN"/>
        </w:rPr>
        <w:t>.</w:t>
      </w:r>
      <w:r w:rsidRPr="004D1C14">
        <w:rPr>
          <w:rFonts w:ascii="宋体" w:eastAsia="宋体" w:hAnsi="宋体" w:cs="Times New Roman" w:hint="eastAsia"/>
          <w:szCs w:val="21"/>
        </w:rPr>
        <w:t xml:space="preserve"> </w:t>
      </w:r>
      <w:r w:rsidRPr="004D1C14">
        <w:rPr>
          <w:rFonts w:ascii="楷体_GB2312" w:eastAsia="楷体_GB2312" w:hAnsi="宋体" w:cs="宋体" w:hint="eastAsia"/>
          <w:bCs/>
          <w:sz w:val="24"/>
          <w:szCs w:val="24"/>
          <w:lang w:val="zh-CN"/>
        </w:rPr>
        <w:t>如果投标人为了提供更先进、更高效、更节能、更适用的投标设备，而没有采用“参考技术性能指标最低要求”的描述，则</w:t>
      </w:r>
      <w:r w:rsidRPr="004D1C14">
        <w:rPr>
          <w:rFonts w:ascii="黑体" w:eastAsia="黑体" w:hAnsi="黑体" w:cs="宋体" w:hint="eastAsia"/>
          <w:b/>
          <w:sz w:val="24"/>
          <w:szCs w:val="24"/>
          <w:lang w:val="zh-CN"/>
        </w:rPr>
        <w:t>不受以上三点要求限制</w:t>
      </w:r>
      <w:r w:rsidRPr="004D1C14">
        <w:rPr>
          <w:rFonts w:ascii="楷体_GB2312" w:eastAsia="楷体_GB2312" w:hAnsi="宋体" w:cs="宋体" w:hint="eastAsia"/>
          <w:bCs/>
          <w:sz w:val="24"/>
          <w:szCs w:val="24"/>
          <w:lang w:val="zh-CN"/>
        </w:rPr>
        <w:t>。</w:t>
      </w:r>
    </w:p>
    <w:p w14:paraId="2CBDD016" w14:textId="77777777" w:rsidR="004D1C14" w:rsidRPr="004D1C14" w:rsidRDefault="004D1C14" w:rsidP="004D1C14">
      <w:pPr>
        <w:snapToGrid w:val="0"/>
        <w:ind w:firstLineChars="200" w:firstLine="480"/>
        <w:rPr>
          <w:rFonts w:ascii="楷体_GB2312" w:eastAsia="楷体_GB2312" w:hAnsi="宋体" w:cs="宋体"/>
          <w:bCs/>
          <w:sz w:val="24"/>
          <w:szCs w:val="24"/>
          <w:lang w:val="zh-CN"/>
        </w:rPr>
      </w:pPr>
      <w:r w:rsidRPr="004D1C14">
        <w:rPr>
          <w:rFonts w:ascii="楷体_GB2312" w:eastAsia="楷体_GB2312" w:hAnsi="宋体" w:cs="宋体"/>
          <w:bCs/>
          <w:sz w:val="24"/>
          <w:szCs w:val="24"/>
          <w:lang w:val="zh-CN"/>
        </w:rPr>
        <w:t>4.</w:t>
      </w:r>
      <w:r w:rsidRPr="004D1C14">
        <w:rPr>
          <w:rFonts w:ascii="楷体_GB2312" w:eastAsia="楷体_GB2312" w:hAnsi="宋体" w:cs="宋体" w:hint="eastAsia"/>
          <w:bCs/>
          <w:sz w:val="24"/>
          <w:szCs w:val="24"/>
          <w:lang w:val="zh-CN"/>
        </w:rPr>
        <w:t>无论卖方是否在投标文件中明确响应“参考技术性能指标最低要求”中的指标，中标后供应给买方的设备必须无条件满足买方提出的设备的具体使用功能，如不满足，则视为卖方违约。</w:t>
      </w:r>
    </w:p>
    <w:p w14:paraId="08E4A50D" w14:textId="77777777" w:rsidR="004D1C14" w:rsidRPr="004D1C14" w:rsidRDefault="004D1C14" w:rsidP="004D1C14">
      <w:pPr>
        <w:snapToGrid w:val="0"/>
        <w:rPr>
          <w:rFonts w:ascii="宋体" w:eastAsia="宋体" w:hAnsi="宋体" w:cs="Times New Roman"/>
          <w:szCs w:val="21"/>
        </w:rPr>
      </w:pPr>
    </w:p>
    <w:p w14:paraId="00F3EA9C" w14:textId="77777777" w:rsidR="004D1C14" w:rsidRPr="004D1C14" w:rsidRDefault="004D1C14" w:rsidP="004D1C14">
      <w:pPr>
        <w:widowControl/>
        <w:snapToGrid w:val="0"/>
        <w:jc w:val="left"/>
        <w:rPr>
          <w:rFonts w:ascii="黑体" w:eastAsia="黑体" w:hAnsi="黑体" w:cs="宋体"/>
          <w:b/>
          <w:sz w:val="28"/>
          <w:szCs w:val="28"/>
          <w:lang w:val="zh-CN"/>
        </w:rPr>
      </w:pPr>
      <w:bookmarkStart w:id="6" w:name="_Hlk73195254"/>
      <w:r w:rsidRPr="004D1C14">
        <w:rPr>
          <w:rFonts w:ascii="黑体" w:eastAsia="黑体" w:hAnsi="黑体" w:cs="宋体" w:hint="eastAsia"/>
          <w:b/>
          <w:sz w:val="28"/>
          <w:szCs w:val="28"/>
          <w:lang w:val="zh-CN"/>
        </w:rPr>
        <w:t>0</w:t>
      </w:r>
      <w:r w:rsidRPr="004D1C14">
        <w:rPr>
          <w:rFonts w:ascii="黑体" w:eastAsia="黑体" w:hAnsi="黑体" w:cs="宋体"/>
          <w:b/>
          <w:sz w:val="28"/>
          <w:szCs w:val="28"/>
          <w:lang w:val="zh-CN"/>
        </w:rPr>
        <w:t>1</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287C0358" w14:textId="77777777" w:rsidR="004D1C14" w:rsidRPr="004D1C14" w:rsidRDefault="004D1C14" w:rsidP="004D1C14">
      <w:pPr>
        <w:snapToGrid w:val="0"/>
        <w:jc w:val="center"/>
        <w:rPr>
          <w:rFonts w:ascii="楷体_GB2312" w:eastAsia="楷体_GB2312" w:hAnsi="宋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59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57"/>
        <w:gridCol w:w="1557"/>
        <w:gridCol w:w="7483"/>
      </w:tblGrid>
      <w:tr w:rsidR="004D1C14" w:rsidRPr="004D1C14" w14:paraId="6D95DF47" w14:textId="77777777" w:rsidTr="004D1C14">
        <w:trPr>
          <w:cantSplit/>
          <w:trHeight w:val="567"/>
          <w:tblHeader/>
        </w:trPr>
        <w:tc>
          <w:tcPr>
            <w:tcW w:w="557" w:type="dxa"/>
            <w:shd w:val="clear" w:color="000000" w:fill="FFFFFF"/>
            <w:vAlign w:val="center"/>
          </w:tcPr>
          <w:p w14:paraId="389901F0"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shd w:val="clear" w:color="000000" w:fill="FFFFFF"/>
            <w:vAlign w:val="center"/>
          </w:tcPr>
          <w:p w14:paraId="60EC37A7"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83" w:type="dxa"/>
            <w:shd w:val="clear" w:color="000000" w:fill="FFFFFF"/>
            <w:vAlign w:val="center"/>
          </w:tcPr>
          <w:p w14:paraId="611FF38F" w14:textId="77777777" w:rsidR="004D1C14" w:rsidRPr="004D1C14" w:rsidRDefault="004D1C14" w:rsidP="004D1C14">
            <w:pPr>
              <w:adjustRightInd w:val="0"/>
              <w:snapToGrid w:val="0"/>
              <w:ind w:firstLineChars="100" w:firstLine="211"/>
              <w:jc w:val="center"/>
              <w:rPr>
                <w:rFonts w:ascii="宋体" w:eastAsia="宋体" w:hAnsi="宋体" w:cs="Times New Roman"/>
                <w:b/>
                <w:bCs/>
                <w:szCs w:val="21"/>
              </w:rPr>
            </w:pPr>
            <w:r w:rsidRPr="004D1C14">
              <w:rPr>
                <w:rFonts w:ascii="宋体" w:eastAsia="宋体" w:hAnsi="宋体" w:cs="Times New Roman" w:hint="eastAsia"/>
                <w:b/>
                <w:szCs w:val="21"/>
              </w:rPr>
              <w:t>参考技术性能指标最低要求</w:t>
            </w:r>
          </w:p>
        </w:tc>
      </w:tr>
      <w:tr w:rsidR="004D1C14" w:rsidRPr="004D1C14" w14:paraId="7B22A79B" w14:textId="77777777" w:rsidTr="004D1C14">
        <w:trPr>
          <w:cantSplit/>
          <w:trHeight w:val="567"/>
        </w:trPr>
        <w:tc>
          <w:tcPr>
            <w:tcW w:w="557" w:type="dxa"/>
            <w:shd w:val="clear" w:color="000000" w:fill="FFFFFF"/>
            <w:vAlign w:val="center"/>
          </w:tcPr>
          <w:p w14:paraId="29A38953" w14:textId="77777777" w:rsidR="004D1C14" w:rsidRPr="004D1C14" w:rsidRDefault="004D1C14" w:rsidP="004D1C14">
            <w:pPr>
              <w:numPr>
                <w:ilvl w:val="0"/>
                <w:numId w:val="4"/>
              </w:numPr>
              <w:adjustRightInd w:val="0"/>
              <w:snapToGrid w:val="0"/>
              <w:jc w:val="center"/>
              <w:rPr>
                <w:rFonts w:ascii="宋体" w:eastAsia="宋体" w:hAnsi="宋体" w:cs="Times New Roman"/>
                <w:b/>
                <w:bCs/>
                <w:szCs w:val="21"/>
              </w:rPr>
            </w:pPr>
          </w:p>
        </w:tc>
        <w:tc>
          <w:tcPr>
            <w:tcW w:w="1557" w:type="dxa"/>
            <w:shd w:val="clear" w:color="000000" w:fill="FFFFFF"/>
            <w:vAlign w:val="center"/>
          </w:tcPr>
          <w:p w14:paraId="01D8099A"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车道控制器</w:t>
            </w:r>
          </w:p>
        </w:tc>
        <w:tc>
          <w:tcPr>
            <w:tcW w:w="7483" w:type="dxa"/>
            <w:shd w:val="clear" w:color="000000" w:fill="FFFFFF"/>
            <w:vAlign w:val="center"/>
          </w:tcPr>
          <w:p w14:paraId="57F50141"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1、CPU：英特尔酷睿i3以上处理器（3.4GHz）；</w:t>
            </w:r>
          </w:p>
          <w:p w14:paraId="6D3E102D"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2、内存16GB及以上，硬盘存储容量≥500GB，推荐采用SATA3.0固态硬盘；</w:t>
            </w:r>
          </w:p>
          <w:p w14:paraId="00FF7EF8"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3、显示支持VGA、DVI等输出；</w:t>
            </w:r>
          </w:p>
          <w:p w14:paraId="64B6A3DE"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4、串行接口12路接口及以上，并行接口1路LPT接口；</w:t>
            </w:r>
          </w:p>
          <w:p w14:paraId="4DB96932"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5、网络端口≥4个以太网接口</w:t>
            </w:r>
          </w:p>
          <w:p w14:paraId="5D057788"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6、至少16路具有对外围设备驱动能力的开关量I/O板；</w:t>
            </w:r>
          </w:p>
          <w:p w14:paraId="35C78A7A"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7、所有接口板和功能板附有光电隔离保护以减少雷电及高能浪涌的冲击；</w:t>
            </w:r>
          </w:p>
          <w:p w14:paraId="43183DA4"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8、MTBF：≥50000 小时；</w:t>
            </w:r>
          </w:p>
          <w:p w14:paraId="140195D2"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9、整机散热选用嵌入式无风扇工业级主机；</w:t>
            </w:r>
          </w:p>
          <w:p w14:paraId="1BDD5994"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10、视频采集卡（如有），支持高清视频；</w:t>
            </w:r>
          </w:p>
          <w:p w14:paraId="15C256C3"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11、预装符合吉林省收费系统软件系统的正版操作系统软件；</w:t>
            </w:r>
          </w:p>
          <w:p w14:paraId="5B874211" w14:textId="77777777" w:rsidR="004D1C14" w:rsidRPr="004D1C14" w:rsidRDefault="004D1C14" w:rsidP="004D1C14">
            <w:pPr>
              <w:autoSpaceDE w:val="0"/>
              <w:autoSpaceDN w:val="0"/>
              <w:adjustRightInd w:val="0"/>
              <w:snapToGrid w:val="0"/>
              <w:ind w:firstLineChars="100" w:firstLine="210"/>
              <w:rPr>
                <w:rFonts w:ascii="宋体" w:eastAsia="宋体" w:hAnsi="宋体" w:cs="宋体"/>
                <w:b/>
                <w:bCs/>
                <w:kern w:val="0"/>
                <w:szCs w:val="21"/>
                <w:lang w:val="zh-CN" w:bidi="zh-CN"/>
              </w:rPr>
            </w:pPr>
            <w:r w:rsidRPr="004D1C14">
              <w:rPr>
                <w:rFonts w:ascii="宋体" w:eastAsia="宋体" w:hAnsi="宋体" w:cs="Times New Roman" w:hint="eastAsia"/>
                <w:szCs w:val="21"/>
              </w:rPr>
              <w:t>12、可采用满足同等功能、性能和使用要求的其他架构类型设备。</w:t>
            </w:r>
          </w:p>
        </w:tc>
      </w:tr>
      <w:bookmarkEnd w:id="6"/>
    </w:tbl>
    <w:p w14:paraId="7B84E189" w14:textId="3EF10F5E" w:rsidR="004D1C14" w:rsidRPr="004D1C14" w:rsidRDefault="004D1C14" w:rsidP="004D1C14">
      <w:pPr>
        <w:widowControl/>
        <w:snapToGrid w:val="0"/>
        <w:jc w:val="left"/>
        <w:rPr>
          <w:rFonts w:ascii="楷体" w:eastAsia="楷体" w:hAnsi="楷体" w:cs="Times New Roman"/>
          <w:sz w:val="24"/>
          <w:szCs w:val="24"/>
        </w:rPr>
      </w:pPr>
    </w:p>
    <w:p w14:paraId="33CD4B44" w14:textId="77777777" w:rsidR="004D1C14" w:rsidRPr="004D1C14" w:rsidRDefault="004D1C14" w:rsidP="004D1C14">
      <w:pPr>
        <w:widowControl/>
        <w:snapToGrid w:val="0"/>
        <w:jc w:val="left"/>
        <w:rPr>
          <w:rFonts w:ascii="黑体" w:eastAsia="黑体" w:hAnsi="黑体" w:cs="宋体"/>
          <w:b/>
          <w:sz w:val="28"/>
          <w:szCs w:val="28"/>
          <w:lang w:val="zh-CN"/>
        </w:rPr>
      </w:pPr>
      <w:r w:rsidRPr="004D1C14">
        <w:rPr>
          <w:rFonts w:ascii="黑体" w:eastAsia="黑体" w:hAnsi="黑体" w:cs="宋体" w:hint="eastAsia"/>
          <w:b/>
          <w:sz w:val="28"/>
          <w:szCs w:val="28"/>
          <w:lang w:val="zh-CN"/>
        </w:rPr>
        <w:t>0</w:t>
      </w:r>
      <w:r w:rsidRPr="004D1C14">
        <w:rPr>
          <w:rFonts w:ascii="黑体" w:eastAsia="黑体" w:hAnsi="黑体" w:cs="宋体"/>
          <w:b/>
          <w:sz w:val="28"/>
          <w:szCs w:val="28"/>
          <w:lang w:val="zh-CN"/>
        </w:rPr>
        <w:t>2</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65CD4B57" w14:textId="77777777" w:rsidR="004D1C14" w:rsidRPr="004D1C14" w:rsidRDefault="004D1C14" w:rsidP="004D1C14">
      <w:pPr>
        <w:snapToGrid w:val="0"/>
        <w:jc w:val="center"/>
        <w:rPr>
          <w:rFonts w:ascii="黑体" w:eastAsia="黑体" w:hAnsi="黑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607" w:type="dxa"/>
        <w:tblInd w:w="27" w:type="dxa"/>
        <w:tblLayout w:type="fixed"/>
        <w:tblCellMar>
          <w:left w:w="14" w:type="dxa"/>
          <w:right w:w="14" w:type="dxa"/>
        </w:tblCellMar>
        <w:tblLook w:val="04A0" w:firstRow="1" w:lastRow="0" w:firstColumn="1" w:lastColumn="0" w:noHBand="0" w:noVBand="1"/>
      </w:tblPr>
      <w:tblGrid>
        <w:gridCol w:w="557"/>
        <w:gridCol w:w="1557"/>
        <w:gridCol w:w="7493"/>
      </w:tblGrid>
      <w:tr w:rsidR="004D1C14" w:rsidRPr="004D1C14" w14:paraId="1F7710C8" w14:textId="77777777" w:rsidTr="004D1C14">
        <w:trPr>
          <w:cantSplit/>
          <w:trHeight w:val="567"/>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FD02811"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3F9DD763"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255CC82F" w14:textId="77777777" w:rsidR="004D1C14" w:rsidRPr="004D1C14" w:rsidRDefault="004D1C14" w:rsidP="004D1C14">
            <w:pPr>
              <w:adjustRightInd w:val="0"/>
              <w:snapToGrid w:val="0"/>
              <w:ind w:firstLineChars="100" w:firstLine="211"/>
              <w:jc w:val="center"/>
              <w:rPr>
                <w:rFonts w:ascii="宋体" w:eastAsia="宋体" w:hAnsi="宋体" w:cs="Times New Roman"/>
                <w:b/>
                <w:bCs/>
                <w:szCs w:val="21"/>
              </w:rPr>
            </w:pPr>
            <w:r w:rsidRPr="004D1C14">
              <w:rPr>
                <w:rFonts w:ascii="宋体" w:eastAsia="宋体" w:hAnsi="宋体" w:cs="Times New Roman" w:hint="eastAsia"/>
                <w:b/>
                <w:szCs w:val="21"/>
              </w:rPr>
              <w:t>参考技术性能指标最低要求</w:t>
            </w:r>
          </w:p>
        </w:tc>
      </w:tr>
      <w:tr w:rsidR="004D1C14" w:rsidRPr="004D1C14" w14:paraId="6B4350AB"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5CB8BB8" w14:textId="77777777" w:rsidR="004D1C14" w:rsidRPr="004D1C14" w:rsidRDefault="004D1C14" w:rsidP="004D1C14">
            <w:pPr>
              <w:numPr>
                <w:ilvl w:val="0"/>
                <w:numId w:val="5"/>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5CBBDB1F"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ETC路侧设备（含相控阵天线RSU及控制器）</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2DD226D4"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1、路测单元（RSU）符合《电子收费专用短程通信》（GB/T20851.1-2007~GB/T20851.5-2007）等相关国家标准；</w:t>
            </w:r>
          </w:p>
          <w:p w14:paraId="72286270"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2、支持以太网通信方式；</w:t>
            </w:r>
          </w:p>
          <w:p w14:paraId="12555136"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3、支持远程控制功能，具备远程在线程序升级功能；</w:t>
            </w:r>
          </w:p>
          <w:p w14:paraId="6E193518"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支持设备自检功能，可精确诊断设备内部主要部件的运行情况；</w:t>
            </w:r>
          </w:p>
          <w:p w14:paraId="5816C790"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4、支持与多个OBU并发通信，天线发射功率（</w:t>
            </w:r>
            <w:proofErr w:type="spellStart"/>
            <w:r w:rsidRPr="004D1C14">
              <w:rPr>
                <w:rFonts w:ascii="宋体" w:eastAsia="宋体" w:hAnsi="宋体" w:cs="Times New Roman" w:hint="eastAsia"/>
                <w:szCs w:val="21"/>
              </w:rPr>
              <w:t>e.i.r.p</w:t>
            </w:r>
            <w:proofErr w:type="spellEnd"/>
            <w:r w:rsidRPr="004D1C14">
              <w:rPr>
                <w:rFonts w:ascii="宋体" w:eastAsia="宋体" w:hAnsi="宋体" w:cs="Times New Roman" w:hint="eastAsia"/>
                <w:szCs w:val="21"/>
              </w:rPr>
              <w:t>）≤±33dBm；</w:t>
            </w:r>
          </w:p>
          <w:p w14:paraId="7CF2C43D"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5、免维护寿命应不低于70000小时；</w:t>
            </w:r>
          </w:p>
          <w:p w14:paraId="085F4BB4"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6、工作环境温度：-40℃～+70℃；</w:t>
            </w:r>
          </w:p>
          <w:p w14:paraId="4AE7EF76" w14:textId="77777777" w:rsidR="004D1C14" w:rsidRPr="004D1C14" w:rsidRDefault="004D1C14" w:rsidP="004D1C14">
            <w:pPr>
              <w:autoSpaceDE w:val="0"/>
              <w:autoSpaceDN w:val="0"/>
              <w:adjustRightInd w:val="0"/>
              <w:snapToGrid w:val="0"/>
              <w:ind w:firstLineChars="100" w:firstLine="210"/>
              <w:rPr>
                <w:rFonts w:ascii="宋体" w:eastAsia="宋体" w:hAnsi="宋体" w:cs="宋体"/>
                <w:b/>
                <w:bCs/>
                <w:kern w:val="0"/>
                <w:szCs w:val="21"/>
                <w:lang w:val="zh-CN" w:bidi="zh-CN"/>
              </w:rPr>
            </w:pPr>
            <w:r w:rsidRPr="004D1C14">
              <w:rPr>
                <w:rFonts w:ascii="宋体" w:eastAsia="宋体" w:hAnsi="宋体" w:cs="Times New Roman" w:hint="eastAsia"/>
                <w:szCs w:val="21"/>
              </w:rPr>
              <w:t>7、应提供必要的防雷击措施和浪涌电流吸收装置；RSU天线和控制器均采用三级防雷防静电技术，可耐4kV雷击浪涌、8kV静电干扰，保证设备抗电磁干扰能力。</w:t>
            </w:r>
          </w:p>
        </w:tc>
      </w:tr>
    </w:tbl>
    <w:p w14:paraId="107A92A8" w14:textId="77777777" w:rsidR="004D1C14" w:rsidRPr="004D1C14" w:rsidRDefault="004D1C14" w:rsidP="004D1C14">
      <w:pPr>
        <w:snapToGrid w:val="0"/>
        <w:ind w:firstLineChars="200" w:firstLine="480"/>
        <w:rPr>
          <w:rFonts w:ascii="楷体" w:eastAsia="楷体" w:hAnsi="楷体" w:cs="Times New Roman"/>
          <w:sz w:val="24"/>
          <w:szCs w:val="24"/>
        </w:rPr>
      </w:pPr>
    </w:p>
    <w:p w14:paraId="4958E51D" w14:textId="40E74EE8" w:rsidR="004D1C14" w:rsidRPr="004D1C14" w:rsidRDefault="004D1C14" w:rsidP="004D1C14">
      <w:pPr>
        <w:widowControl/>
        <w:snapToGrid w:val="0"/>
        <w:jc w:val="left"/>
        <w:rPr>
          <w:rFonts w:ascii="楷体" w:eastAsia="楷体" w:hAnsi="楷体" w:cs="Times New Roman"/>
          <w:sz w:val="24"/>
          <w:szCs w:val="24"/>
        </w:rPr>
      </w:pPr>
    </w:p>
    <w:p w14:paraId="725A5835" w14:textId="77777777" w:rsidR="004D1C14" w:rsidRPr="004D1C14" w:rsidRDefault="004D1C14" w:rsidP="004D1C14">
      <w:pPr>
        <w:widowControl/>
        <w:snapToGrid w:val="0"/>
        <w:jc w:val="left"/>
        <w:rPr>
          <w:rFonts w:ascii="黑体" w:eastAsia="黑体" w:hAnsi="黑体" w:cs="宋体"/>
          <w:b/>
          <w:sz w:val="28"/>
          <w:szCs w:val="28"/>
          <w:lang w:val="zh-CN"/>
        </w:rPr>
      </w:pPr>
      <w:r w:rsidRPr="004D1C14">
        <w:rPr>
          <w:rFonts w:ascii="黑体" w:eastAsia="黑体" w:hAnsi="黑体" w:cs="宋体" w:hint="eastAsia"/>
          <w:b/>
          <w:sz w:val="28"/>
          <w:szCs w:val="28"/>
          <w:lang w:val="zh-CN"/>
        </w:rPr>
        <w:t>0</w:t>
      </w:r>
      <w:r w:rsidRPr="004D1C14">
        <w:rPr>
          <w:rFonts w:ascii="黑体" w:eastAsia="黑体" w:hAnsi="黑体" w:cs="宋体"/>
          <w:b/>
          <w:sz w:val="28"/>
          <w:szCs w:val="28"/>
          <w:lang w:val="zh-CN"/>
        </w:rPr>
        <w:t>3</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0EF6DED2" w14:textId="77777777" w:rsidR="004D1C14" w:rsidRPr="004D1C14" w:rsidRDefault="004D1C14" w:rsidP="004D1C14">
      <w:pPr>
        <w:snapToGrid w:val="0"/>
        <w:jc w:val="center"/>
        <w:rPr>
          <w:rFonts w:ascii="黑体" w:eastAsia="黑体" w:hAnsi="黑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607" w:type="dxa"/>
        <w:tblInd w:w="27" w:type="dxa"/>
        <w:tblLayout w:type="fixed"/>
        <w:tblCellMar>
          <w:left w:w="14" w:type="dxa"/>
          <w:right w:w="14" w:type="dxa"/>
        </w:tblCellMar>
        <w:tblLook w:val="04A0" w:firstRow="1" w:lastRow="0" w:firstColumn="1" w:lastColumn="0" w:noHBand="0" w:noVBand="1"/>
      </w:tblPr>
      <w:tblGrid>
        <w:gridCol w:w="557"/>
        <w:gridCol w:w="1557"/>
        <w:gridCol w:w="7493"/>
      </w:tblGrid>
      <w:tr w:rsidR="004D1C14" w:rsidRPr="004D1C14" w14:paraId="161F4415" w14:textId="77777777" w:rsidTr="004D1C14">
        <w:trPr>
          <w:cantSplit/>
          <w:trHeight w:val="567"/>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FCED19E"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2C4C5E23"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08C41FFD"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参考技术性能指标最低要求</w:t>
            </w:r>
          </w:p>
        </w:tc>
      </w:tr>
      <w:tr w:rsidR="004D1C14" w:rsidRPr="004D1C14" w14:paraId="417458F2"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88384A3" w14:textId="77777777" w:rsidR="004D1C14" w:rsidRPr="004D1C14" w:rsidRDefault="004D1C14" w:rsidP="004D1C14">
            <w:pPr>
              <w:numPr>
                <w:ilvl w:val="0"/>
                <w:numId w:val="6"/>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8844517"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车道摄像及抓拍一体机</w:t>
            </w:r>
          </w:p>
        </w:tc>
        <w:tc>
          <w:tcPr>
            <w:tcW w:w="7493" w:type="dxa"/>
            <w:tcBorders>
              <w:top w:val="single" w:sz="4" w:space="0" w:color="auto"/>
              <w:left w:val="single" w:sz="4" w:space="0" w:color="auto"/>
              <w:bottom w:val="single" w:sz="4" w:space="0" w:color="auto"/>
              <w:right w:val="single" w:sz="4" w:space="0" w:color="auto"/>
            </w:tcBorders>
            <w:shd w:val="clear" w:color="000000" w:fill="FFFFFF"/>
          </w:tcPr>
          <w:p w14:paraId="055B886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高清智能一体机，集合车牌识别器、高清摄像机功能于一体，可实现图像采集、车辆检测、车牌识别、视频监控等功能。</w:t>
            </w:r>
          </w:p>
          <w:p w14:paraId="238DAE38"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车牌识别器功能应能记录通行车辆通过的全景特征图片和号牌图片，全景图片包含机动车前部（或后部）全貌、号牌、颜色、车型等信息，抓拍图片还应叠加车辆经过的收费站/收费车道、抓拍时间、车牌号、车型、行驶方向等信息。</w:t>
            </w:r>
          </w:p>
          <w:p w14:paraId="0D614E0C"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自动、准确识别通行车辆车牌颜色和车牌号码（可识别汉字、字母、数字、颜色等信息）。</w:t>
            </w:r>
          </w:p>
          <w:p w14:paraId="68FBE292"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分辨率应不小于300万像素。</w:t>
            </w:r>
          </w:p>
          <w:p w14:paraId="222FEE6E"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支持JPEG、H.264、H.265 等多码流输出。</w:t>
            </w:r>
          </w:p>
          <w:p w14:paraId="23DAC150"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支持RJ-45 10M/100M/1000M 自适应以太网接口或千兆光纤接口，以太网口数量不少于2 个。</w:t>
            </w:r>
          </w:p>
          <w:p w14:paraId="1A36DB4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支持在线升级，动态加载，期间业务不中断。</w:t>
            </w:r>
          </w:p>
          <w:p w14:paraId="4586012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支持直流或交流电源输入、支持交流电源同步。</w:t>
            </w:r>
          </w:p>
          <w:p w14:paraId="40E68238"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设备提供多个I/O触发输入，支持I/O和RS485触发抓拍。</w:t>
            </w:r>
          </w:p>
          <w:p w14:paraId="661E6466"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设备提供RS232 或RS485 接口。</w:t>
            </w:r>
          </w:p>
          <w:p w14:paraId="36FE96E4"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设备提供内置eMMC芯片或外置SD/TF卡接口，最大支持64GB。</w:t>
            </w:r>
          </w:p>
          <w:p w14:paraId="5FEF69A4"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防护等级IP65。</w:t>
            </w:r>
          </w:p>
          <w:p w14:paraId="7EB496FC"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补光灯属于辅助抓拍设备，在夜间或外界条件光线不足时配合抓拍设备使用，参数要求如下表所示：</w:t>
            </w:r>
          </w:p>
          <w:p w14:paraId="71113CA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防护等级IP65。</w:t>
            </w:r>
          </w:p>
          <w:p w14:paraId="3D50BD4B"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使用寿命≥50000h。</w:t>
            </w:r>
          </w:p>
          <w:p w14:paraId="5D7AAC0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夜间补光采用LED 补光装置时色温要求为3000K～5500K，不影响驾驶员行车安全。</w:t>
            </w:r>
          </w:p>
          <w:p w14:paraId="4625805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车牌图像识别准确率：在车速为0～220km/h 的条件下，≥95%（分子为正确识别车牌的数量，分母为实际通行车辆总数，车牌缺失、污损、遮挡等人眼不能准确识别除外）。</w:t>
            </w:r>
          </w:p>
          <w:p w14:paraId="27B8C174"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工作温度：-40℃～+85℃。</w:t>
            </w:r>
          </w:p>
          <w:p w14:paraId="75E235A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车道摄像功能应满足分辨率不小于1920×1080 @ H.264/M-JPEG。图像帧速不小于25fps（50hz）。最低照度：彩色状态：0.1Lux，F1.2；黑白状态：0.01Lux，F1.2。镜头：F1.2，f=3.0～9.0mm。支持网络协议：TCP/IP、HTTP、ICMP、DHCP、UDP、SMTP、RTP、RTSP、SNMP、ARP等。电源：POE/12V DC/24V AC。IP66防护等级，内置加热器及除霜装置。含光纤接口、BNC接口及RJ45网络接口。</w:t>
            </w:r>
          </w:p>
          <w:p w14:paraId="023283C6"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能够实现监控网、收费网物理层双网隔离。</w:t>
            </w:r>
          </w:p>
          <w:p w14:paraId="66F5E685" w14:textId="77777777" w:rsidR="004D1C14" w:rsidRPr="004D1C14" w:rsidRDefault="004D1C14" w:rsidP="004D1C14">
            <w:pPr>
              <w:autoSpaceDE w:val="0"/>
              <w:autoSpaceDN w:val="0"/>
              <w:adjustRightInd w:val="0"/>
              <w:snapToGrid w:val="0"/>
              <w:ind w:firstLineChars="100" w:firstLine="181"/>
              <w:rPr>
                <w:rFonts w:ascii="宋体" w:eastAsia="宋体" w:hAnsi="宋体" w:cs="宋体"/>
                <w:b/>
                <w:bCs/>
                <w:kern w:val="0"/>
                <w:sz w:val="18"/>
                <w:szCs w:val="18"/>
                <w:lang w:val="zh-CN" w:bidi="zh-CN"/>
              </w:rPr>
            </w:pPr>
            <w:r w:rsidRPr="004D1C14">
              <w:rPr>
                <w:rFonts w:ascii="宋体" w:eastAsia="宋体" w:hAnsi="宋体" w:cs="宋体" w:hint="eastAsia"/>
                <w:b/>
                <w:bCs/>
                <w:kern w:val="0"/>
                <w:sz w:val="18"/>
                <w:szCs w:val="18"/>
                <w:lang w:val="zh-CN" w:bidi="zh-CN"/>
              </w:rPr>
              <w:t>含摄像机、闪光灯、处理单元、软件、线缆、视频防雷设备、电源防雷设备、数据防雷设备等整套一体化车道摄像及抓拍。</w:t>
            </w:r>
          </w:p>
        </w:tc>
      </w:tr>
      <w:tr w:rsidR="004D1C14" w:rsidRPr="004D1C14" w14:paraId="7DAED958"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7850AD1" w14:textId="77777777" w:rsidR="004D1C14" w:rsidRPr="004D1C14" w:rsidRDefault="004D1C14" w:rsidP="004D1C14">
            <w:pPr>
              <w:numPr>
                <w:ilvl w:val="0"/>
                <w:numId w:val="6"/>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35FCB1AB" w14:textId="77777777" w:rsidR="004D1C14" w:rsidRPr="004D1C14" w:rsidRDefault="004D1C14" w:rsidP="004D1C14">
            <w:pPr>
              <w:adjustRightInd w:val="0"/>
              <w:snapToGrid w:val="0"/>
              <w:rPr>
                <w:rFonts w:ascii="宋体" w:eastAsia="宋体" w:hAnsi="宋体" w:cs="Times New Roman"/>
                <w:szCs w:val="21"/>
              </w:rPr>
            </w:pPr>
            <w:r w:rsidRPr="004D1C14">
              <w:rPr>
                <w:rFonts w:ascii="宋体" w:eastAsia="宋体" w:hAnsi="宋体" w:cs="Times New Roman" w:hint="eastAsia"/>
                <w:sz w:val="24"/>
                <w:szCs w:val="24"/>
              </w:rPr>
              <w:t>亭内摄像机</w:t>
            </w:r>
          </w:p>
        </w:tc>
        <w:tc>
          <w:tcPr>
            <w:tcW w:w="7493" w:type="dxa"/>
            <w:tcBorders>
              <w:top w:val="single" w:sz="4" w:space="0" w:color="auto"/>
              <w:left w:val="single" w:sz="4" w:space="0" w:color="auto"/>
              <w:bottom w:val="single" w:sz="4" w:space="0" w:color="auto"/>
              <w:right w:val="single" w:sz="4" w:space="0" w:color="auto"/>
            </w:tcBorders>
            <w:shd w:val="clear" w:color="000000" w:fill="FFFFFF"/>
          </w:tcPr>
          <w:p w14:paraId="3A38BA5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1/2.7""CMOS，200万像素高清网络半球摄像机。</w:t>
            </w:r>
          </w:p>
          <w:p w14:paraId="2D52B2C4"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分辨率不小于1920×1080 @ H.264/M-JPEG。</w:t>
            </w:r>
          </w:p>
          <w:p w14:paraId="58A0E464"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图像帧速不小于25fps（50hz）。</w:t>
            </w:r>
          </w:p>
          <w:p w14:paraId="2F66AC5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最低照度，彩色状态：0.1Lux，F1.2；黑白状态：0.01Lux，F1.2。</w:t>
            </w:r>
          </w:p>
          <w:p w14:paraId="10EE618C"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镜头：F1.2，f=3.0～9.0mm。</w:t>
            </w:r>
          </w:p>
          <w:p w14:paraId="2420E678"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支持网络协议：TCP/IP、HTTP、ICMP、DHCP、UDP、SMTP、RTP、RTSP、SNMP、ARP等。</w:t>
            </w:r>
          </w:p>
          <w:p w14:paraId="1D363C5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电源：POE/12V DC/24V AC。</w:t>
            </w:r>
          </w:p>
          <w:p w14:paraId="44B4EE8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sz w:val="18"/>
                <w:szCs w:val="18"/>
              </w:rPr>
              <w:t>IP66防护等级，内置加热器及除霜装置。</w:t>
            </w:r>
          </w:p>
          <w:p w14:paraId="6C2EA719"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含</w:t>
            </w:r>
            <w:r w:rsidRPr="004D1C14">
              <w:rPr>
                <w:rFonts w:ascii="宋体" w:eastAsia="宋体" w:hAnsi="宋体" w:cs="Times New Roman"/>
                <w:sz w:val="18"/>
                <w:szCs w:val="18"/>
              </w:rPr>
              <w:t>BNC接口及RJ45网络接口。</w:t>
            </w:r>
          </w:p>
        </w:tc>
      </w:tr>
      <w:tr w:rsidR="004D1C14" w:rsidRPr="004D1C14" w14:paraId="1D7550D5"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7D4F13E" w14:textId="77777777" w:rsidR="004D1C14" w:rsidRPr="004D1C14" w:rsidRDefault="004D1C14" w:rsidP="004D1C14">
            <w:pPr>
              <w:numPr>
                <w:ilvl w:val="0"/>
                <w:numId w:val="6"/>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F379D21"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道路云台摄像机</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1393F161"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200万星光级云台摄像机；</w:t>
            </w:r>
          </w:p>
          <w:p w14:paraId="2D9FC96A"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不小于1/2.8"Progressive Scan CMOS；</w:t>
            </w:r>
          </w:p>
          <w:p w14:paraId="65FEC3A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视频输出支持1920×1080@60fps，1280×720@60fps，水平解像力不小于1100线；</w:t>
            </w:r>
          </w:p>
          <w:p w14:paraId="79A560FE"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支持H.264、H.265、MJPEG、MJPEG-4视频编码标准支持三码流同时输出；</w:t>
            </w:r>
          </w:p>
          <w:p w14:paraId="5886E35D"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信噪比≥57dB，网络延时实验不大于120ms；</w:t>
            </w:r>
          </w:p>
          <w:p w14:paraId="49CD40A0"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宽动态范围：105dB；</w:t>
            </w:r>
          </w:p>
          <w:p w14:paraId="62350BCC"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彩色最低照度：0.0001Lx，黑白0.0001lx；</w:t>
            </w:r>
          </w:p>
          <w:p w14:paraId="28126A80"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摄像头最小焦距5mm-6mm，不小于40倍光学自动变倍；</w:t>
            </w:r>
          </w:p>
          <w:p w14:paraId="658C7EB9"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支持星光级、自动聚焦、透露、3D定位、守望、掉电记忆、巡航、方位显示、定时任务、音频报警、智能雨刷、区域测光；</w:t>
            </w:r>
          </w:p>
          <w:p w14:paraId="59E67152"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支持水平手控速度不小于120°/s；</w:t>
            </w:r>
          </w:p>
          <w:p w14:paraId="78964920"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支持360°水平连续旋转，-40°～40°垂直旋转；</w:t>
            </w:r>
          </w:p>
          <w:p w14:paraId="388057D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2个报警输入/1个报警输出口，1个音频输入接口，1个音频输出接口，1个CVBS模拟视频输出；</w:t>
            </w:r>
          </w:p>
          <w:p w14:paraId="2EB7DA9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支持255个预置位，支持16条巡航扫描，支持7条以上的模拟路径设置；</w:t>
            </w:r>
          </w:p>
          <w:p w14:paraId="5E4A48E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支持云台优先级控制，可设置不同优先级；</w:t>
            </w:r>
          </w:p>
          <w:p w14:paraId="62DC4CB1"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支持AC24V电源输入接口，满足长时间在±35%电压波动电网中工作；</w:t>
            </w:r>
          </w:p>
          <w:p w14:paraId="3876FCAA"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最大功率不大于110W；</w:t>
            </w:r>
          </w:p>
          <w:p w14:paraId="47C7E1D8"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支持-40～70℃温度环境工作；</w:t>
            </w:r>
          </w:p>
          <w:p w14:paraId="5A2FFE5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支持GB28181协议；</w:t>
            </w:r>
          </w:p>
          <w:p w14:paraId="7E3E79B8"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w:t>
            </w:r>
            <w:proofErr w:type="spellStart"/>
            <w:r w:rsidRPr="004D1C14">
              <w:rPr>
                <w:rFonts w:ascii="宋体" w:eastAsia="宋体" w:hAnsi="宋体" w:cs="Times New Roman" w:hint="eastAsia"/>
                <w:sz w:val="18"/>
                <w:szCs w:val="18"/>
              </w:rPr>
              <w:t>Onvif</w:t>
            </w:r>
            <w:proofErr w:type="spellEnd"/>
            <w:r w:rsidRPr="004D1C14">
              <w:rPr>
                <w:rFonts w:ascii="宋体" w:eastAsia="宋体" w:hAnsi="宋体" w:cs="Times New Roman" w:hint="eastAsia"/>
                <w:sz w:val="18"/>
                <w:szCs w:val="18"/>
              </w:rPr>
              <w:t>协议；</w:t>
            </w:r>
          </w:p>
          <w:p w14:paraId="3DD087AC"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支持IP66防尘防水等级，网口防雷打到±6kV；</w:t>
            </w:r>
          </w:p>
          <w:p w14:paraId="03F1A6D5"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支持智能红外；</w:t>
            </w:r>
          </w:p>
          <w:p w14:paraId="6899E895"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在10%丢包网络环境下图像效果良好；</w:t>
            </w:r>
          </w:p>
          <w:p w14:paraId="737C8699"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越界检测/区域入侵/进入区域/离开区域/徘徊检测/人员聚集/快速移动/停车检测/物品遗留/物品搬移/人脸检测，当侦测到以上事件时可给出报警提示；</w:t>
            </w:r>
          </w:p>
          <w:p w14:paraId="0B44A00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支持DDNS功能，支持HTTPS访问，支持802.1x协议；</w:t>
            </w:r>
          </w:p>
          <w:p w14:paraId="62BD1851" w14:textId="77777777" w:rsidR="004D1C14" w:rsidRPr="004D1C14" w:rsidRDefault="004D1C14" w:rsidP="004D1C14">
            <w:pPr>
              <w:adjustRightInd w:val="0"/>
              <w:snapToGrid w:val="0"/>
              <w:ind w:firstLineChars="100" w:firstLine="180"/>
              <w:rPr>
                <w:rFonts w:ascii="宋体" w:eastAsia="宋体" w:hAnsi="宋体" w:cs="Times New Roman"/>
                <w:b/>
                <w:bCs/>
                <w:sz w:val="18"/>
                <w:szCs w:val="18"/>
              </w:rPr>
            </w:pPr>
            <w:r w:rsidRPr="004D1C14">
              <w:rPr>
                <w:rFonts w:ascii="宋体" w:eastAsia="宋体" w:hAnsi="宋体" w:cs="Times New Roman" w:hint="eastAsia"/>
                <w:sz w:val="18"/>
                <w:szCs w:val="18"/>
              </w:rPr>
              <w:t>支持basic、digest两种认证模式设置，支持IP地址过滤，支持关闭telnet端口、web弱密码校验、错误登陆抑制等安全访问机制。</w:t>
            </w:r>
          </w:p>
        </w:tc>
      </w:tr>
      <w:tr w:rsidR="004D1C14" w:rsidRPr="004D1C14" w14:paraId="3D821214"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8AAAFC1" w14:textId="77777777" w:rsidR="004D1C14" w:rsidRPr="004D1C14" w:rsidRDefault="004D1C14" w:rsidP="004D1C14">
            <w:pPr>
              <w:numPr>
                <w:ilvl w:val="0"/>
                <w:numId w:val="6"/>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072557AF" w14:textId="77777777" w:rsidR="004D1C14" w:rsidRPr="004D1C14" w:rsidRDefault="004D1C14" w:rsidP="004D1C14">
            <w:pPr>
              <w:adjustRightInd w:val="0"/>
              <w:snapToGrid w:val="0"/>
              <w:rPr>
                <w:rFonts w:ascii="宋体" w:eastAsia="宋体" w:hAnsi="宋体" w:cs="Times New Roman"/>
                <w:b/>
                <w:bCs/>
                <w:szCs w:val="21"/>
                <w:u w:val="wave"/>
              </w:rPr>
            </w:pPr>
            <w:r w:rsidRPr="004D1C14">
              <w:rPr>
                <w:rFonts w:ascii="宋体" w:eastAsia="宋体" w:hAnsi="宋体" w:cs="Times New Roman" w:hint="eastAsia"/>
                <w:szCs w:val="21"/>
              </w:rPr>
              <w:t>隧道定焦高清摄像机</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3EA17C83"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200万星光级1/1.8"CMOS超宽动态ICR日夜型枪型网络摄像机；</w:t>
            </w:r>
          </w:p>
          <w:p w14:paraId="5432804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传感器类型：1/1.8"Progressive Scan CMOS；</w:t>
            </w:r>
          </w:p>
          <w:p w14:paraId="307144EC"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最低照度：彩色0.00051x，黑白0.0001lx；</w:t>
            </w:r>
          </w:p>
          <w:p w14:paraId="046DCCA2"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快门：1/6～1/100000s；</w:t>
            </w:r>
          </w:p>
          <w:p w14:paraId="03500D7D"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宽动态范围：120dB；</w:t>
            </w:r>
          </w:p>
          <w:p w14:paraId="31223573"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视频压缩标准：H.265/H.264/MJPEG；</w:t>
            </w:r>
          </w:p>
          <w:p w14:paraId="086949BC"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帧率：1920×1080最大60帧/秒；</w:t>
            </w:r>
          </w:p>
          <w:p w14:paraId="4A3E6A51"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湿度小于95%（无凝结）；</w:t>
            </w:r>
          </w:p>
          <w:p w14:paraId="57818808"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电源供应：AC24V/DC12V/PoE（802.3af）；</w:t>
            </w:r>
          </w:p>
          <w:p w14:paraId="1F4C763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AC24V±35%范围内变化时，摄像机正常工作；</w:t>
            </w:r>
          </w:p>
          <w:p w14:paraId="53611279"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功耗：6.5W MAX（当ICR切换时，9.5W MAX）；</w:t>
            </w:r>
          </w:p>
          <w:p w14:paraId="4E0E7FA7"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信噪比≥60dB；</w:t>
            </w:r>
          </w:p>
          <w:p w14:paraId="1D43FF63"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支持宽动态自由设置；</w:t>
            </w:r>
          </w:p>
          <w:p w14:paraId="54A94B03"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支持三码流，并支持三码流同时采用60帧输出；</w:t>
            </w:r>
          </w:p>
          <w:p w14:paraId="7DAF87F4"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叠加的OSD可在屏幕中滚动显示，支持添加图片OSD。</w:t>
            </w:r>
          </w:p>
          <w:p w14:paraId="51FFA1FC"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镜头：自动光圈手动变焦红外镜头，焦距满足使用场景要求，CS接口，镜头光圈F1.5-DC自动光圈，水平视场角32.5°～8.4°。</w:t>
            </w:r>
          </w:p>
          <w:p w14:paraId="56F6349C"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护罩类型：室外护罩，支持风扇、加热；</w:t>
            </w:r>
          </w:p>
          <w:p w14:paraId="3E4D2C60"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供电：AC24V（DC12V内置）；</w:t>
            </w:r>
          </w:p>
          <w:p w14:paraId="31AC215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防护等级IP67；</w:t>
            </w:r>
          </w:p>
          <w:p w14:paraId="3387BE81"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支持温度：-40℃～+60℃，加热开：5℃±5℃，关：15℃±5℃（风扇同时运转），风扇开：45℃±5℃，关：35℃±5℃；</w:t>
            </w:r>
          </w:p>
          <w:p w14:paraId="79A421A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功耗：风扇4W，加热：50W；</w:t>
            </w:r>
          </w:p>
          <w:p w14:paraId="28AC8FEA" w14:textId="77777777" w:rsidR="004D1C14" w:rsidRPr="004D1C14" w:rsidRDefault="004D1C14" w:rsidP="004D1C14">
            <w:pPr>
              <w:adjustRightInd w:val="0"/>
              <w:snapToGrid w:val="0"/>
              <w:ind w:firstLineChars="100" w:firstLine="180"/>
              <w:rPr>
                <w:rFonts w:ascii="宋体" w:eastAsia="宋体" w:hAnsi="宋体" w:cs="Times New Roman"/>
                <w:b/>
                <w:bCs/>
                <w:sz w:val="18"/>
                <w:szCs w:val="18"/>
              </w:rPr>
            </w:pPr>
            <w:r w:rsidRPr="004D1C14">
              <w:rPr>
                <w:rFonts w:ascii="宋体" w:eastAsia="宋体" w:hAnsi="宋体" w:cs="Times New Roman" w:hint="eastAsia"/>
                <w:sz w:val="18"/>
                <w:szCs w:val="18"/>
              </w:rPr>
              <w:t>电源AC24V/3A。</w:t>
            </w:r>
          </w:p>
        </w:tc>
      </w:tr>
    </w:tbl>
    <w:p w14:paraId="41FC4D27" w14:textId="77777777" w:rsidR="004D1C14" w:rsidRPr="004D1C14" w:rsidRDefault="004D1C14" w:rsidP="004D1C14">
      <w:pPr>
        <w:snapToGrid w:val="0"/>
        <w:ind w:firstLineChars="200" w:firstLine="480"/>
        <w:rPr>
          <w:rFonts w:ascii="楷体" w:eastAsia="楷体" w:hAnsi="楷体" w:cs="Times New Roman"/>
          <w:sz w:val="24"/>
          <w:szCs w:val="24"/>
        </w:rPr>
      </w:pPr>
    </w:p>
    <w:p w14:paraId="07289A60" w14:textId="77777777" w:rsidR="004D1C14" w:rsidRPr="004D1C14" w:rsidRDefault="004D1C14" w:rsidP="004D1C14">
      <w:pPr>
        <w:widowControl/>
        <w:snapToGrid w:val="0"/>
        <w:jc w:val="left"/>
        <w:rPr>
          <w:rFonts w:ascii="楷体" w:eastAsia="楷体" w:hAnsi="楷体" w:cs="Times New Roman"/>
          <w:sz w:val="24"/>
          <w:szCs w:val="24"/>
        </w:rPr>
      </w:pPr>
      <w:r w:rsidRPr="004D1C14">
        <w:rPr>
          <w:rFonts w:ascii="楷体" w:eastAsia="楷体" w:hAnsi="楷体" w:cs="Times New Roman"/>
          <w:sz w:val="24"/>
          <w:szCs w:val="24"/>
        </w:rPr>
        <w:br w:type="page"/>
      </w:r>
    </w:p>
    <w:p w14:paraId="3BB71A1C" w14:textId="77777777" w:rsidR="004D1C14" w:rsidRPr="004D1C14" w:rsidRDefault="004D1C14" w:rsidP="004D1C14">
      <w:pPr>
        <w:widowControl/>
        <w:snapToGrid w:val="0"/>
        <w:jc w:val="left"/>
        <w:rPr>
          <w:rFonts w:ascii="黑体" w:eastAsia="黑体" w:hAnsi="黑体" w:cs="宋体"/>
          <w:b/>
          <w:sz w:val="28"/>
          <w:szCs w:val="28"/>
          <w:lang w:val="zh-CN"/>
        </w:rPr>
      </w:pPr>
      <w:r w:rsidRPr="004D1C14">
        <w:rPr>
          <w:rFonts w:ascii="黑体" w:eastAsia="黑体" w:hAnsi="黑体" w:cs="宋体" w:hint="eastAsia"/>
          <w:b/>
          <w:sz w:val="28"/>
          <w:szCs w:val="28"/>
          <w:lang w:val="zh-CN"/>
        </w:rPr>
        <w:lastRenderedPageBreak/>
        <w:t>0</w:t>
      </w:r>
      <w:r w:rsidRPr="004D1C14">
        <w:rPr>
          <w:rFonts w:ascii="黑体" w:eastAsia="黑体" w:hAnsi="黑体" w:cs="宋体"/>
          <w:b/>
          <w:sz w:val="28"/>
          <w:szCs w:val="28"/>
          <w:lang w:val="zh-CN"/>
        </w:rPr>
        <w:t>4</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7A7177B7" w14:textId="77777777" w:rsidR="004D1C14" w:rsidRPr="004D1C14" w:rsidRDefault="004D1C14" w:rsidP="004D1C14">
      <w:pPr>
        <w:snapToGrid w:val="0"/>
        <w:jc w:val="center"/>
        <w:rPr>
          <w:rFonts w:ascii="黑体" w:eastAsia="黑体" w:hAnsi="黑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607" w:type="dxa"/>
        <w:tblInd w:w="27" w:type="dxa"/>
        <w:tblLayout w:type="fixed"/>
        <w:tblCellMar>
          <w:left w:w="14" w:type="dxa"/>
          <w:right w:w="14" w:type="dxa"/>
        </w:tblCellMar>
        <w:tblLook w:val="04A0" w:firstRow="1" w:lastRow="0" w:firstColumn="1" w:lastColumn="0" w:noHBand="0" w:noVBand="1"/>
      </w:tblPr>
      <w:tblGrid>
        <w:gridCol w:w="557"/>
        <w:gridCol w:w="1557"/>
        <w:gridCol w:w="7493"/>
      </w:tblGrid>
      <w:tr w:rsidR="004D1C14" w:rsidRPr="004D1C14" w14:paraId="5DEDF02A" w14:textId="77777777" w:rsidTr="004D1C14">
        <w:trPr>
          <w:cantSplit/>
          <w:trHeight w:val="567"/>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6E0A959F"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271AF591"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504B7871" w14:textId="77777777" w:rsidR="004D1C14" w:rsidRPr="004D1C14" w:rsidRDefault="004D1C14" w:rsidP="004D1C14">
            <w:pPr>
              <w:adjustRightInd w:val="0"/>
              <w:snapToGrid w:val="0"/>
              <w:ind w:firstLineChars="100" w:firstLine="211"/>
              <w:jc w:val="center"/>
              <w:rPr>
                <w:rFonts w:ascii="宋体" w:eastAsia="宋体" w:hAnsi="宋体" w:cs="Times New Roman"/>
                <w:b/>
                <w:bCs/>
                <w:szCs w:val="21"/>
              </w:rPr>
            </w:pPr>
            <w:r w:rsidRPr="004D1C14">
              <w:rPr>
                <w:rFonts w:ascii="宋体" w:eastAsia="宋体" w:hAnsi="宋体" w:cs="Times New Roman" w:hint="eastAsia"/>
                <w:b/>
                <w:szCs w:val="21"/>
              </w:rPr>
              <w:t>参考技术性能指标最低要求</w:t>
            </w:r>
          </w:p>
        </w:tc>
      </w:tr>
      <w:tr w:rsidR="004D1C14" w:rsidRPr="004D1C14" w14:paraId="10ACEC2E"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C235267" w14:textId="77777777" w:rsidR="004D1C14" w:rsidRPr="004D1C14" w:rsidRDefault="004D1C14" w:rsidP="004D1C14">
            <w:pPr>
              <w:numPr>
                <w:ilvl w:val="0"/>
                <w:numId w:val="7"/>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421CF669"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自动栏杆机（双杆）</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6C25EE70"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打开时间≤0.35S（可调），关闭时间≤0.35S（可调）；</w:t>
            </w:r>
          </w:p>
          <w:p w14:paraId="063925CB"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采用泡沫碳素栏杆臂，栏杆长度：1.8m（ETC车道）；</w:t>
            </w:r>
          </w:p>
          <w:p w14:paraId="596B8DD3"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寿命：≥5×106次循环；</w:t>
            </w:r>
          </w:p>
          <w:p w14:paraId="0E2CB085"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MTTR：＜4小时；</w:t>
            </w:r>
          </w:p>
          <w:p w14:paraId="637CA220"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MTBF：＞60000小时；</w:t>
            </w:r>
          </w:p>
          <w:p w14:paraId="3F648E3A"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工作电压：AC220V±10%；</w:t>
            </w:r>
          </w:p>
          <w:p w14:paraId="0FB1106E"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环境温度：-40℃～60℃；</w:t>
            </w:r>
          </w:p>
          <w:p w14:paraId="16CFF8C5"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环境湿度：10％～95％R.H；</w:t>
            </w:r>
          </w:p>
          <w:p w14:paraId="438768DF"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断电状态：可人工抬起；</w:t>
            </w:r>
          </w:p>
          <w:p w14:paraId="3CCEFB8B"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防撞装置：水平转动打开；</w:t>
            </w:r>
          </w:p>
          <w:p w14:paraId="6B94D6BD" w14:textId="77777777" w:rsidR="004D1C14" w:rsidRPr="004D1C14" w:rsidRDefault="004D1C14" w:rsidP="004D1C14">
            <w:pPr>
              <w:autoSpaceDE w:val="0"/>
              <w:autoSpaceDN w:val="0"/>
              <w:adjustRightInd w:val="0"/>
              <w:snapToGrid w:val="0"/>
              <w:ind w:firstLineChars="100" w:firstLine="210"/>
              <w:rPr>
                <w:rFonts w:ascii="宋体" w:eastAsia="宋体" w:hAnsi="宋体" w:cs="宋体"/>
                <w:b/>
                <w:bCs/>
                <w:kern w:val="0"/>
                <w:szCs w:val="21"/>
                <w:lang w:val="zh-CN" w:bidi="zh-CN"/>
              </w:rPr>
            </w:pPr>
            <w:r w:rsidRPr="004D1C14">
              <w:rPr>
                <w:rFonts w:ascii="宋体" w:eastAsia="宋体" w:hAnsi="宋体" w:cs="Times New Roman" w:hint="eastAsia"/>
                <w:szCs w:val="21"/>
              </w:rPr>
              <w:t>具有防砸车功能。</w:t>
            </w:r>
          </w:p>
        </w:tc>
      </w:tr>
      <w:tr w:rsidR="004D1C14" w:rsidRPr="004D1C14" w14:paraId="20E1D63D"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4ED6738" w14:textId="77777777" w:rsidR="004D1C14" w:rsidRPr="004D1C14" w:rsidRDefault="004D1C14" w:rsidP="004D1C14">
            <w:pPr>
              <w:numPr>
                <w:ilvl w:val="0"/>
                <w:numId w:val="7"/>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329DA643"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自动栏杆机（单杆）</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650026CA"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打开时间≤0.68S（可调），关闭时间≤0.68S（可调）；</w:t>
            </w:r>
          </w:p>
          <w:p w14:paraId="51DCF40A"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采用泡沫碳素栏杆臂，栏杆长度：3.2m（ETC车道）；</w:t>
            </w:r>
          </w:p>
          <w:p w14:paraId="248B099D"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寿命：≥5×106次循环；</w:t>
            </w:r>
          </w:p>
          <w:p w14:paraId="04FC87AF"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MTTR：＜4小时；</w:t>
            </w:r>
          </w:p>
          <w:p w14:paraId="66EDE82A"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MTBF：＞60000小时；</w:t>
            </w:r>
          </w:p>
          <w:p w14:paraId="4FF077D0"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工作电压：AC220V±10%；</w:t>
            </w:r>
          </w:p>
          <w:p w14:paraId="57313742"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环境温度：-40℃～60℃；</w:t>
            </w:r>
          </w:p>
          <w:p w14:paraId="1621D0DF"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环境湿度：10％～95％R.H；</w:t>
            </w:r>
          </w:p>
          <w:p w14:paraId="2A56B216"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断电状态：可人工抬起；</w:t>
            </w:r>
          </w:p>
          <w:p w14:paraId="5AFABCDF"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防撞装置：水平转动打开；</w:t>
            </w:r>
          </w:p>
          <w:p w14:paraId="602CB0C5" w14:textId="77777777" w:rsidR="004D1C14" w:rsidRPr="004D1C14" w:rsidRDefault="004D1C14" w:rsidP="004D1C14">
            <w:pPr>
              <w:adjustRightInd w:val="0"/>
              <w:snapToGrid w:val="0"/>
              <w:ind w:firstLineChars="100" w:firstLine="210"/>
              <w:rPr>
                <w:rFonts w:ascii="宋体" w:eastAsia="宋体" w:hAnsi="宋体" w:cs="Times New Roman"/>
                <w:b/>
                <w:bCs/>
                <w:szCs w:val="21"/>
              </w:rPr>
            </w:pPr>
            <w:r w:rsidRPr="004D1C14">
              <w:rPr>
                <w:rFonts w:ascii="宋体" w:eastAsia="宋体" w:hAnsi="宋体" w:cs="Times New Roman" w:hint="eastAsia"/>
                <w:szCs w:val="21"/>
              </w:rPr>
              <w:t>具有防砸车功能。</w:t>
            </w:r>
          </w:p>
        </w:tc>
      </w:tr>
    </w:tbl>
    <w:p w14:paraId="12E4A9DF" w14:textId="77777777" w:rsidR="004D1C14" w:rsidRPr="004D1C14" w:rsidRDefault="004D1C14" w:rsidP="004D1C14">
      <w:pPr>
        <w:snapToGrid w:val="0"/>
        <w:ind w:firstLineChars="200" w:firstLine="480"/>
        <w:rPr>
          <w:rFonts w:ascii="楷体" w:eastAsia="楷体" w:hAnsi="楷体" w:cs="Times New Roman"/>
          <w:sz w:val="24"/>
          <w:szCs w:val="24"/>
        </w:rPr>
      </w:pPr>
    </w:p>
    <w:p w14:paraId="69557CF7" w14:textId="04CAF83F" w:rsidR="004D1C14" w:rsidRPr="004D1C14" w:rsidRDefault="004D1C14" w:rsidP="004D1C14">
      <w:pPr>
        <w:widowControl/>
        <w:snapToGrid w:val="0"/>
        <w:jc w:val="left"/>
        <w:rPr>
          <w:rFonts w:ascii="楷体" w:eastAsia="楷体" w:hAnsi="楷体" w:cs="Times New Roman"/>
          <w:sz w:val="24"/>
          <w:szCs w:val="24"/>
        </w:rPr>
      </w:pPr>
    </w:p>
    <w:p w14:paraId="0FA80F56" w14:textId="77777777" w:rsidR="004D1C14" w:rsidRPr="004D1C14" w:rsidRDefault="004D1C14" w:rsidP="004D1C14">
      <w:pPr>
        <w:widowControl/>
        <w:snapToGrid w:val="0"/>
        <w:jc w:val="left"/>
        <w:rPr>
          <w:rFonts w:ascii="黑体" w:eastAsia="黑体" w:hAnsi="黑体" w:cs="宋体"/>
          <w:b/>
          <w:sz w:val="28"/>
          <w:szCs w:val="28"/>
          <w:lang w:val="zh-CN"/>
        </w:rPr>
      </w:pPr>
      <w:r w:rsidRPr="004D1C14">
        <w:rPr>
          <w:rFonts w:ascii="黑体" w:eastAsia="黑体" w:hAnsi="黑体" w:cs="宋体" w:hint="eastAsia"/>
          <w:b/>
          <w:sz w:val="28"/>
          <w:szCs w:val="28"/>
          <w:lang w:val="zh-CN"/>
        </w:rPr>
        <w:t>0</w:t>
      </w:r>
      <w:r w:rsidRPr="004D1C14">
        <w:rPr>
          <w:rFonts w:ascii="黑体" w:eastAsia="黑体" w:hAnsi="黑体" w:cs="宋体"/>
          <w:b/>
          <w:sz w:val="28"/>
          <w:szCs w:val="28"/>
          <w:lang w:val="zh-CN"/>
        </w:rPr>
        <w:t>5</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3D611688" w14:textId="77777777" w:rsidR="004D1C14" w:rsidRPr="004D1C14" w:rsidRDefault="004D1C14" w:rsidP="004D1C14">
      <w:pPr>
        <w:snapToGrid w:val="0"/>
        <w:jc w:val="center"/>
        <w:rPr>
          <w:rFonts w:ascii="黑体" w:eastAsia="黑体" w:hAnsi="黑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607" w:type="dxa"/>
        <w:tblInd w:w="27" w:type="dxa"/>
        <w:tblLayout w:type="fixed"/>
        <w:tblCellMar>
          <w:left w:w="14" w:type="dxa"/>
          <w:right w:w="14" w:type="dxa"/>
        </w:tblCellMar>
        <w:tblLook w:val="04A0" w:firstRow="1" w:lastRow="0" w:firstColumn="1" w:lastColumn="0" w:noHBand="0" w:noVBand="1"/>
      </w:tblPr>
      <w:tblGrid>
        <w:gridCol w:w="557"/>
        <w:gridCol w:w="1557"/>
        <w:gridCol w:w="7493"/>
      </w:tblGrid>
      <w:tr w:rsidR="004D1C14" w:rsidRPr="004D1C14" w14:paraId="4C5E435A" w14:textId="77777777" w:rsidTr="004D1C14">
        <w:trPr>
          <w:cantSplit/>
          <w:trHeight w:val="567"/>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0AA3366"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2C82C1A6"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2F4BBEDE" w14:textId="77777777" w:rsidR="004D1C14" w:rsidRPr="004D1C14" w:rsidRDefault="004D1C14" w:rsidP="004D1C14">
            <w:pPr>
              <w:adjustRightInd w:val="0"/>
              <w:snapToGrid w:val="0"/>
              <w:ind w:firstLineChars="100" w:firstLine="211"/>
              <w:jc w:val="center"/>
              <w:rPr>
                <w:rFonts w:ascii="宋体" w:eastAsia="宋体" w:hAnsi="宋体" w:cs="Times New Roman"/>
                <w:b/>
                <w:bCs/>
                <w:szCs w:val="21"/>
              </w:rPr>
            </w:pPr>
            <w:r w:rsidRPr="004D1C14">
              <w:rPr>
                <w:rFonts w:ascii="宋体" w:eastAsia="宋体" w:hAnsi="宋体" w:cs="Times New Roman" w:hint="eastAsia"/>
                <w:b/>
                <w:szCs w:val="21"/>
              </w:rPr>
              <w:t>参考技术性能指标最低要求</w:t>
            </w:r>
          </w:p>
        </w:tc>
      </w:tr>
      <w:tr w:rsidR="004D1C14" w:rsidRPr="004D1C14" w14:paraId="53F20206"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74AA092" w14:textId="77777777" w:rsidR="004D1C14" w:rsidRPr="004D1C14" w:rsidRDefault="004D1C14" w:rsidP="004D1C14">
            <w:pPr>
              <w:numPr>
                <w:ilvl w:val="0"/>
                <w:numId w:val="8"/>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64FEE8D0"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便携式收费机</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2236635C" w14:textId="77777777" w:rsidR="004D1C14" w:rsidRPr="004D1C14" w:rsidRDefault="004D1C14" w:rsidP="004D1C14">
            <w:pPr>
              <w:autoSpaceDE w:val="0"/>
              <w:autoSpaceDN w:val="0"/>
              <w:adjustRightInd w:val="0"/>
              <w:snapToGrid w:val="0"/>
              <w:ind w:firstLineChars="100" w:firstLine="210"/>
              <w:rPr>
                <w:rFonts w:ascii="宋体" w:eastAsia="宋体" w:hAnsi="宋体" w:cs="宋体"/>
                <w:b/>
                <w:bCs/>
                <w:kern w:val="0"/>
                <w:szCs w:val="21"/>
                <w:lang w:val="zh-CN" w:bidi="zh-CN"/>
              </w:rPr>
            </w:pPr>
            <w:r w:rsidRPr="004D1C14">
              <w:rPr>
                <w:rFonts w:ascii="宋体" w:eastAsia="宋体" w:hAnsi="宋体" w:cs="Times New Roman" w:hint="eastAsia"/>
                <w:szCs w:val="21"/>
              </w:rPr>
              <w:t>满足国家、交通部相关规范及取消高速公路省界收费站工程相关要求。并含符合交通部及吉林收费系统软件系统的操作系统及收费系统软件。配备与收费站通信的专线。</w:t>
            </w:r>
          </w:p>
        </w:tc>
      </w:tr>
    </w:tbl>
    <w:p w14:paraId="06446FE8" w14:textId="77777777" w:rsidR="004D1C14" w:rsidRPr="004D1C14" w:rsidRDefault="004D1C14" w:rsidP="004D1C14">
      <w:pPr>
        <w:snapToGrid w:val="0"/>
        <w:ind w:firstLineChars="200" w:firstLine="480"/>
        <w:rPr>
          <w:rFonts w:ascii="楷体" w:eastAsia="楷体" w:hAnsi="楷体" w:cs="Times New Roman"/>
          <w:sz w:val="24"/>
          <w:szCs w:val="24"/>
        </w:rPr>
      </w:pPr>
    </w:p>
    <w:p w14:paraId="0A85D4F3" w14:textId="77777777" w:rsidR="004D1C14" w:rsidRPr="004D1C14" w:rsidRDefault="004D1C14" w:rsidP="004D1C14">
      <w:pPr>
        <w:widowControl/>
        <w:snapToGrid w:val="0"/>
        <w:jc w:val="left"/>
        <w:rPr>
          <w:rFonts w:ascii="楷体" w:eastAsia="楷体" w:hAnsi="楷体" w:cs="Times New Roman"/>
          <w:sz w:val="24"/>
          <w:szCs w:val="24"/>
        </w:rPr>
      </w:pPr>
      <w:r w:rsidRPr="004D1C14">
        <w:rPr>
          <w:rFonts w:ascii="楷体" w:eastAsia="楷体" w:hAnsi="楷体" w:cs="Times New Roman"/>
          <w:sz w:val="24"/>
          <w:szCs w:val="24"/>
        </w:rPr>
        <w:br w:type="page"/>
      </w:r>
    </w:p>
    <w:p w14:paraId="4B47348F" w14:textId="77777777" w:rsidR="004D1C14" w:rsidRPr="004D1C14" w:rsidRDefault="004D1C14" w:rsidP="004D1C14">
      <w:pPr>
        <w:widowControl/>
        <w:snapToGrid w:val="0"/>
        <w:jc w:val="left"/>
        <w:rPr>
          <w:rFonts w:ascii="黑体" w:eastAsia="黑体" w:hAnsi="黑体" w:cs="宋体"/>
          <w:b/>
          <w:sz w:val="28"/>
          <w:szCs w:val="28"/>
          <w:lang w:val="zh-CN"/>
        </w:rPr>
      </w:pPr>
      <w:r w:rsidRPr="004D1C14">
        <w:rPr>
          <w:rFonts w:ascii="黑体" w:eastAsia="黑体" w:hAnsi="黑体" w:cs="宋体" w:hint="eastAsia"/>
          <w:b/>
          <w:sz w:val="28"/>
          <w:szCs w:val="28"/>
          <w:lang w:val="zh-CN"/>
        </w:rPr>
        <w:lastRenderedPageBreak/>
        <w:t>0</w:t>
      </w:r>
      <w:r w:rsidRPr="004D1C14">
        <w:rPr>
          <w:rFonts w:ascii="黑体" w:eastAsia="黑体" w:hAnsi="黑体" w:cs="宋体"/>
          <w:b/>
          <w:sz w:val="28"/>
          <w:szCs w:val="28"/>
          <w:lang w:val="zh-CN"/>
        </w:rPr>
        <w:t>6</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05B83A54" w14:textId="77777777" w:rsidR="004D1C14" w:rsidRPr="004D1C14" w:rsidRDefault="004D1C14" w:rsidP="004D1C14">
      <w:pPr>
        <w:snapToGrid w:val="0"/>
        <w:jc w:val="center"/>
        <w:rPr>
          <w:rFonts w:ascii="黑体" w:eastAsia="黑体" w:hAnsi="黑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607" w:type="dxa"/>
        <w:tblInd w:w="27" w:type="dxa"/>
        <w:tblLayout w:type="fixed"/>
        <w:tblCellMar>
          <w:left w:w="14" w:type="dxa"/>
          <w:right w:w="14" w:type="dxa"/>
        </w:tblCellMar>
        <w:tblLook w:val="04A0" w:firstRow="1" w:lastRow="0" w:firstColumn="1" w:lastColumn="0" w:noHBand="0" w:noVBand="1"/>
      </w:tblPr>
      <w:tblGrid>
        <w:gridCol w:w="557"/>
        <w:gridCol w:w="1557"/>
        <w:gridCol w:w="7493"/>
      </w:tblGrid>
      <w:tr w:rsidR="004D1C14" w:rsidRPr="004D1C14" w14:paraId="4F08C677" w14:textId="77777777" w:rsidTr="004D1C14">
        <w:trPr>
          <w:cantSplit/>
          <w:trHeight w:val="567"/>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7A25CF8"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AD54F43"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644EADE1" w14:textId="77777777" w:rsidR="004D1C14" w:rsidRPr="004D1C14" w:rsidRDefault="004D1C14" w:rsidP="004D1C14">
            <w:pPr>
              <w:adjustRightInd w:val="0"/>
              <w:snapToGrid w:val="0"/>
              <w:ind w:firstLineChars="100" w:firstLine="211"/>
              <w:jc w:val="center"/>
              <w:rPr>
                <w:rFonts w:ascii="宋体" w:eastAsia="宋体" w:hAnsi="宋体" w:cs="Times New Roman"/>
                <w:b/>
                <w:bCs/>
                <w:szCs w:val="21"/>
              </w:rPr>
            </w:pPr>
            <w:r w:rsidRPr="004D1C14">
              <w:rPr>
                <w:rFonts w:ascii="宋体" w:eastAsia="宋体" w:hAnsi="宋体" w:cs="Times New Roman" w:hint="eastAsia"/>
                <w:b/>
                <w:szCs w:val="21"/>
              </w:rPr>
              <w:t>参考技术性能指标最低要求</w:t>
            </w:r>
          </w:p>
        </w:tc>
      </w:tr>
      <w:tr w:rsidR="004D1C14" w:rsidRPr="004D1C14" w14:paraId="7FE16011"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EB291FC" w14:textId="77777777" w:rsidR="004D1C14" w:rsidRPr="004D1C14" w:rsidRDefault="004D1C14" w:rsidP="004D1C14">
            <w:pPr>
              <w:numPr>
                <w:ilvl w:val="0"/>
                <w:numId w:val="9"/>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4397205A"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信息显示屏（费额显示器，含数据防雷器）</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17C0F23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1、提供对外场显示设备进行信息编辑、信息查看、信息发布功能；</w:t>
            </w:r>
          </w:p>
          <w:p w14:paraId="6017FEF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2、保存发布的信息内容；</w:t>
            </w:r>
          </w:p>
          <w:p w14:paraId="139C45C9"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3、具有开放的、通用的数据传输接口和传输协议；</w:t>
            </w:r>
          </w:p>
          <w:p w14:paraId="6D2DE88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4、可视距离，静态视距≥30米；</w:t>
            </w:r>
          </w:p>
          <w:p w14:paraId="153DE826"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5、满屏可显示4行×14列汉字，内置16×16点阵，GB2132一级汉字字库；</w:t>
            </w:r>
          </w:p>
          <w:p w14:paraId="02FFA558"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6、LED视认角≥30度</w:t>
            </w:r>
            <w:r w:rsidRPr="004D1C14">
              <w:rPr>
                <w:rFonts w:ascii="宋体" w:eastAsia="宋体" w:hAnsi="宋体" w:cs="Times New Roman" w:hint="eastAsia"/>
                <w:sz w:val="18"/>
                <w:szCs w:val="18"/>
              </w:rPr>
              <w:br w:type="page"/>
              <w:t>7、显示亮度≥5000cd/m2，可自动多级至少四级调节发光强度，以防止在夜间产生眩光，长期暴露于太阳光的环境条件下，发光强度不能减低；</w:t>
            </w:r>
          </w:p>
          <w:p w14:paraId="2476C28A"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8、LED平均寿命为≥100000 小时；</w:t>
            </w:r>
          </w:p>
          <w:p w14:paraId="7B11E9FE"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9、失控率≤1‰；</w:t>
            </w:r>
          </w:p>
          <w:p w14:paraId="794ABF8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10、平局故障间隔时间≥10000小时；</w:t>
            </w:r>
          </w:p>
          <w:p w14:paraId="43A209BD"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11、通信接口RS485、RS232、RJ45,通信速率1.2～19.2kbps；</w:t>
            </w:r>
          </w:p>
          <w:p w14:paraId="3A5C68F5"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12、屏体防护等级IP65；</w:t>
            </w:r>
          </w:p>
          <w:p w14:paraId="06335BEB"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13、工作温度-40℃～70℃，使用时具备耐低温性能；</w:t>
            </w:r>
          </w:p>
          <w:p w14:paraId="7B5A02D6"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br w:type="page"/>
              <w:t>14、LED配比不低于双基色，4R2G；</w:t>
            </w:r>
          </w:p>
          <w:p w14:paraId="472BBBFC" w14:textId="77777777" w:rsidR="004D1C14" w:rsidRPr="004D1C14" w:rsidRDefault="004D1C14" w:rsidP="004D1C14">
            <w:pPr>
              <w:autoSpaceDE w:val="0"/>
              <w:autoSpaceDN w:val="0"/>
              <w:adjustRightInd w:val="0"/>
              <w:snapToGrid w:val="0"/>
              <w:ind w:firstLineChars="100" w:firstLine="180"/>
              <w:rPr>
                <w:rFonts w:ascii="宋体" w:eastAsia="宋体" w:hAnsi="宋体" w:cs="宋体"/>
                <w:b/>
                <w:bCs/>
                <w:kern w:val="0"/>
                <w:sz w:val="18"/>
                <w:szCs w:val="18"/>
                <w:lang w:val="zh-CN" w:bidi="zh-CN"/>
              </w:rPr>
            </w:pPr>
            <w:r w:rsidRPr="004D1C14">
              <w:rPr>
                <w:rFonts w:ascii="宋体" w:eastAsia="宋体" w:hAnsi="宋体" w:cs="Times New Roman" w:hint="eastAsia"/>
                <w:sz w:val="18"/>
                <w:szCs w:val="18"/>
              </w:rPr>
              <w:br w:type="page"/>
              <w:t>15、含高音喇叭、声光报警设备、防雷接地、立柱、基础、安装材料及线缆。</w:t>
            </w:r>
          </w:p>
        </w:tc>
      </w:tr>
      <w:tr w:rsidR="004D1C14" w:rsidRPr="004D1C14" w14:paraId="78AC35B9"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42F5BD3" w14:textId="77777777" w:rsidR="004D1C14" w:rsidRPr="004D1C14" w:rsidRDefault="004D1C14" w:rsidP="004D1C14">
            <w:pPr>
              <w:numPr>
                <w:ilvl w:val="0"/>
                <w:numId w:val="9"/>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27E253A5"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正向雨棚信号灯</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30AF97F1"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黄色LED光源：光源波长：615nm，亮度≥4000mcd；</w:t>
            </w:r>
          </w:p>
          <w:p w14:paraId="5B64B877"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红色LED光源：光源波长：500nm，亮度≥3000mcd。</w:t>
            </w:r>
          </w:p>
          <w:p w14:paraId="420584B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视角≥30°；</w:t>
            </w:r>
          </w:p>
          <w:p w14:paraId="68C27338"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可视距离不小于300m；</w:t>
            </w:r>
          </w:p>
          <w:p w14:paraId="06CB116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输入电压：AC220V±15%，功耗：≤40W，电流≤150mA（单灯）；</w:t>
            </w:r>
          </w:p>
          <w:p w14:paraId="376738A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三级亮度自动调节；</w:t>
            </w:r>
          </w:p>
          <w:p w14:paraId="0DF5BDF5"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提供安装支架（可针对现场情况设计），带有光敏控制元件和遮阳装置，密封性符合IP65要求。</w:t>
            </w:r>
          </w:p>
          <w:p w14:paraId="27851E92"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MTBF：10000h，MTTR：0.5h。</w:t>
            </w:r>
          </w:p>
          <w:p w14:paraId="38F29437" w14:textId="77777777" w:rsidR="004D1C14" w:rsidRPr="004D1C14" w:rsidRDefault="004D1C14" w:rsidP="004D1C14">
            <w:pPr>
              <w:adjustRightInd w:val="0"/>
              <w:snapToGrid w:val="0"/>
              <w:ind w:firstLineChars="100" w:firstLine="180"/>
              <w:rPr>
                <w:rFonts w:ascii="宋体" w:eastAsia="宋体" w:hAnsi="宋体" w:cs="Times New Roman"/>
                <w:b/>
                <w:bCs/>
                <w:sz w:val="18"/>
                <w:szCs w:val="18"/>
              </w:rPr>
            </w:pPr>
            <w:r w:rsidRPr="004D1C14">
              <w:rPr>
                <w:rFonts w:ascii="宋体" w:eastAsia="宋体" w:hAnsi="宋体" w:cs="Times New Roman" w:hint="eastAsia"/>
                <w:sz w:val="18"/>
                <w:szCs w:val="18"/>
              </w:rPr>
              <w:t>使用环境温度-40℃～60℃。</w:t>
            </w:r>
          </w:p>
        </w:tc>
      </w:tr>
      <w:tr w:rsidR="004D1C14" w:rsidRPr="004D1C14" w14:paraId="4E00D0D3"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1960008" w14:textId="77777777" w:rsidR="004D1C14" w:rsidRPr="004D1C14" w:rsidRDefault="004D1C14" w:rsidP="004D1C14">
            <w:pPr>
              <w:numPr>
                <w:ilvl w:val="0"/>
                <w:numId w:val="9"/>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28BF644" w14:textId="77777777" w:rsidR="004D1C14" w:rsidRPr="004D1C14" w:rsidRDefault="004D1C14" w:rsidP="004D1C14">
            <w:pPr>
              <w:adjustRightInd w:val="0"/>
              <w:snapToGrid w:val="0"/>
              <w:rPr>
                <w:rFonts w:ascii="宋体" w:eastAsia="宋体" w:hAnsi="宋体" w:cs="Times New Roman"/>
                <w:b/>
                <w:bCs/>
                <w:szCs w:val="21"/>
                <w:u w:val="wave"/>
              </w:rPr>
            </w:pPr>
            <w:r w:rsidRPr="004D1C14">
              <w:rPr>
                <w:rFonts w:ascii="宋体" w:eastAsia="宋体" w:hAnsi="宋体" w:cs="Times New Roman" w:hint="eastAsia"/>
                <w:szCs w:val="21"/>
              </w:rPr>
              <w:t>隧道LED照明灯具50W</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7E7373D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LED 灯应满足规范《隧道照明用 LED 灯具性能要求》GB/T 32481-2016 的要求，主要性能指标 </w:t>
            </w:r>
          </w:p>
          <w:p w14:paraId="2E30862E"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要求如下： </w:t>
            </w:r>
          </w:p>
          <w:p w14:paraId="169862AA"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1、光学性能： </w:t>
            </w:r>
          </w:p>
          <w:p w14:paraId="6F0DBFF7"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1） 灯具光效：≥110 </w:t>
            </w:r>
            <w:proofErr w:type="spellStart"/>
            <w:r w:rsidRPr="004D1C14">
              <w:rPr>
                <w:rFonts w:ascii="宋体" w:eastAsia="宋体" w:hAnsi="宋体" w:cs="Times New Roman" w:hint="eastAsia"/>
                <w:sz w:val="18"/>
                <w:szCs w:val="18"/>
              </w:rPr>
              <w:t>lm</w:t>
            </w:r>
            <w:proofErr w:type="spellEnd"/>
            <w:r w:rsidRPr="004D1C14">
              <w:rPr>
                <w:rFonts w:ascii="宋体" w:eastAsia="宋体" w:hAnsi="宋体" w:cs="Times New Roman" w:hint="eastAsia"/>
                <w:sz w:val="18"/>
                <w:szCs w:val="18"/>
              </w:rPr>
              <w:t xml:space="preserve">/W </w:t>
            </w:r>
          </w:p>
          <w:p w14:paraId="7D8A4703"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2）色温：3500K～5500K </w:t>
            </w:r>
          </w:p>
          <w:p w14:paraId="3CD327AA"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3）显色指数（Ra）：≥70 </w:t>
            </w:r>
          </w:p>
          <w:p w14:paraId="0BA57C0E"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4）灯具光衰：额定功率条件下，光通量维持率:3000h≥96%；6000h≥92%；10000h≥86%。 </w:t>
            </w:r>
          </w:p>
          <w:p w14:paraId="6694C9A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2、电气性能： </w:t>
            </w:r>
          </w:p>
          <w:p w14:paraId="7508D7B8"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1）灯具使用寿命：＞50000h </w:t>
            </w:r>
          </w:p>
          <w:p w14:paraId="6F4895B1"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2）工作电压：100～277V/AC </w:t>
            </w:r>
          </w:p>
          <w:p w14:paraId="4EA39E3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3）电源频率：50 Hz 或 60Hz </w:t>
            </w:r>
          </w:p>
          <w:p w14:paraId="75F961A5"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4）功率因数：＞0.95 </w:t>
            </w:r>
          </w:p>
          <w:p w14:paraId="7B23E39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5）电源效率：＞90% </w:t>
            </w:r>
          </w:p>
          <w:p w14:paraId="2ADEDA05"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6）总谐波电流：≤20% </w:t>
            </w:r>
          </w:p>
          <w:p w14:paraId="425EB447"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7）采用一线品牌和成熟的恒流驱动电源产品，电源具有过温、过载、抗浪涌等保护功能，电源 防护等级 IP≥IP66。 </w:t>
            </w:r>
          </w:p>
          <w:p w14:paraId="4636E60D"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8）具有调光接口。 </w:t>
            </w:r>
          </w:p>
          <w:p w14:paraId="43246DE5"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3、LED 芯片性能：光源芯片要采用一线品牌和成熟的功率型芯片产品。</w:t>
            </w:r>
          </w:p>
          <w:p w14:paraId="6798B69E"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4、外观、散热及安全措施： </w:t>
            </w:r>
          </w:p>
          <w:p w14:paraId="68A2AFBA"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1）灯具外壳防护等级： IP65。 </w:t>
            </w:r>
          </w:p>
          <w:p w14:paraId="443C54BA"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2） 防腐等级：WF2 </w:t>
            </w:r>
          </w:p>
          <w:p w14:paraId="598B3B7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 xml:space="preserve">3）使用环境温度：-40～50℃ </w:t>
            </w:r>
          </w:p>
          <w:p w14:paraId="4D74FA2E" w14:textId="77777777" w:rsidR="004D1C14" w:rsidRPr="004D1C14" w:rsidRDefault="004D1C14" w:rsidP="004D1C14">
            <w:pPr>
              <w:adjustRightInd w:val="0"/>
              <w:snapToGrid w:val="0"/>
              <w:ind w:firstLineChars="100" w:firstLine="180"/>
              <w:rPr>
                <w:rFonts w:ascii="宋体" w:eastAsia="宋体" w:hAnsi="宋体" w:cs="Times New Roman"/>
                <w:b/>
                <w:bCs/>
                <w:sz w:val="18"/>
                <w:szCs w:val="18"/>
              </w:rPr>
            </w:pPr>
            <w:r w:rsidRPr="004D1C14">
              <w:rPr>
                <w:rFonts w:ascii="宋体" w:eastAsia="宋体" w:hAnsi="宋体" w:cs="Times New Roman" w:hint="eastAsia"/>
                <w:sz w:val="18"/>
                <w:szCs w:val="18"/>
              </w:rPr>
              <w:t>4）工作相对湿度范围：10%～95%</w:t>
            </w:r>
          </w:p>
        </w:tc>
      </w:tr>
    </w:tbl>
    <w:p w14:paraId="10581FA6" w14:textId="77777777" w:rsidR="004D1C14" w:rsidRPr="004D1C14" w:rsidRDefault="004D1C14" w:rsidP="004D1C14">
      <w:pPr>
        <w:widowControl/>
        <w:snapToGrid w:val="0"/>
        <w:jc w:val="left"/>
        <w:rPr>
          <w:rFonts w:ascii="楷体" w:eastAsia="楷体" w:hAnsi="楷体" w:cs="Times New Roman"/>
          <w:sz w:val="24"/>
          <w:szCs w:val="24"/>
        </w:rPr>
      </w:pPr>
      <w:r w:rsidRPr="004D1C14">
        <w:rPr>
          <w:rFonts w:ascii="楷体" w:eastAsia="楷体" w:hAnsi="楷体" w:cs="Times New Roman"/>
          <w:sz w:val="24"/>
          <w:szCs w:val="24"/>
        </w:rPr>
        <w:br w:type="page"/>
      </w:r>
    </w:p>
    <w:p w14:paraId="1FC2D37C" w14:textId="77777777" w:rsidR="004D1C14" w:rsidRPr="004D1C14" w:rsidRDefault="004D1C14" w:rsidP="004D1C14">
      <w:pPr>
        <w:widowControl/>
        <w:snapToGrid w:val="0"/>
        <w:jc w:val="left"/>
        <w:rPr>
          <w:rFonts w:ascii="黑体" w:eastAsia="黑体" w:hAnsi="黑体" w:cs="宋体"/>
          <w:b/>
          <w:sz w:val="28"/>
          <w:szCs w:val="28"/>
          <w:lang w:val="zh-CN"/>
        </w:rPr>
      </w:pPr>
      <w:bookmarkStart w:id="7" w:name="_Hlk73635941"/>
      <w:r w:rsidRPr="004D1C14">
        <w:rPr>
          <w:rFonts w:ascii="黑体" w:eastAsia="黑体" w:hAnsi="黑体" w:cs="宋体" w:hint="eastAsia"/>
          <w:b/>
          <w:sz w:val="28"/>
          <w:szCs w:val="28"/>
          <w:lang w:val="zh-CN"/>
        </w:rPr>
        <w:lastRenderedPageBreak/>
        <w:t>0</w:t>
      </w:r>
      <w:r w:rsidRPr="004D1C14">
        <w:rPr>
          <w:rFonts w:ascii="黑体" w:eastAsia="黑体" w:hAnsi="黑体" w:cs="宋体"/>
          <w:b/>
          <w:sz w:val="28"/>
          <w:szCs w:val="28"/>
          <w:lang w:val="zh-CN"/>
        </w:rPr>
        <w:t>7</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10380E06" w14:textId="77777777" w:rsidR="004D1C14" w:rsidRPr="004D1C14" w:rsidRDefault="004D1C14" w:rsidP="004D1C14">
      <w:pPr>
        <w:snapToGrid w:val="0"/>
        <w:jc w:val="center"/>
        <w:rPr>
          <w:rFonts w:ascii="黑体" w:eastAsia="黑体" w:hAnsi="黑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607" w:type="dxa"/>
        <w:tblInd w:w="27" w:type="dxa"/>
        <w:tblLayout w:type="fixed"/>
        <w:tblCellMar>
          <w:left w:w="14" w:type="dxa"/>
          <w:right w:w="14" w:type="dxa"/>
        </w:tblCellMar>
        <w:tblLook w:val="04A0" w:firstRow="1" w:lastRow="0" w:firstColumn="1" w:lastColumn="0" w:noHBand="0" w:noVBand="1"/>
      </w:tblPr>
      <w:tblGrid>
        <w:gridCol w:w="557"/>
        <w:gridCol w:w="1557"/>
        <w:gridCol w:w="7493"/>
      </w:tblGrid>
      <w:tr w:rsidR="004D1C14" w:rsidRPr="004D1C14" w14:paraId="3ECE1589" w14:textId="77777777" w:rsidTr="004D1C14">
        <w:trPr>
          <w:cantSplit/>
          <w:trHeight w:val="567"/>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17EA4B7"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0281E497"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4C2B1BBE" w14:textId="77777777" w:rsidR="004D1C14" w:rsidRPr="004D1C14" w:rsidRDefault="004D1C14" w:rsidP="004D1C14">
            <w:pPr>
              <w:adjustRightInd w:val="0"/>
              <w:snapToGrid w:val="0"/>
              <w:ind w:firstLineChars="100" w:firstLine="211"/>
              <w:jc w:val="center"/>
              <w:rPr>
                <w:rFonts w:ascii="宋体" w:eastAsia="宋体" w:hAnsi="宋体" w:cs="Times New Roman"/>
                <w:b/>
                <w:bCs/>
                <w:szCs w:val="21"/>
              </w:rPr>
            </w:pPr>
            <w:r w:rsidRPr="004D1C14">
              <w:rPr>
                <w:rFonts w:ascii="宋体" w:eastAsia="宋体" w:hAnsi="宋体" w:cs="Times New Roman" w:hint="eastAsia"/>
                <w:b/>
                <w:szCs w:val="21"/>
              </w:rPr>
              <w:t>参考技术性能指标最低要求</w:t>
            </w:r>
          </w:p>
        </w:tc>
      </w:tr>
      <w:tr w:rsidR="004D1C14" w:rsidRPr="004D1C14" w14:paraId="24872C30"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31CFDAB" w14:textId="77777777" w:rsidR="004D1C14" w:rsidRPr="004D1C14" w:rsidRDefault="004D1C14" w:rsidP="004D1C14">
            <w:pPr>
              <w:numPr>
                <w:ilvl w:val="0"/>
                <w:numId w:val="10"/>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0A3C34E2"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UPS电池（12V 100AH）</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42C57894"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1、单节蓄电池选用12V密封式免维护铅酸蓄电池；</w:t>
            </w:r>
          </w:p>
          <w:p w14:paraId="2CAF9242"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2、必须是免维护、性能稳定、耐用，生产日期为到货日期6个月内的全新产品蓄电池；</w:t>
            </w:r>
          </w:p>
          <w:p w14:paraId="668AC9FD"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3、蓄电池槽、盖采用高强度ABS材料制造，蓄电池外观不得有变形、漏液、裂纹及污迹，标志要清晰；</w:t>
            </w:r>
          </w:p>
          <w:p w14:paraId="7573CAD8"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4、阻燃性能为蓄电池壳、盖符合GB/T 2408-2008中的第8.3.2条FH-1（水平级）和第9.3.2FV-0（垂直级）的要求；</w:t>
            </w:r>
          </w:p>
          <w:p w14:paraId="7639BBCC"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szCs w:val="21"/>
              </w:rPr>
              <w:t>5、蓄电池的浮充设计寿命7-10年以上；</w:t>
            </w:r>
          </w:p>
          <w:p w14:paraId="1FE680B7"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szCs w:val="21"/>
              </w:rPr>
              <w:t>6、蓄电池间接线板、终端接头应选用导电性能优良的材料、并具有防腐蚀措施；</w:t>
            </w:r>
          </w:p>
          <w:p w14:paraId="68E4ACD7"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szCs w:val="21"/>
              </w:rPr>
              <w:t>7、蓄电池组采用相互隔离输出方式工作，可多组并联输出，无电池环流；</w:t>
            </w:r>
          </w:p>
          <w:p w14:paraId="27C7B56F" w14:textId="77777777" w:rsidR="004D1C14" w:rsidRPr="004D1C14" w:rsidRDefault="004D1C14" w:rsidP="004D1C14">
            <w:pPr>
              <w:autoSpaceDE w:val="0"/>
              <w:autoSpaceDN w:val="0"/>
              <w:adjustRightInd w:val="0"/>
              <w:snapToGrid w:val="0"/>
              <w:ind w:firstLineChars="100" w:firstLine="210"/>
              <w:rPr>
                <w:rFonts w:ascii="宋体" w:eastAsia="宋体" w:hAnsi="宋体" w:cs="Times New Roman"/>
                <w:szCs w:val="21"/>
              </w:rPr>
            </w:pPr>
            <w:r w:rsidRPr="004D1C14">
              <w:rPr>
                <w:rFonts w:ascii="宋体" w:eastAsia="宋体" w:hAnsi="宋体" w:cs="Times New Roman"/>
                <w:szCs w:val="21"/>
              </w:rPr>
              <w:t>8</w:t>
            </w:r>
            <w:r w:rsidRPr="004D1C14">
              <w:rPr>
                <w:rFonts w:ascii="宋体" w:eastAsia="宋体" w:hAnsi="宋体" w:cs="Times New Roman" w:hint="eastAsia"/>
                <w:szCs w:val="21"/>
              </w:rPr>
              <w:t>、质量保证期</w:t>
            </w:r>
            <w:r w:rsidRPr="004D1C14">
              <w:rPr>
                <w:rFonts w:ascii="宋体" w:eastAsia="宋体" w:hAnsi="宋体" w:cs="Times New Roman"/>
                <w:szCs w:val="21"/>
              </w:rPr>
              <w:t>3年</w:t>
            </w:r>
            <w:r w:rsidRPr="004D1C14">
              <w:rPr>
                <w:rFonts w:ascii="宋体" w:eastAsia="宋体" w:hAnsi="宋体" w:cs="Times New Roman" w:hint="eastAsia"/>
                <w:szCs w:val="21"/>
              </w:rPr>
              <w:t>。</w:t>
            </w:r>
          </w:p>
        </w:tc>
      </w:tr>
      <w:bookmarkEnd w:id="7"/>
    </w:tbl>
    <w:p w14:paraId="70B6EABA" w14:textId="77777777" w:rsidR="004D1C14" w:rsidRPr="004D1C14" w:rsidRDefault="004D1C14" w:rsidP="004D1C14">
      <w:pPr>
        <w:widowControl/>
        <w:snapToGrid w:val="0"/>
        <w:jc w:val="left"/>
        <w:rPr>
          <w:rFonts w:ascii="楷体" w:eastAsia="楷体" w:hAnsi="楷体" w:cs="Times New Roman"/>
          <w:sz w:val="24"/>
          <w:szCs w:val="24"/>
        </w:rPr>
      </w:pPr>
    </w:p>
    <w:p w14:paraId="3457D1BD" w14:textId="77777777" w:rsidR="004D1C14" w:rsidRPr="004D1C14" w:rsidRDefault="004D1C14" w:rsidP="004D1C14">
      <w:pPr>
        <w:widowControl/>
        <w:snapToGrid w:val="0"/>
        <w:jc w:val="left"/>
        <w:rPr>
          <w:rFonts w:ascii="楷体" w:eastAsia="楷体" w:hAnsi="楷体" w:cs="Times New Roman"/>
          <w:sz w:val="24"/>
          <w:szCs w:val="24"/>
        </w:rPr>
      </w:pPr>
      <w:r w:rsidRPr="004D1C14">
        <w:rPr>
          <w:rFonts w:ascii="楷体" w:eastAsia="楷体" w:hAnsi="楷体" w:cs="Times New Roman"/>
          <w:sz w:val="24"/>
          <w:szCs w:val="24"/>
        </w:rPr>
        <w:br w:type="page"/>
      </w:r>
    </w:p>
    <w:p w14:paraId="2816165B" w14:textId="77777777" w:rsidR="004D1C14" w:rsidRPr="004D1C14" w:rsidRDefault="004D1C14" w:rsidP="004D1C14">
      <w:pPr>
        <w:widowControl/>
        <w:snapToGrid w:val="0"/>
        <w:jc w:val="left"/>
        <w:rPr>
          <w:rFonts w:ascii="黑体" w:eastAsia="黑体" w:hAnsi="黑体" w:cs="宋体"/>
          <w:b/>
          <w:sz w:val="28"/>
          <w:szCs w:val="28"/>
          <w:lang w:val="zh-CN"/>
        </w:rPr>
      </w:pPr>
      <w:r w:rsidRPr="004D1C14">
        <w:rPr>
          <w:rFonts w:ascii="黑体" w:eastAsia="黑体" w:hAnsi="黑体" w:cs="宋体" w:hint="eastAsia"/>
          <w:b/>
          <w:sz w:val="28"/>
          <w:szCs w:val="28"/>
          <w:lang w:val="zh-CN"/>
        </w:rPr>
        <w:lastRenderedPageBreak/>
        <w:t>0</w:t>
      </w:r>
      <w:r w:rsidRPr="004D1C14">
        <w:rPr>
          <w:rFonts w:ascii="黑体" w:eastAsia="黑体" w:hAnsi="黑体" w:cs="宋体"/>
          <w:b/>
          <w:sz w:val="28"/>
          <w:szCs w:val="28"/>
          <w:lang w:val="zh-CN"/>
        </w:rPr>
        <w:t>8</w:t>
      </w:r>
      <w:r w:rsidRPr="004D1C14">
        <w:rPr>
          <w:rFonts w:ascii="黑体" w:eastAsia="黑体" w:hAnsi="黑体" w:cs="宋体" w:hint="eastAsia"/>
          <w:b/>
          <w:sz w:val="28"/>
          <w:szCs w:val="28"/>
          <w:lang w:val="zh-CN"/>
        </w:rPr>
        <w:t>标段：</w:t>
      </w:r>
      <w:r w:rsidRPr="004D1C14">
        <w:rPr>
          <w:rFonts w:ascii="黑体" w:eastAsia="黑体" w:hAnsi="黑体" w:cs="宋体"/>
          <w:b/>
          <w:sz w:val="28"/>
          <w:szCs w:val="28"/>
          <w:lang w:val="zh-CN"/>
        </w:rPr>
        <w:t xml:space="preserve"> </w:t>
      </w:r>
    </w:p>
    <w:p w14:paraId="72645A9A" w14:textId="77777777" w:rsidR="004D1C14" w:rsidRPr="004D1C14" w:rsidRDefault="004D1C14" w:rsidP="004D1C14">
      <w:pPr>
        <w:snapToGrid w:val="0"/>
        <w:jc w:val="center"/>
        <w:rPr>
          <w:rFonts w:ascii="黑体" w:eastAsia="黑体" w:hAnsi="黑体" w:cs="宋体"/>
          <w:bCs/>
          <w:sz w:val="28"/>
          <w:szCs w:val="28"/>
          <w:lang w:val="zh-CN"/>
        </w:rPr>
      </w:pPr>
      <w:r w:rsidRPr="004D1C14">
        <w:rPr>
          <w:rFonts w:ascii="黑体" w:eastAsia="黑体" w:hAnsi="黑体" w:cs="宋体" w:hint="eastAsia"/>
          <w:bCs/>
          <w:sz w:val="28"/>
          <w:szCs w:val="28"/>
          <w:lang w:val="zh-CN"/>
        </w:rPr>
        <w:t>设备主要技术规格响应表</w:t>
      </w:r>
    </w:p>
    <w:tbl>
      <w:tblPr>
        <w:tblW w:w="9607" w:type="dxa"/>
        <w:tblInd w:w="27" w:type="dxa"/>
        <w:tblLayout w:type="fixed"/>
        <w:tblCellMar>
          <w:left w:w="14" w:type="dxa"/>
          <w:right w:w="14" w:type="dxa"/>
        </w:tblCellMar>
        <w:tblLook w:val="04A0" w:firstRow="1" w:lastRow="0" w:firstColumn="1" w:lastColumn="0" w:noHBand="0" w:noVBand="1"/>
      </w:tblPr>
      <w:tblGrid>
        <w:gridCol w:w="557"/>
        <w:gridCol w:w="1557"/>
        <w:gridCol w:w="7493"/>
      </w:tblGrid>
      <w:tr w:rsidR="004D1C14" w:rsidRPr="004D1C14" w14:paraId="701D5D52" w14:textId="77777777" w:rsidTr="004D1C14">
        <w:trPr>
          <w:cantSplit/>
          <w:trHeight w:val="567"/>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EF4B2F8"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序号</w:t>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5C8292A8" w14:textId="77777777" w:rsidR="004D1C14" w:rsidRPr="004D1C14" w:rsidRDefault="004D1C14" w:rsidP="004D1C14">
            <w:pPr>
              <w:adjustRightInd w:val="0"/>
              <w:snapToGrid w:val="0"/>
              <w:jc w:val="center"/>
              <w:rPr>
                <w:rFonts w:ascii="宋体" w:eastAsia="宋体" w:hAnsi="宋体" w:cs="Times New Roman"/>
                <w:b/>
                <w:bCs/>
                <w:szCs w:val="21"/>
              </w:rPr>
            </w:pPr>
            <w:r w:rsidRPr="004D1C14">
              <w:rPr>
                <w:rFonts w:ascii="宋体" w:eastAsia="宋体" w:hAnsi="宋体" w:cs="Times New Roman" w:hint="eastAsia"/>
                <w:b/>
                <w:bCs/>
                <w:szCs w:val="21"/>
              </w:rPr>
              <w:t>名称</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18412A93" w14:textId="77777777" w:rsidR="004D1C14" w:rsidRPr="004D1C14" w:rsidRDefault="004D1C14" w:rsidP="004D1C14">
            <w:pPr>
              <w:adjustRightInd w:val="0"/>
              <w:snapToGrid w:val="0"/>
              <w:ind w:firstLineChars="100" w:firstLine="211"/>
              <w:jc w:val="center"/>
              <w:rPr>
                <w:rFonts w:ascii="宋体" w:eastAsia="宋体" w:hAnsi="宋体" w:cs="Times New Roman"/>
                <w:b/>
                <w:bCs/>
                <w:szCs w:val="21"/>
              </w:rPr>
            </w:pPr>
            <w:r w:rsidRPr="004D1C14">
              <w:rPr>
                <w:rFonts w:ascii="宋体" w:eastAsia="宋体" w:hAnsi="宋体" w:cs="Times New Roman" w:hint="eastAsia"/>
                <w:b/>
                <w:szCs w:val="21"/>
              </w:rPr>
              <w:t>参考技术性能指标最低要求</w:t>
            </w:r>
          </w:p>
        </w:tc>
      </w:tr>
      <w:tr w:rsidR="004D1C14" w:rsidRPr="004D1C14" w14:paraId="157E99FD"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191FC84" w14:textId="77777777" w:rsidR="004D1C14" w:rsidRPr="004D1C14" w:rsidRDefault="004D1C14" w:rsidP="004D1C14">
            <w:pPr>
              <w:numPr>
                <w:ilvl w:val="0"/>
                <w:numId w:val="11"/>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489112D1"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80kVA UPS电源主机（不含电池）</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008BC4FB"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1.输入指标：额定电压：±20%；输入频率：50Hz±5%；电流谐波含量：＜15%；功率因数：≥0.99。</w:t>
            </w:r>
          </w:p>
          <w:p w14:paraId="0D1077A0"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2.输出指标：稳压精度：±1％；动态电压瞬变范围：±5% （恢复时间＜40ms）；输出功率因数：0.8（滞后）；输出电压波形失真度：线性负载＜2%，非线性负载＜4%；输出频率精度（电池逆变工作方式）：50Hz±1%输出三相电压不平衡度：≤5%；输出三相电压相位偏差（平衡线性负载）：0°；市电电池切换时间：0ms；旁路逆变切换时间（逆变器故障切换时）：0ms。</w:t>
            </w:r>
          </w:p>
          <w:p w14:paraId="4BC9EF92"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3.整机工作效率：＞90%。</w:t>
            </w:r>
          </w:p>
          <w:p w14:paraId="1CF88D18"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4.内置输出隔离变压器，系统直流电压：384VDC。</w:t>
            </w:r>
          </w:p>
          <w:p w14:paraId="064993C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5.过载能力：输出为额定容量的125%：10min。</w:t>
            </w:r>
          </w:p>
          <w:p w14:paraId="4FB8279E"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6.采用DSP全数字化控制技术，大屏幕触摸屏LCD中文显示（参考尺寸：5.7英寸），UPS工作模拟流程图显示界面为汉化的人机对话界面，具有清晰明了，易于操作的特点。显示屏内有很大的存储容量，能在掉电后保存最后500次UPS运行参数。</w:t>
            </w:r>
          </w:p>
          <w:p w14:paraId="66D4B3C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7.ECO工作模式： 能提高系统效率。如果负载对电源的质量要求不是很高（如用户设备允许断电＜20ms），而对系统的效率要求较高时，可将系统工作设置在“ECO工作方式”。具有ECO紧急开关功能按钮按下，UPS会立即封锁输出电压。</w:t>
            </w:r>
          </w:p>
          <w:p w14:paraId="0902FD1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8.保护能力：具有独立的整流输入开关、旁路输入开关、电池开关、输出开关及人工手动维修开关控制功能,使维护工作轻松方便快捷。UPS输入端应提供可靠的雷击浪涌保护装置，在下列模拟雷电波发生时，保护装置应起保护作用，设备不应损坏：电压脉冲10/700μs,5kV：电流脉冲：8/20μs,20KA。</w:t>
            </w:r>
          </w:p>
          <w:p w14:paraId="52B53779"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9.UPS设备启动功能UPS设备应具有自动再启动功能、直流全启动功能。</w:t>
            </w:r>
          </w:p>
          <w:p w14:paraId="0D1DF30E"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10.遥测、遥信控制性能UPS设备应采用全数字控制技术；UPS设备应具有自动再启动功能、直流全启动功能和蓄电池自动维护功能；UPS设备应具备RS485／422标准通信接口，并提供与通信接口配套使用的通信线缆和各种告警信号输出端子。</w:t>
            </w:r>
          </w:p>
          <w:p w14:paraId="5102083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11.蓄电池组智能管理功能UPS应具有定时对蓄电池组进行自动浮充、均充转换，蓄电池组自动温度补偿及蓄电池组放电记录功能。</w:t>
            </w:r>
          </w:p>
          <w:p w14:paraId="5603408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12.定期UPS自检检测UPS的主要部件包括逆变器、充电器、电池及控制单元。</w:t>
            </w:r>
          </w:p>
          <w:p w14:paraId="55CEC372"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13.非线性带载能力强投标方应提供不同负载功率因数（超前0.8、0.9、1.0，滞后0.8、0.9）下UPS能够带载的能力。</w:t>
            </w:r>
          </w:p>
          <w:p w14:paraId="782CCECB" w14:textId="77777777" w:rsidR="004D1C14" w:rsidRPr="004D1C14" w:rsidRDefault="004D1C14" w:rsidP="004D1C14">
            <w:pPr>
              <w:autoSpaceDE w:val="0"/>
              <w:autoSpaceDN w:val="0"/>
              <w:adjustRightInd w:val="0"/>
              <w:snapToGrid w:val="0"/>
              <w:ind w:firstLineChars="100" w:firstLine="181"/>
              <w:rPr>
                <w:rFonts w:ascii="宋体" w:eastAsia="宋体" w:hAnsi="宋体" w:cs="宋体"/>
                <w:b/>
                <w:bCs/>
                <w:kern w:val="0"/>
                <w:sz w:val="18"/>
                <w:szCs w:val="18"/>
                <w:lang w:val="zh-CN" w:bidi="zh-CN"/>
              </w:rPr>
            </w:pPr>
            <w:r w:rsidRPr="004D1C14">
              <w:rPr>
                <w:rFonts w:ascii="宋体" w:eastAsia="宋体" w:hAnsi="宋体" w:cs="Times New Roman"/>
                <w:b/>
                <w:bCs/>
                <w:sz w:val="18"/>
                <w:szCs w:val="18"/>
              </w:rPr>
              <w:t>14.质量保证期5年。</w:t>
            </w:r>
          </w:p>
        </w:tc>
      </w:tr>
      <w:tr w:rsidR="004D1C14" w:rsidRPr="004D1C14" w14:paraId="6D16DD7A"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4E638D5" w14:textId="77777777" w:rsidR="004D1C14" w:rsidRPr="004D1C14" w:rsidRDefault="004D1C14" w:rsidP="004D1C14">
            <w:pPr>
              <w:numPr>
                <w:ilvl w:val="0"/>
                <w:numId w:val="11"/>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F1F0683"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60kVA UPS电源主机（不含电池）</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6449C63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1.输入指标：额定电压：±20%；输入频率：50Hz±5%；电流谐波含量：＜15%；功率因数：≥0.99。</w:t>
            </w:r>
          </w:p>
          <w:p w14:paraId="7D45810B"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2.输出指标：稳压精度：±1％；动态电压瞬变范围：±5% （恢复时间＜40ms）；输出功率因数：0.8（滞后）；输出电压波形失真度：线性负载＜2%，非线性负载＜4%；输出频率精度（电池逆变工作方式）：50Hz±1%输出三相电压不平衡度：≤5%；输出三相电压相位偏差（平衡线性负载）：0°；市电电池切换时间：0ms；旁路逆变切换时间（逆变器故障切换时）：0ms。</w:t>
            </w:r>
          </w:p>
          <w:p w14:paraId="6E748020"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3.整机工作效率：＞90%。</w:t>
            </w:r>
          </w:p>
          <w:p w14:paraId="066432A8"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4.内置输出隔离变压器，系统直流电压：384VDC。</w:t>
            </w:r>
          </w:p>
          <w:p w14:paraId="4CF8013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5.过载能力：输出为额定容量的125%：10min。</w:t>
            </w:r>
          </w:p>
          <w:p w14:paraId="61537EE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6.采用DSP全数字化控制技术，大屏幕触摸屏LCD中文显示（参考尺寸：5.7英寸），UPS工作模拟流程图显示界面为汉化的人机对话界面，具有清晰明了，易于操作的特点。显示屏内有很大的存储容量，能在掉电后保存最后500次UPS运行参数。</w:t>
            </w:r>
          </w:p>
          <w:p w14:paraId="5B397C80"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7.ECO工作模式： 能提高系统效率。如果负载对电源的质量要求不是很高（如用户设备允许断电＜20ms），而对系统的效率要求较高时，可将系统工作设置在“ECO工作方式”。具有ECO紧急开关功能按钮按下，UPS会立即封锁输出电压。</w:t>
            </w:r>
          </w:p>
          <w:p w14:paraId="476A26F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8.保护能力：具有独立的整流输入开关、旁路输入开关、电池开关、输出开关及人工手动维修开关控制功能,使维护工作轻松方便快捷。UPS输入端应提供可靠的雷击浪涌保护装置，在下列模拟雷电波发生时，保护装置应起保护作用，设备不应损坏：电压脉冲10/700μs,5kV：电流脉冲：8/20μs,20KA。</w:t>
            </w:r>
          </w:p>
          <w:p w14:paraId="4E66DF1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9.UPS设备启动功能UPS设备应具有自动再启动功能、直流全启动功能。</w:t>
            </w:r>
          </w:p>
          <w:p w14:paraId="5B88BEF5"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10.遥测、遥信控制性能UPS设备应采用全数字控制技术；UPS设备应具有自动再启动功能、直流全启动功能和蓄电池自动维护功能；UPS设备应具备RS485／422标准通信接口，并提供与通信接口配套使用的通信线缆和各种告警信号输出端子。</w:t>
            </w:r>
          </w:p>
          <w:p w14:paraId="28129BCA"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11.蓄电池组智能管理功能UPS应具有定时对蓄电池组进行自动浮充、均充转换，蓄电池组自动温度补偿及蓄电池组放电记录功能。</w:t>
            </w:r>
          </w:p>
          <w:p w14:paraId="6CEF659A"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12.定期UPS自检检测UPS的主要部件包括逆变器、充电器、电池及控制单元。</w:t>
            </w:r>
          </w:p>
          <w:p w14:paraId="3719C14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13.非线性带载能力强投标方应提供不同负载功率因数（超前0.8、0.9、1.0，滞后0.8、0.9）下UPS能够带载的能力。</w:t>
            </w:r>
          </w:p>
          <w:p w14:paraId="72179B46" w14:textId="77777777" w:rsidR="004D1C14" w:rsidRPr="004D1C14" w:rsidRDefault="004D1C14" w:rsidP="004D1C14">
            <w:pPr>
              <w:autoSpaceDE w:val="0"/>
              <w:autoSpaceDN w:val="0"/>
              <w:adjustRightInd w:val="0"/>
              <w:snapToGrid w:val="0"/>
              <w:ind w:firstLineChars="100" w:firstLine="181"/>
              <w:rPr>
                <w:rFonts w:ascii="宋体" w:eastAsia="宋体" w:hAnsi="宋体" w:cs="宋体"/>
                <w:b/>
                <w:bCs/>
                <w:kern w:val="0"/>
                <w:sz w:val="18"/>
                <w:szCs w:val="18"/>
                <w:lang w:bidi="zh-CN"/>
              </w:rPr>
            </w:pPr>
            <w:r w:rsidRPr="004D1C14">
              <w:rPr>
                <w:rFonts w:ascii="宋体" w:eastAsia="宋体" w:hAnsi="宋体" w:cs="Times New Roman"/>
                <w:b/>
                <w:bCs/>
                <w:sz w:val="18"/>
                <w:szCs w:val="18"/>
              </w:rPr>
              <w:t>14.质量保证期5年。</w:t>
            </w:r>
          </w:p>
        </w:tc>
      </w:tr>
      <w:tr w:rsidR="004D1C14" w:rsidRPr="004D1C14" w14:paraId="72D52236"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13B7534" w14:textId="77777777" w:rsidR="004D1C14" w:rsidRPr="004D1C14" w:rsidRDefault="004D1C14" w:rsidP="004D1C14">
            <w:pPr>
              <w:numPr>
                <w:ilvl w:val="0"/>
                <w:numId w:val="11"/>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010C0451"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50kVA UPS电源主机（不含电池）</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450E4249"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1.输入指标：额定电压：±20%；输入频率：50Hz±5%；电流谐波含量：＜15%；功率因数：≥0.99。</w:t>
            </w:r>
          </w:p>
          <w:p w14:paraId="4F11C076"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2.输出指标：稳压精度：±1％；动态电压瞬变范围：±5% （恢复时间＜40ms）；输出功率因数：0.8（滞后）；输出电压波形失真度：线性负载＜2%，非线性负载＜4%；输出频率精度（电池逆变工作方式）：50Hz±1%输出三相电压不平衡度：≤5%；输出三相电压相位偏差（平衡线性负载）：0°；市电电池切换时间：0ms；旁路逆变切换时间（逆变器故障切换时）：0ms。</w:t>
            </w:r>
          </w:p>
          <w:p w14:paraId="77116148"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3.整机工作效率：＞90%。</w:t>
            </w:r>
          </w:p>
          <w:p w14:paraId="70CDEF0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4.内置输出隔离变压器，系统直流电压：384VDC。</w:t>
            </w:r>
          </w:p>
          <w:p w14:paraId="2756F04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5.过载能力：输出为额定容量的125%：10min。</w:t>
            </w:r>
          </w:p>
          <w:p w14:paraId="4D4C9175"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6.采用DSP全数字化控制技术，大屏幕触摸屏LCD中文显示（参考尺寸：5.7英寸），UPS工作模拟流程图显示界面为汉化的人机对话界面，具有清晰明了，易于操作的特点。显示屏内有很大的存储容量，能在掉电后保存最后500次UPS运行参数。</w:t>
            </w:r>
          </w:p>
          <w:p w14:paraId="0D75222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7.ECO工作模式： 能提高系统效率。如果负载对电源的质量要求不是很高（如用户设备允许断电＜20ms），而对系统的效率要求较高时，可将系统工作设置在“ECO工作方式”。具有ECO紧急开关功能按钮按下，UPS会立即封锁输出电压。</w:t>
            </w:r>
          </w:p>
          <w:p w14:paraId="61ABF42E"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8.保护能力：具有独立的整流输入开关、旁路输入开关、电池开关、输出开关及人工手动维修开关控制功能,使维护工作轻松方便快捷。UPS输入端应提供可靠的雷击浪涌保护装置，在下列模拟雷电波发生时，保护装置应起保护作用，设备不应损坏：电压脉冲10/700μs,5kV：电流脉冲：8/20μs,20KA。</w:t>
            </w:r>
          </w:p>
          <w:p w14:paraId="1CC3638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9.UPS设备启动功能UPS设备应具有自动再启动功能、直流全启动功能。</w:t>
            </w:r>
          </w:p>
          <w:p w14:paraId="0ECDEB3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10.遥测、遥信控制性能UPS设备应采用全数字控制技术；UPS设备应具有自动再启动功能、直流全启动功能和蓄电池自动维护功能；UPS设备应具备RS485／422标准通信接口，并提供与通信接口配套使用的通信线缆和各种告警信号输出端子。</w:t>
            </w:r>
          </w:p>
          <w:p w14:paraId="0CC5672A"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11.蓄电池组智能管理功能UPS应具有定时对蓄电池组进行自动浮充、均充转换，蓄电池组自动温度补偿及蓄电池组放电记录功能。</w:t>
            </w:r>
          </w:p>
          <w:p w14:paraId="0C1362FE"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12.定期UPS自检检测UPS的主要部件包括逆变器、充电器、电池及控制单元。</w:t>
            </w:r>
          </w:p>
          <w:p w14:paraId="5EC96E9B"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13.非线性带载能力强投标方应提供不同负载功率因数（超前0.8、0.9、1.0，滞后0.8、0.9）下UPS能够带载的能力。</w:t>
            </w:r>
          </w:p>
          <w:p w14:paraId="70A52352" w14:textId="77777777" w:rsidR="004D1C14" w:rsidRPr="004D1C14" w:rsidRDefault="004D1C14" w:rsidP="004D1C14">
            <w:pPr>
              <w:autoSpaceDE w:val="0"/>
              <w:autoSpaceDN w:val="0"/>
              <w:adjustRightInd w:val="0"/>
              <w:snapToGrid w:val="0"/>
              <w:ind w:firstLineChars="100" w:firstLine="181"/>
              <w:rPr>
                <w:rFonts w:ascii="宋体" w:eastAsia="宋体" w:hAnsi="宋体" w:cs="宋体"/>
                <w:b/>
                <w:bCs/>
                <w:kern w:val="0"/>
                <w:sz w:val="18"/>
                <w:szCs w:val="18"/>
                <w:lang w:val="zh-CN" w:bidi="zh-CN"/>
              </w:rPr>
            </w:pPr>
            <w:r w:rsidRPr="004D1C14">
              <w:rPr>
                <w:rFonts w:ascii="宋体" w:eastAsia="宋体" w:hAnsi="宋体" w:cs="Times New Roman"/>
                <w:b/>
                <w:bCs/>
                <w:sz w:val="18"/>
                <w:szCs w:val="18"/>
              </w:rPr>
              <w:t>14.质量保证期5年。</w:t>
            </w:r>
          </w:p>
        </w:tc>
      </w:tr>
      <w:tr w:rsidR="004D1C14" w:rsidRPr="004D1C14" w14:paraId="02A6FAE2"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58E617B" w14:textId="77777777" w:rsidR="004D1C14" w:rsidRPr="004D1C14" w:rsidRDefault="004D1C14" w:rsidP="004D1C14">
            <w:pPr>
              <w:numPr>
                <w:ilvl w:val="0"/>
                <w:numId w:val="11"/>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723EB33A"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40kVA UPS电源主机（不含电池）</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6A6EA889"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1.输入指标：额定电压：±20%；输入频率：50Hz±5%；电流谐波含量：＜15%；功率因数：≥0.99。</w:t>
            </w:r>
          </w:p>
          <w:p w14:paraId="32448256"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2.输出指标：稳压精度：±1％；动态电压瞬变范围：±5% （恢复时间＜40ms）；输出功率因数：0.8（滞后）；输出电压波形失真度：线性负载＜2%，非线性负载＜4%；输出频率精度（电池逆变工作方式）：50Hz±1%输出三相电压不平衡度：≤5%；输出三相电压相位偏差（平衡线性负载）：0°；市电电池切换时间：0ms；旁路逆变切换时间（逆变器故障切换时）：0ms。</w:t>
            </w:r>
          </w:p>
          <w:p w14:paraId="0948ECAB"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3.整机工作效率：＞90%。</w:t>
            </w:r>
          </w:p>
          <w:p w14:paraId="4DAC2447"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4.内置输出隔离变压器，系统直流电压：384VDC。</w:t>
            </w:r>
          </w:p>
          <w:p w14:paraId="5FF88E8F"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5.过载能力：输出为额定容量的125%：10min。</w:t>
            </w:r>
          </w:p>
          <w:p w14:paraId="5D81EAD3"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6.采用DSP全数字化控制技术，大屏幕触摸屏LCD中文显示（参考尺寸：5.7英寸），UPS工作模拟流程图显示界面为汉化的人机对话界面，具有清晰明了，易于操作的特点。显示屏内有很大的存储容量，能在掉电后保存最后500次UPS运行参数。</w:t>
            </w:r>
          </w:p>
          <w:p w14:paraId="5C1A898D"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7.ECO工作模式： 能提高系统效率。如果负载对电源的质量要求不是很高（如用户设备允许断电＜20ms），而对系统的效率要求较高时，可将系统工作设置在“ECO工作方式”。具有ECO紧急开关功能按钮按下，UPS会立即封锁输出电压。</w:t>
            </w:r>
          </w:p>
          <w:p w14:paraId="011BCB74"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8.保护能力：具有独立的整流输入开关、旁路输入开关、电池开关、输出开关及人工手动维修开关控制功能,使维护工作轻松方便快捷。UPS输入端应提供可靠的雷击浪涌保护装置，在下列模拟雷电波发生时，保护装置应起保护作用，设备不应损坏：电压脉冲10/700μs,5kV：电流脉冲：8/20μs,20KA。</w:t>
            </w:r>
          </w:p>
          <w:p w14:paraId="2258E3D4"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9.UPS设备启动功能UPS设备应具有自动再启动功能、直流全启动功能。</w:t>
            </w:r>
          </w:p>
          <w:p w14:paraId="472908D1"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10.遥测、遥信控制性能UPS设备应采用全数字控制技术；UPS设备应具有自动再启动功能、直流全启动功能和蓄电池自动维护功能；UPS设备应具备RS485／422标准通信接口，并提供与通信接口配套使用的通信线缆和各种告警信号输出端子。</w:t>
            </w:r>
          </w:p>
          <w:p w14:paraId="0C44263D"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11.蓄电池组智能管理功能UPS应具有定时对蓄电池组进行自动浮充、均充转换，蓄电池组自动温度补偿及蓄电池组放电记录功能。</w:t>
            </w:r>
          </w:p>
          <w:p w14:paraId="2D7BA7F6"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12.定期UPS自检检测UPS的主要部件包括逆变器、充电器、电池及控制单元。</w:t>
            </w:r>
          </w:p>
          <w:p w14:paraId="7BE74BE0" w14:textId="77777777" w:rsidR="004D1C14" w:rsidRPr="004D1C14" w:rsidRDefault="004D1C14" w:rsidP="004D1C14">
            <w:pPr>
              <w:autoSpaceDE w:val="0"/>
              <w:autoSpaceDN w:val="0"/>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13.非线性带载能力强投标方应提供不同负载功率因数（超前0.8、0.9、1.0，滞后0.8、0.9）下UPS能够带载的能力。</w:t>
            </w:r>
          </w:p>
          <w:p w14:paraId="7356C376" w14:textId="77777777" w:rsidR="004D1C14" w:rsidRPr="004D1C14" w:rsidRDefault="004D1C14" w:rsidP="004D1C14">
            <w:pPr>
              <w:autoSpaceDE w:val="0"/>
              <w:autoSpaceDN w:val="0"/>
              <w:adjustRightInd w:val="0"/>
              <w:snapToGrid w:val="0"/>
              <w:ind w:firstLineChars="100" w:firstLine="181"/>
              <w:rPr>
                <w:rFonts w:ascii="宋体" w:eastAsia="宋体" w:hAnsi="宋体" w:cs="宋体"/>
                <w:b/>
                <w:bCs/>
                <w:kern w:val="0"/>
                <w:sz w:val="18"/>
                <w:szCs w:val="18"/>
                <w:lang w:val="zh-CN" w:bidi="zh-CN"/>
              </w:rPr>
            </w:pPr>
            <w:r w:rsidRPr="004D1C14">
              <w:rPr>
                <w:rFonts w:ascii="宋体" w:eastAsia="宋体" w:hAnsi="宋体" w:cs="Times New Roman"/>
                <w:b/>
                <w:bCs/>
                <w:sz w:val="18"/>
                <w:szCs w:val="18"/>
              </w:rPr>
              <w:t>14.质量保证期5年。</w:t>
            </w:r>
          </w:p>
        </w:tc>
      </w:tr>
      <w:tr w:rsidR="004D1C14" w:rsidRPr="004D1C14" w14:paraId="43206788"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AF353D7" w14:textId="77777777" w:rsidR="004D1C14" w:rsidRPr="004D1C14" w:rsidRDefault="004D1C14" w:rsidP="004D1C14">
            <w:pPr>
              <w:numPr>
                <w:ilvl w:val="0"/>
                <w:numId w:val="11"/>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43E45199"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30kVA UPS电源主机（不含电池）</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291B3A0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1.输入指标：额定电压：±20%；输入频率：50Hz±5%；电流谐波含量：＜15%；功率因数：≥0.99。</w:t>
            </w:r>
          </w:p>
          <w:p w14:paraId="148E7B3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2.输出指标：稳压精度：±1％；动态电压瞬变范围：±5% （恢复时间＜40ms）；输出功率因数：0.8（滞后）；输出电压波形失真度：线性负载＜2%，非线性负载＜4%；输出频率精度（电池逆变工作方式）：50Hz±1%输出三相电压不平衡度：≤5%；输出三相电压相位偏差（平衡线性负载）：0°；市电电池切换时间：0ms；旁路逆变切换时间（逆变器故障切换时）：0ms。</w:t>
            </w:r>
          </w:p>
          <w:p w14:paraId="39197779"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3.整机工作效率：＞90%。</w:t>
            </w:r>
          </w:p>
          <w:p w14:paraId="210920E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4.内置输出隔离变压器，系统直流电压：384VDC。</w:t>
            </w:r>
          </w:p>
          <w:p w14:paraId="7640A78B"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5.过载能力：输出为额定容量的125%：10min。</w:t>
            </w:r>
          </w:p>
          <w:p w14:paraId="296866F9"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6.采用DSP全数字化控制技术，大屏幕触摸屏LCD中文显示（参考尺寸：5.7英寸），UPS工作模拟流程图显示界面为汉化的人机对话界面，具有清晰明了，易于操作的特点。显示屏内有很大的存储容量，能在掉电后保存最后500次UPS运行参数。</w:t>
            </w:r>
          </w:p>
          <w:p w14:paraId="25433274"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7.ECO工作模式： 能提高系统效率。如果负载对电源的质量要求不是很高（如用户设备允许断电＜20ms），而对系统的效率要求较高时，可将系统工作设置在“ECO工作方式”。具有ECO紧急开关功能按钮按下，UPS会立即封锁输出电压。</w:t>
            </w:r>
          </w:p>
          <w:p w14:paraId="1DF3575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8.保护能力：具有独立的整流输入开关、旁路输入开关、电池开关、输出开关及人工手动维修开关控制功能,使维护工作轻松方便快捷。UPS输入端应提供可靠的雷击浪涌保护装置，在下列模拟雷电波发生时，保护装置应起保护作用，设备不应损坏：电压脉冲10/700μs,5kV：电流脉冲：8/20μs,20KA。</w:t>
            </w:r>
          </w:p>
          <w:p w14:paraId="1B6B9914"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9.UPS设备启动功能UPS设备应具有自动再启动功能、直流全启动功能。</w:t>
            </w:r>
          </w:p>
          <w:p w14:paraId="09DC454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10.遥测、遥信控制性能UPS设备应采用全数字控制技术；UPS设备应具有自动再启动功能、直流全启动功能和蓄电池自动维护功能；UPS设备应具备RS485／422标准通信接口，并提供与通信接口配套使用的通信线缆和各种告警信号输出端子。</w:t>
            </w:r>
          </w:p>
          <w:p w14:paraId="625A39F6"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11.蓄电池组智能管理功能UPS应具有定时对蓄电池组进行自动浮充、均充转换，蓄电池组自动温度补偿及蓄电池组放电记录功能。</w:t>
            </w:r>
          </w:p>
          <w:p w14:paraId="3A6E80AA"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12.定期UPS自检检测UPS的主要部件包括逆变器、充电器、电池及控制单元。</w:t>
            </w:r>
          </w:p>
          <w:p w14:paraId="3C4ABB9F" w14:textId="77777777" w:rsidR="004D1C14" w:rsidRPr="004D1C14" w:rsidRDefault="004D1C14" w:rsidP="004D1C14">
            <w:pPr>
              <w:adjustRightInd w:val="0"/>
              <w:snapToGrid w:val="0"/>
              <w:ind w:firstLineChars="100" w:firstLine="180"/>
              <w:rPr>
                <w:rFonts w:ascii="宋体" w:eastAsia="宋体" w:hAnsi="宋体" w:cs="Times New Roman"/>
                <w:sz w:val="18"/>
                <w:szCs w:val="18"/>
              </w:rPr>
            </w:pPr>
            <w:r w:rsidRPr="004D1C14">
              <w:rPr>
                <w:rFonts w:ascii="宋体" w:eastAsia="宋体" w:hAnsi="宋体" w:cs="Times New Roman" w:hint="eastAsia"/>
                <w:sz w:val="18"/>
                <w:szCs w:val="18"/>
              </w:rPr>
              <w:t>13.非线性带载能力强投标方应提供不同负载功率因数（超前0.8、0.9、1.0，滞后0.8、0.9）下UPS能够带载的能力。</w:t>
            </w:r>
          </w:p>
          <w:p w14:paraId="1A0C8FA4" w14:textId="77777777" w:rsidR="004D1C14" w:rsidRPr="004D1C14" w:rsidRDefault="004D1C14" w:rsidP="004D1C14">
            <w:pPr>
              <w:adjustRightInd w:val="0"/>
              <w:snapToGrid w:val="0"/>
              <w:ind w:firstLineChars="100" w:firstLine="181"/>
              <w:rPr>
                <w:rFonts w:ascii="宋体" w:eastAsia="宋体" w:hAnsi="宋体" w:cs="Times New Roman"/>
                <w:b/>
                <w:bCs/>
                <w:sz w:val="18"/>
                <w:szCs w:val="18"/>
              </w:rPr>
            </w:pPr>
            <w:r w:rsidRPr="004D1C14">
              <w:rPr>
                <w:rFonts w:ascii="宋体" w:eastAsia="宋体" w:hAnsi="宋体" w:cs="Times New Roman" w:hint="eastAsia"/>
                <w:b/>
                <w:bCs/>
                <w:sz w:val="18"/>
                <w:szCs w:val="18"/>
              </w:rPr>
              <w:t>1</w:t>
            </w:r>
            <w:r w:rsidRPr="004D1C14">
              <w:rPr>
                <w:rFonts w:ascii="宋体" w:eastAsia="宋体" w:hAnsi="宋体" w:cs="Times New Roman"/>
                <w:b/>
                <w:bCs/>
                <w:sz w:val="18"/>
                <w:szCs w:val="18"/>
              </w:rPr>
              <w:t>4.</w:t>
            </w:r>
            <w:r w:rsidRPr="004D1C14">
              <w:rPr>
                <w:rFonts w:ascii="宋体" w:eastAsia="宋体" w:hAnsi="宋体" w:cs="Times New Roman" w:hint="eastAsia"/>
                <w:b/>
                <w:bCs/>
                <w:sz w:val="18"/>
                <w:szCs w:val="18"/>
              </w:rPr>
              <w:t>质量保证期</w:t>
            </w:r>
            <w:r w:rsidRPr="004D1C14">
              <w:rPr>
                <w:rFonts w:ascii="宋体" w:eastAsia="宋体" w:hAnsi="宋体" w:cs="Times New Roman"/>
                <w:b/>
                <w:bCs/>
                <w:sz w:val="18"/>
                <w:szCs w:val="18"/>
              </w:rPr>
              <w:t>5年</w:t>
            </w:r>
            <w:r w:rsidRPr="004D1C14">
              <w:rPr>
                <w:rFonts w:ascii="宋体" w:eastAsia="宋体" w:hAnsi="宋体" w:cs="Times New Roman" w:hint="eastAsia"/>
                <w:b/>
                <w:bCs/>
                <w:sz w:val="18"/>
                <w:szCs w:val="18"/>
              </w:rPr>
              <w:t>。</w:t>
            </w:r>
          </w:p>
        </w:tc>
      </w:tr>
      <w:tr w:rsidR="004D1C14" w:rsidRPr="004D1C14" w14:paraId="22E6E40E"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D3093AA" w14:textId="77777777" w:rsidR="004D1C14" w:rsidRPr="004D1C14" w:rsidRDefault="004D1C14" w:rsidP="004D1C14">
            <w:pPr>
              <w:numPr>
                <w:ilvl w:val="0"/>
                <w:numId w:val="11"/>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5B9DB0A1" w14:textId="77777777" w:rsidR="004D1C14" w:rsidRPr="004D1C14" w:rsidRDefault="004D1C14" w:rsidP="004D1C14">
            <w:pPr>
              <w:adjustRightInd w:val="0"/>
              <w:snapToGrid w:val="0"/>
              <w:rPr>
                <w:rFonts w:ascii="宋体" w:eastAsia="宋体" w:hAnsi="宋体" w:cs="Times New Roman"/>
                <w:b/>
                <w:bCs/>
                <w:szCs w:val="21"/>
                <w:u w:val="wave"/>
              </w:rPr>
            </w:pPr>
            <w:r w:rsidRPr="004D1C14">
              <w:rPr>
                <w:rFonts w:ascii="宋体" w:eastAsia="宋体" w:hAnsi="宋体" w:cs="Times New Roman" w:hint="eastAsia"/>
                <w:szCs w:val="21"/>
              </w:rPr>
              <w:t>工业级稳压电源（250kVA）</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4B8E0274"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（1）输入稳压范围：三相270V-510V；</w:t>
            </w:r>
          </w:p>
          <w:p w14:paraId="2201008C"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（2）稳压精度：三相380V±2％；</w:t>
            </w:r>
          </w:p>
          <w:p w14:paraId="1B7EBD9F"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（3）响应时间：10-40ms；</w:t>
            </w:r>
          </w:p>
          <w:p w14:paraId="683D5088"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（4）功率因数：0.95；</w:t>
            </w:r>
          </w:p>
          <w:p w14:paraId="13474E18"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（5）电源效率：  ≧90％；</w:t>
            </w:r>
          </w:p>
          <w:p w14:paraId="318BBCA5"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（6）抗尖峰干扰能力：输入迭加3kV尖峰信号,脉冲输出≤30V</w:t>
            </w:r>
          </w:p>
          <w:p w14:paraId="58D0DC2F"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（7）总谐波失真： ≤2％；</w:t>
            </w:r>
          </w:p>
          <w:p w14:paraId="5F9BD389"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（8）三相分调：保证每相输出电压的精度稳定。在负载发生变化或不平衡时，不会影响输出电压的平衡。</w:t>
            </w:r>
          </w:p>
          <w:p w14:paraId="780F0E26" w14:textId="77777777" w:rsidR="004D1C14" w:rsidRPr="004D1C14" w:rsidRDefault="004D1C14" w:rsidP="004D1C14">
            <w:pPr>
              <w:adjustRightInd w:val="0"/>
              <w:snapToGrid w:val="0"/>
              <w:ind w:firstLineChars="100" w:firstLine="211"/>
              <w:rPr>
                <w:rFonts w:ascii="宋体" w:eastAsia="宋体" w:hAnsi="宋体" w:cs="Times New Roman"/>
                <w:b/>
                <w:bCs/>
                <w:szCs w:val="21"/>
              </w:rPr>
            </w:pPr>
            <w:r w:rsidRPr="004D1C14">
              <w:rPr>
                <w:rFonts w:ascii="宋体" w:eastAsia="宋体" w:hAnsi="宋体" w:cs="Times New Roman" w:hint="eastAsia"/>
                <w:b/>
                <w:bCs/>
                <w:szCs w:val="21"/>
              </w:rPr>
              <w:t>（9）自带输出隔离抗干扰功能</w:t>
            </w:r>
          </w:p>
          <w:p w14:paraId="749ED0C5"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（10）输出延时1-60S可调</w:t>
            </w:r>
          </w:p>
          <w:p w14:paraId="0BBC1745"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（11）工作噪音： ≤65dB</w:t>
            </w:r>
          </w:p>
          <w:p w14:paraId="49D575BA"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（12）平均无故障时间：MTBF≥120000小时</w:t>
            </w:r>
          </w:p>
          <w:p w14:paraId="1D123B3C"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（13）绝缘等级：B级</w:t>
            </w:r>
          </w:p>
          <w:p w14:paraId="5F773E64"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（14）工作方式：连续</w:t>
            </w:r>
          </w:p>
          <w:p w14:paraId="7CA17B1C" w14:textId="77777777" w:rsidR="004D1C14" w:rsidRPr="004D1C14" w:rsidRDefault="004D1C14" w:rsidP="004D1C14">
            <w:pPr>
              <w:adjustRightInd w:val="0"/>
              <w:snapToGrid w:val="0"/>
              <w:ind w:firstLineChars="100" w:firstLine="210"/>
              <w:rPr>
                <w:rFonts w:ascii="宋体" w:eastAsia="宋体" w:hAnsi="宋体" w:cs="Times New Roman"/>
                <w:b/>
                <w:bCs/>
                <w:szCs w:val="21"/>
              </w:rPr>
            </w:pPr>
            <w:r w:rsidRPr="004D1C14">
              <w:rPr>
                <w:rFonts w:ascii="宋体" w:eastAsia="宋体" w:hAnsi="宋体" w:cs="Times New Roman" w:hint="eastAsia"/>
                <w:szCs w:val="21"/>
              </w:rPr>
              <w:t>（15）冷却方式：自然冷却或风冷。</w:t>
            </w:r>
          </w:p>
        </w:tc>
      </w:tr>
      <w:tr w:rsidR="004D1C14" w:rsidRPr="004D1C14" w14:paraId="6953CD0E" w14:textId="77777777" w:rsidTr="004D1C14">
        <w:trPr>
          <w:cantSplit/>
          <w:trHeight w:val="567"/>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EC7B818" w14:textId="77777777" w:rsidR="004D1C14" w:rsidRPr="004D1C14" w:rsidRDefault="004D1C14" w:rsidP="004D1C14">
            <w:pPr>
              <w:numPr>
                <w:ilvl w:val="0"/>
                <w:numId w:val="11"/>
              </w:numPr>
              <w:adjustRightInd w:val="0"/>
              <w:snapToGrid w:val="0"/>
              <w:jc w:val="center"/>
              <w:rPr>
                <w:rFonts w:ascii="宋体" w:eastAsia="宋体" w:hAnsi="宋体" w:cs="Times New Roman"/>
                <w:b/>
                <w:bCs/>
                <w:szCs w:val="21"/>
              </w:rPr>
            </w:pP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1EEE1D61" w14:textId="77777777" w:rsidR="004D1C14" w:rsidRPr="004D1C14" w:rsidRDefault="004D1C14" w:rsidP="004D1C14">
            <w:pPr>
              <w:adjustRightInd w:val="0"/>
              <w:snapToGrid w:val="0"/>
              <w:rPr>
                <w:rFonts w:ascii="宋体" w:eastAsia="宋体" w:hAnsi="宋体" w:cs="Times New Roman"/>
                <w:b/>
                <w:bCs/>
                <w:szCs w:val="21"/>
              </w:rPr>
            </w:pPr>
            <w:r w:rsidRPr="004D1C14">
              <w:rPr>
                <w:rFonts w:ascii="宋体" w:eastAsia="宋体" w:hAnsi="宋体" w:cs="Times New Roman" w:hint="eastAsia"/>
                <w:szCs w:val="21"/>
              </w:rPr>
              <w:t>工业级稳压电源（100kVA）</w:t>
            </w:r>
          </w:p>
        </w:tc>
        <w:tc>
          <w:tcPr>
            <w:tcW w:w="7493" w:type="dxa"/>
            <w:tcBorders>
              <w:top w:val="single" w:sz="4" w:space="0" w:color="auto"/>
              <w:left w:val="single" w:sz="4" w:space="0" w:color="auto"/>
              <w:bottom w:val="single" w:sz="4" w:space="0" w:color="auto"/>
              <w:right w:val="single" w:sz="4" w:space="0" w:color="auto"/>
            </w:tcBorders>
            <w:shd w:val="clear" w:color="000000" w:fill="FFFFFF"/>
            <w:vAlign w:val="center"/>
          </w:tcPr>
          <w:p w14:paraId="2FE9CF9B"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（1）输入稳压范围：三相270V-510V；</w:t>
            </w:r>
          </w:p>
          <w:p w14:paraId="37CE3E15"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（2）稳压精度：三相380V±2％；</w:t>
            </w:r>
          </w:p>
          <w:p w14:paraId="7E307E1F"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（3）响应时间：10-40ms；</w:t>
            </w:r>
          </w:p>
          <w:p w14:paraId="25636AF1"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（4）功率因数：0.95；</w:t>
            </w:r>
          </w:p>
          <w:p w14:paraId="720A66CE"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（5）电源效率：  ≧90％；</w:t>
            </w:r>
          </w:p>
          <w:p w14:paraId="1416E313"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（6）抗尖峰干扰能力：输入迭加3kV尖峰信号,脉冲输出≤30V</w:t>
            </w:r>
          </w:p>
          <w:p w14:paraId="4D121BA8"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（7）总谐波失真： ≤2％；</w:t>
            </w:r>
          </w:p>
          <w:p w14:paraId="4ABBC802"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（8）三相分调：保证每相输出电压的精度稳定。在负载发生变化或不平衡时，不会影响输出电压的平衡。</w:t>
            </w:r>
          </w:p>
          <w:p w14:paraId="20F4D59C" w14:textId="77777777" w:rsidR="004D1C14" w:rsidRPr="004D1C14" w:rsidRDefault="004D1C14" w:rsidP="004D1C14">
            <w:pPr>
              <w:adjustRightInd w:val="0"/>
              <w:snapToGrid w:val="0"/>
              <w:ind w:firstLineChars="100" w:firstLine="211"/>
              <w:rPr>
                <w:rFonts w:ascii="宋体" w:eastAsia="宋体" w:hAnsi="宋体" w:cs="Times New Roman"/>
                <w:b/>
                <w:bCs/>
                <w:szCs w:val="21"/>
              </w:rPr>
            </w:pPr>
            <w:r w:rsidRPr="004D1C14">
              <w:rPr>
                <w:rFonts w:ascii="宋体" w:eastAsia="宋体" w:hAnsi="宋体" w:cs="Times New Roman" w:hint="eastAsia"/>
                <w:b/>
                <w:bCs/>
                <w:szCs w:val="21"/>
              </w:rPr>
              <w:t>（9）自带输出隔离抗干扰功能</w:t>
            </w:r>
          </w:p>
          <w:p w14:paraId="6BB39630"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（10）输出延时1-60S可调</w:t>
            </w:r>
          </w:p>
          <w:p w14:paraId="6395AB71"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（11）工作噪音： ≤65dB</w:t>
            </w:r>
          </w:p>
          <w:p w14:paraId="7FDEFF90"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（12）平均无故障时间：MTBF≥120000小时</w:t>
            </w:r>
          </w:p>
          <w:p w14:paraId="28FF3EA2"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（13）绝缘等级：B级</w:t>
            </w:r>
          </w:p>
          <w:p w14:paraId="6312A87D" w14:textId="77777777" w:rsidR="004D1C14" w:rsidRPr="004D1C14" w:rsidRDefault="004D1C14" w:rsidP="004D1C14">
            <w:pPr>
              <w:adjustRightInd w:val="0"/>
              <w:snapToGrid w:val="0"/>
              <w:ind w:firstLineChars="100" w:firstLine="210"/>
              <w:rPr>
                <w:rFonts w:ascii="宋体" w:eastAsia="宋体" w:hAnsi="宋体" w:cs="Times New Roman"/>
                <w:szCs w:val="21"/>
              </w:rPr>
            </w:pPr>
            <w:r w:rsidRPr="004D1C14">
              <w:rPr>
                <w:rFonts w:ascii="宋体" w:eastAsia="宋体" w:hAnsi="宋体" w:cs="Times New Roman" w:hint="eastAsia"/>
                <w:szCs w:val="21"/>
              </w:rPr>
              <w:t>（14）工作方式：连续</w:t>
            </w:r>
          </w:p>
          <w:p w14:paraId="5DD6A2DE" w14:textId="77777777" w:rsidR="004D1C14" w:rsidRPr="004D1C14" w:rsidRDefault="004D1C14" w:rsidP="004D1C14">
            <w:pPr>
              <w:adjustRightInd w:val="0"/>
              <w:snapToGrid w:val="0"/>
              <w:ind w:firstLineChars="100" w:firstLine="210"/>
              <w:rPr>
                <w:rFonts w:ascii="宋体" w:eastAsia="宋体" w:hAnsi="宋体" w:cs="Times New Roman"/>
                <w:b/>
                <w:bCs/>
                <w:szCs w:val="21"/>
              </w:rPr>
            </w:pPr>
            <w:r w:rsidRPr="004D1C14">
              <w:rPr>
                <w:rFonts w:ascii="宋体" w:eastAsia="宋体" w:hAnsi="宋体" w:cs="Times New Roman" w:hint="eastAsia"/>
                <w:szCs w:val="21"/>
              </w:rPr>
              <w:t>（15）冷却方式：自然冷却或风冷。</w:t>
            </w:r>
          </w:p>
        </w:tc>
      </w:tr>
    </w:tbl>
    <w:p w14:paraId="4EEE889F" w14:textId="77777777" w:rsidR="004D1C14" w:rsidRPr="004D1C14" w:rsidRDefault="004D1C14" w:rsidP="004D1C14">
      <w:pPr>
        <w:widowControl/>
        <w:snapToGrid w:val="0"/>
        <w:jc w:val="left"/>
        <w:rPr>
          <w:rFonts w:ascii="楷体" w:eastAsia="楷体" w:hAnsi="楷体" w:cs="Times New Roman"/>
          <w:sz w:val="24"/>
          <w:szCs w:val="24"/>
        </w:rPr>
      </w:pPr>
    </w:p>
    <w:bookmarkEnd w:id="0"/>
    <w:bookmarkEnd w:id="1"/>
    <w:p w14:paraId="2321F265" w14:textId="77777777" w:rsidR="004D1C14" w:rsidRPr="004D1C14" w:rsidRDefault="004D1C14" w:rsidP="004D1C14">
      <w:pPr>
        <w:snapToGrid w:val="0"/>
      </w:pPr>
    </w:p>
    <w:sectPr w:rsidR="004D1C14" w:rsidRPr="004D1C14" w:rsidSect="00CB5C84">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55B9" w14:textId="77777777" w:rsidR="005605FD" w:rsidRDefault="005605FD" w:rsidP="00CB5C84">
      <w:r>
        <w:separator/>
      </w:r>
    </w:p>
  </w:endnote>
  <w:endnote w:type="continuationSeparator" w:id="0">
    <w:p w14:paraId="704F394A" w14:textId="77777777" w:rsidR="005605FD" w:rsidRDefault="005605FD"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400C" w14:textId="5B1588AB" w:rsidR="00CB5C84" w:rsidRPr="00CB5C84" w:rsidRDefault="00CB5C84" w:rsidP="00CB5C84">
    <w:pPr>
      <w:pStyle w:val="a8"/>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2</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7B6F" w14:textId="77777777" w:rsidR="005605FD" w:rsidRDefault="005605FD" w:rsidP="00CB5C84">
      <w:r>
        <w:separator/>
      </w:r>
    </w:p>
  </w:footnote>
  <w:footnote w:type="continuationSeparator" w:id="0">
    <w:p w14:paraId="168DB1A5" w14:textId="77777777" w:rsidR="005605FD" w:rsidRDefault="005605FD"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716"/>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9E1829"/>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127D76"/>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BD6A99"/>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298F1EF7"/>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462FC9"/>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52E2A9A"/>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7E22AC"/>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0"/>
  </w:num>
  <w:num w:numId="3">
    <w:abstractNumId w:val="7"/>
  </w:num>
  <w:num w:numId="4">
    <w:abstractNumId w:val="8"/>
  </w:num>
  <w:num w:numId="5">
    <w:abstractNumId w:val="0"/>
  </w:num>
  <w:num w:numId="6">
    <w:abstractNumId w:val="6"/>
  </w:num>
  <w:num w:numId="7">
    <w:abstractNumId w:val="1"/>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4"/>
    <w:rsid w:val="000035E0"/>
    <w:rsid w:val="0003590D"/>
    <w:rsid w:val="000558A1"/>
    <w:rsid w:val="000F7715"/>
    <w:rsid w:val="000F7B46"/>
    <w:rsid w:val="00104EF6"/>
    <w:rsid w:val="00261DBE"/>
    <w:rsid w:val="003711A5"/>
    <w:rsid w:val="00430CA6"/>
    <w:rsid w:val="0047508A"/>
    <w:rsid w:val="0049770A"/>
    <w:rsid w:val="004D1309"/>
    <w:rsid w:val="004D1C14"/>
    <w:rsid w:val="005605FD"/>
    <w:rsid w:val="005F7FD3"/>
    <w:rsid w:val="006E1503"/>
    <w:rsid w:val="00780FA5"/>
    <w:rsid w:val="0081170B"/>
    <w:rsid w:val="008272E8"/>
    <w:rsid w:val="00891C05"/>
    <w:rsid w:val="009C13FD"/>
    <w:rsid w:val="009C62DA"/>
    <w:rsid w:val="00A13AB4"/>
    <w:rsid w:val="00A56E10"/>
    <w:rsid w:val="00B85A21"/>
    <w:rsid w:val="00BA1BE8"/>
    <w:rsid w:val="00BB36C4"/>
    <w:rsid w:val="00CB45FA"/>
    <w:rsid w:val="00CB5C84"/>
    <w:rsid w:val="00D6330D"/>
    <w:rsid w:val="00E0626F"/>
    <w:rsid w:val="00F5303E"/>
    <w:rsid w:val="00F6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9DB"/>
  <w15:chartTrackingRefBased/>
  <w15:docId w15:val="{1B0C8239-E18C-43F7-8E46-21C548E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84"/>
    <w:pPr>
      <w:widowControl w:val="0"/>
      <w:jc w:val="both"/>
    </w:pPr>
  </w:style>
  <w:style w:type="paragraph" w:styleId="2">
    <w:name w:val="heading 2"/>
    <w:basedOn w:val="a"/>
    <w:next w:val="a"/>
    <w:link w:val="20"/>
    <w:uiPriority w:val="9"/>
    <w:semiHidden/>
    <w:unhideWhenUsed/>
    <w:qFormat/>
    <w:rsid w:val="00CB5C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CB5C84"/>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C84"/>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rsid w:val="00CB5C84"/>
    <w:rPr>
      <w:rFonts w:ascii="Times New Roman" w:eastAsia="宋体" w:hAnsi="Times New Roman" w:cs="Times New Roman"/>
      <w:b/>
      <w:bCs/>
      <w:sz w:val="32"/>
      <w:szCs w:val="32"/>
      <w:lang w:val="x-none" w:eastAsia="x-none"/>
    </w:rPr>
  </w:style>
  <w:style w:type="character" w:customStyle="1" w:styleId="20">
    <w:name w:val="标题 2 字符"/>
    <w:basedOn w:val="a0"/>
    <w:link w:val="2"/>
    <w:uiPriority w:val="9"/>
    <w:semiHidden/>
    <w:rsid w:val="00CB5C84"/>
    <w:rPr>
      <w:rFonts w:asciiTheme="majorHAnsi" w:eastAsiaTheme="majorEastAsia" w:hAnsiTheme="majorHAnsi" w:cstheme="majorBidi"/>
      <w:b/>
      <w:bCs/>
      <w:sz w:val="32"/>
      <w:szCs w:val="32"/>
    </w:rPr>
  </w:style>
  <w:style w:type="character" w:styleId="a3">
    <w:name w:val="footnote reference"/>
    <w:rsid w:val="00CB5C84"/>
    <w:rPr>
      <w:vertAlign w:val="superscript"/>
    </w:rPr>
  </w:style>
  <w:style w:type="character" w:customStyle="1" w:styleId="21">
    <w:name w:val="正文文本 (2)_"/>
    <w:link w:val="22"/>
    <w:rsid w:val="00CB5C84"/>
    <w:rPr>
      <w:rFonts w:ascii="宋体" w:hAnsi="宋体" w:cs="宋体"/>
      <w:sz w:val="22"/>
      <w:shd w:val="clear" w:color="auto" w:fill="FFFFFF"/>
    </w:rPr>
  </w:style>
  <w:style w:type="paragraph" w:customStyle="1" w:styleId="22">
    <w:name w:val="正文文本 (2)"/>
    <w:basedOn w:val="a"/>
    <w:link w:val="21"/>
    <w:rsid w:val="00CB5C84"/>
    <w:pPr>
      <w:shd w:val="clear" w:color="auto" w:fill="FFFFFF"/>
      <w:spacing w:before="300" w:line="439" w:lineRule="exact"/>
      <w:jc w:val="distribute"/>
    </w:pPr>
    <w:rPr>
      <w:rFonts w:ascii="宋体" w:hAnsi="宋体" w:cs="宋体"/>
      <w:sz w:val="22"/>
    </w:rPr>
  </w:style>
  <w:style w:type="character" w:customStyle="1" w:styleId="a4">
    <w:name w:val="脚注文本 字符"/>
    <w:link w:val="a5"/>
    <w:rsid w:val="00CB5C84"/>
    <w:rPr>
      <w:sz w:val="18"/>
      <w:szCs w:val="18"/>
    </w:rPr>
  </w:style>
  <w:style w:type="paragraph" w:styleId="a5">
    <w:name w:val="footnote text"/>
    <w:basedOn w:val="a"/>
    <w:link w:val="a4"/>
    <w:rsid w:val="00CB5C84"/>
    <w:pPr>
      <w:snapToGrid w:val="0"/>
      <w:jc w:val="left"/>
    </w:pPr>
    <w:rPr>
      <w:sz w:val="18"/>
      <w:szCs w:val="18"/>
    </w:rPr>
  </w:style>
  <w:style w:type="character" w:customStyle="1" w:styleId="1">
    <w:name w:val="脚注文本 字符1"/>
    <w:basedOn w:val="a0"/>
    <w:uiPriority w:val="99"/>
    <w:semiHidden/>
    <w:rsid w:val="00CB5C84"/>
    <w:rPr>
      <w:sz w:val="18"/>
      <w:szCs w:val="18"/>
    </w:rPr>
  </w:style>
  <w:style w:type="paragraph" w:styleId="a6">
    <w:name w:val="header"/>
    <w:basedOn w:val="a"/>
    <w:link w:val="a7"/>
    <w:uiPriority w:val="99"/>
    <w:unhideWhenUsed/>
    <w:rsid w:val="00CB5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C84"/>
    <w:rPr>
      <w:sz w:val="18"/>
      <w:szCs w:val="18"/>
    </w:rPr>
  </w:style>
  <w:style w:type="paragraph" w:styleId="a8">
    <w:name w:val="footer"/>
    <w:basedOn w:val="a"/>
    <w:link w:val="a9"/>
    <w:uiPriority w:val="99"/>
    <w:unhideWhenUsed/>
    <w:rsid w:val="00CB5C84"/>
    <w:pPr>
      <w:tabs>
        <w:tab w:val="center" w:pos="4153"/>
        <w:tab w:val="right" w:pos="8306"/>
      </w:tabs>
      <w:snapToGrid w:val="0"/>
      <w:jc w:val="left"/>
    </w:pPr>
    <w:rPr>
      <w:sz w:val="18"/>
      <w:szCs w:val="18"/>
    </w:rPr>
  </w:style>
  <w:style w:type="character" w:customStyle="1" w:styleId="a9">
    <w:name w:val="页脚 字符"/>
    <w:basedOn w:val="a0"/>
    <w:link w:val="a8"/>
    <w:uiPriority w:val="99"/>
    <w:rsid w:val="00CB5C84"/>
    <w:rPr>
      <w:sz w:val="18"/>
      <w:szCs w:val="18"/>
    </w:rPr>
  </w:style>
  <w:style w:type="paragraph" w:styleId="aa">
    <w:name w:val="Balloon Text"/>
    <w:basedOn w:val="a"/>
    <w:link w:val="ab"/>
    <w:uiPriority w:val="99"/>
    <w:semiHidden/>
    <w:unhideWhenUsed/>
    <w:rsid w:val="00A13AB4"/>
    <w:rPr>
      <w:sz w:val="18"/>
      <w:szCs w:val="18"/>
    </w:rPr>
  </w:style>
  <w:style w:type="character" w:customStyle="1" w:styleId="ab">
    <w:name w:val="批注框文本 字符"/>
    <w:basedOn w:val="a0"/>
    <w:link w:val="aa"/>
    <w:uiPriority w:val="99"/>
    <w:semiHidden/>
    <w:rsid w:val="00A13A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admin</cp:lastModifiedBy>
  <cp:revision>2</cp:revision>
  <cp:lastPrinted>2020-02-27T06:33:00Z</cp:lastPrinted>
  <dcterms:created xsi:type="dcterms:W3CDTF">2021-06-15T01:09:00Z</dcterms:created>
  <dcterms:modified xsi:type="dcterms:W3CDTF">2021-06-15T01:09:00Z</dcterms:modified>
</cp:coreProperties>
</file>