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360" w:lineRule="exact"/>
        <w:jc w:val="center"/>
        <w:rPr>
          <w:rFonts w:hint="eastAsia" w:ascii="宋体" w:hAnsi="宋体" w:eastAsia="宋体" w:cs="宋体"/>
          <w:b w:val="0"/>
          <w:bCs w:val="0"/>
          <w:color w:val="auto"/>
          <w:sz w:val="21"/>
          <w:szCs w:val="21"/>
          <w:highlight w:val="none"/>
        </w:rPr>
      </w:pPr>
      <w:bookmarkStart w:id="8" w:name="_GoBack"/>
      <w:r>
        <w:rPr>
          <w:rFonts w:hint="eastAsia" w:ascii="宋体" w:hAnsi="宋体" w:eastAsia="宋体" w:cs="宋体"/>
          <w:b w:val="0"/>
          <w:bCs w:val="0"/>
          <w:color w:val="auto"/>
          <w:sz w:val="21"/>
          <w:szCs w:val="21"/>
          <w:highlight w:val="none"/>
          <w:lang w:eastAsia="zh-CN"/>
        </w:rPr>
        <w:t>吉林省高速公路收费站增加称重检测设施工程施工</w:t>
      </w:r>
    </w:p>
    <w:p>
      <w:pPr>
        <w:pageBreakBefore w:val="0"/>
        <w:tabs>
          <w:tab w:val="left" w:pos="5010"/>
        </w:tabs>
        <w:kinsoku/>
        <w:wordWrap/>
        <w:overflowPunct/>
        <w:topLinePunct w:val="0"/>
        <w:autoSpaceDE w:val="0"/>
        <w:autoSpaceDN w:val="0"/>
        <w:bidi w:val="0"/>
        <w:adjustRightInd w:val="0"/>
        <w:snapToGrid w:val="0"/>
        <w:spacing w:line="3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关键内容</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bookmarkStart w:id="0" w:name="_Toc462671337"/>
      <w:bookmarkStart w:id="1" w:name="_Toc498955117"/>
      <w:r>
        <w:rPr>
          <w:rFonts w:hint="eastAsia" w:ascii="宋体" w:hAnsi="宋体" w:eastAsia="宋体" w:cs="宋体"/>
          <w:b w:val="0"/>
          <w:bCs w:val="0"/>
          <w:color w:val="auto"/>
          <w:sz w:val="21"/>
          <w:szCs w:val="21"/>
          <w:highlight w:val="none"/>
        </w:rPr>
        <w:t>1.招标条件</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吉林省高速公路收费站增加称重检测设施工程，项目法人（招标人）为吉林省高速公路集团有限公司。建设资金来自法人自筹。项目已具备招标条件，现对该项目的施工进行公开招标。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2.项目概况与招标范围</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建设地点：吉林省境内高速公路收费站。</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计划工期：自签订合同之日起至2021年7月30日前完成全部合同内容。</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标段划分及招标范围</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招标划分为1个标段，即JD01标段。招标内容包括增设16套入口称重检测系统（窄条式动态汽车衡），将本次增设入口称重检测设施车道对应的原车道改造为ETC/MTC车道，包括8条MTC车道、6条ETC车道、1条土建车道改造为ETC+MTC混合车道，并对原6条ETC车道设备位置进行迁移的施工、采购、安装调试等设计图纸和工程量清单所列全部内容。</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3.投标人资格最低要求</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本次招标要求投标人须具备公路交通工程（公路机电系统工程分项）专业承包一级资质。并在人员、设备、资金等方面具备相应的能力。</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投标人应进入交通运输部“全国公路建设市场信用信息管理系统”（http://glxy.mot.gov.cn）中的施工企业名录，且投标人的名称和资质与该名录中的相应企业名称和资质完全一致（如投标人因名称和资质发生变更导致与“全国公路建设市场信用信息管理系统”中信息不符的，投标人应提供相应审批部门出具的相关信息变更证明材料）。</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业绩要求：近五年（2016年1月1日至投标截止时间前一天，以交工日期为准）至少完成过1项单项合同额500万元以上的高速公路机电工程施工业绩，且工程质量合格。</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企业业绩应为国内新建或改扩建高速公路的机电工程施工业绩，且应是已列入交通运输主管部门“公路建设市场信用信息管理系统”并公开的已建总包业绩，养护工程（如原有机电系统工程系统的改造、更新、升级、提升、完善、维护等）及国外工程业绩均不予认可。</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3.3经审计的投标人的2020年度财务会计报告中流动资产大于流动负债。</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3.4本次招标不接受联合体投标。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3.5在“信用中国”网站（http://www.creditchina.gov.cn/）中被列入失信被执行人名单的投标人，不得参加投标。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资格审查办法</w:t>
      </w:r>
    </w:p>
    <w:p>
      <w:pPr>
        <w:pageBreakBefore w:val="0"/>
        <w:kinsoku/>
        <w:wordWrap/>
        <w:overflowPunct/>
        <w:topLinePunct w:val="0"/>
        <w:bidi w:val="0"/>
        <w:adjustRightInd w:val="0"/>
        <w:snapToGrid w:val="0"/>
        <w:spacing w:line="360" w:lineRule="exact"/>
        <w:ind w:firstLine="315" w:firstLineChars="1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本项目采用资格后审，资格审查条件如下：</w:t>
      </w:r>
    </w:p>
    <w:p>
      <w:pPr>
        <w:pStyle w:val="5"/>
        <w:spacing w:before="0" w:after="0" w:line="360" w:lineRule="auto"/>
        <w:rPr>
          <w:rFonts w:hint="eastAsia" w:ascii="宋体" w:hAnsi="宋体" w:eastAsia="宋体" w:cs="宋体"/>
          <w:b/>
          <w:color w:val="auto"/>
          <w:sz w:val="21"/>
          <w:szCs w:val="21"/>
          <w:highlight w:val="none"/>
          <w:lang w:val="zh-CN"/>
        </w:rPr>
      </w:pPr>
      <w:bookmarkStart w:id="2" w:name="_Toc484950570"/>
      <w:r>
        <w:rPr>
          <w:rFonts w:hint="eastAsia" w:ascii="宋体" w:hAnsi="宋体" w:eastAsia="宋体" w:cs="宋体"/>
          <w:b w:val="0"/>
          <w:color w:val="auto"/>
          <w:sz w:val="21"/>
          <w:szCs w:val="21"/>
          <w:highlight w:val="none"/>
        </w:rPr>
        <w:t>附录1  资格审查条件（资质最低要求）</w:t>
      </w:r>
      <w:bookmarkEnd w:id="2"/>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投标人须具备公路交通工程（公路机电系统工程分项）专业承包一级资质</w:t>
            </w:r>
            <w:r>
              <w:rPr>
                <w:rFonts w:hint="eastAsia" w:ascii="宋体" w:hAnsi="宋体" w:eastAsia="宋体" w:cs="宋体"/>
                <w:color w:val="auto"/>
                <w:sz w:val="21"/>
                <w:szCs w:val="21"/>
                <w:highlight w:val="none"/>
                <w:lang w:eastAsia="zh-CN"/>
              </w:rPr>
              <w:t>；</w:t>
            </w:r>
          </w:p>
        </w:tc>
      </w:tr>
    </w:tbl>
    <w:p>
      <w:pPr>
        <w:pStyle w:val="5"/>
        <w:spacing w:before="0" w:after="0" w:line="360" w:lineRule="auto"/>
        <w:rPr>
          <w:rFonts w:hint="eastAsia" w:ascii="宋体" w:hAnsi="宋体" w:eastAsia="宋体" w:cs="宋体"/>
          <w:b w:val="0"/>
          <w:color w:val="auto"/>
          <w:sz w:val="21"/>
          <w:szCs w:val="21"/>
          <w:highlight w:val="none"/>
        </w:rPr>
      </w:pPr>
      <w:bookmarkStart w:id="3" w:name="_Toc484950571"/>
      <w:r>
        <w:rPr>
          <w:rFonts w:hint="eastAsia" w:ascii="宋体" w:hAnsi="宋体" w:eastAsia="宋体" w:cs="宋体"/>
          <w:b w:val="0"/>
          <w:color w:val="auto"/>
          <w:sz w:val="21"/>
          <w:szCs w:val="21"/>
          <w:highlight w:val="none"/>
        </w:rPr>
        <w:t>附录2  资格审查条件（财务最低要求）</w:t>
      </w:r>
      <w:bookmarkEnd w:id="3"/>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经审计的投标人的20</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zh-CN"/>
              </w:rPr>
              <w:t>年度财务会计报告中流动资产大于流动负债。</w:t>
            </w:r>
          </w:p>
        </w:tc>
      </w:tr>
    </w:tbl>
    <w:p>
      <w:pPr>
        <w:pStyle w:val="5"/>
        <w:spacing w:before="0" w:after="0" w:line="360" w:lineRule="auto"/>
        <w:rPr>
          <w:rFonts w:hint="eastAsia" w:ascii="宋体" w:hAnsi="宋体" w:eastAsia="宋体" w:cs="宋体"/>
          <w:b w:val="0"/>
          <w:color w:val="auto"/>
          <w:sz w:val="21"/>
          <w:szCs w:val="21"/>
          <w:highlight w:val="none"/>
        </w:rPr>
      </w:pPr>
      <w:bookmarkStart w:id="4" w:name="_Toc484950572"/>
      <w:r>
        <w:rPr>
          <w:rFonts w:hint="eastAsia" w:ascii="宋体" w:hAnsi="宋体" w:eastAsia="宋体" w:cs="宋体"/>
          <w:b w:val="0"/>
          <w:color w:val="auto"/>
          <w:sz w:val="21"/>
          <w:szCs w:val="21"/>
          <w:highlight w:val="none"/>
        </w:rPr>
        <w:t>附录3  资格审查条件（业绩最低要求）</w:t>
      </w:r>
      <w:bookmarkEnd w:id="4"/>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近五年（2016年1月1日至投标截止时间前一天，以交工日期为准）</w:t>
            </w:r>
            <w:r>
              <w:rPr>
                <w:rFonts w:hint="eastAsia" w:ascii="宋体" w:hAnsi="宋体" w:eastAsia="宋体" w:cs="宋体"/>
                <w:color w:val="auto"/>
                <w:sz w:val="21"/>
                <w:szCs w:val="21"/>
                <w:highlight w:val="none"/>
              </w:rPr>
              <w:t>至少完成过1项</w:t>
            </w:r>
            <w:r>
              <w:rPr>
                <w:rFonts w:hint="eastAsia" w:ascii="宋体" w:hAnsi="宋体" w:eastAsia="宋体" w:cs="宋体"/>
                <w:color w:val="auto"/>
                <w:sz w:val="21"/>
                <w:szCs w:val="21"/>
                <w:highlight w:val="none"/>
              </w:rPr>
              <w:t>单项合同额</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万元以</w:t>
            </w: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val="en-US" w:eastAsia="zh-CN"/>
              </w:rPr>
              <w:t>的高速公路机电工程施工业绩，且工程质量合格。</w:t>
            </w:r>
          </w:p>
        </w:tc>
      </w:tr>
    </w:tbl>
    <w:p>
      <w:pPr>
        <w:pStyle w:val="5"/>
        <w:spacing w:before="0" w:after="0" w:line="360" w:lineRule="auto"/>
        <w:rPr>
          <w:rFonts w:hint="eastAsia" w:ascii="宋体" w:hAnsi="宋体" w:eastAsia="宋体" w:cs="宋体"/>
          <w:b w:val="0"/>
          <w:bCs w:val="0"/>
          <w:color w:val="auto"/>
          <w:kern w:val="2"/>
          <w:sz w:val="21"/>
          <w:szCs w:val="21"/>
          <w:highlight w:val="none"/>
          <w:lang w:val="en-US" w:eastAsia="zh-CN" w:bidi="ar-SA"/>
        </w:rPr>
      </w:pPr>
      <w:bookmarkStart w:id="5" w:name="_Toc484950573"/>
      <w:r>
        <w:rPr>
          <w:rFonts w:hint="eastAsia" w:ascii="宋体" w:hAnsi="宋体" w:eastAsia="宋体" w:cs="宋体"/>
          <w:b w:val="0"/>
          <w:bCs w:val="0"/>
          <w:color w:val="auto"/>
          <w:kern w:val="2"/>
          <w:sz w:val="21"/>
          <w:szCs w:val="21"/>
          <w:highlight w:val="none"/>
          <w:lang w:val="en-US" w:eastAsia="zh-CN" w:bidi="ar-SA"/>
        </w:rPr>
        <w:t>说明：</w:t>
      </w:r>
    </w:p>
    <w:p>
      <w:pPr>
        <w:pStyle w:val="5"/>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（1）表中涉及到的各项工程术语均执行《公路工程技术标准》（JTG B01-2014）的标准；</w:t>
      </w:r>
    </w:p>
    <w:p>
      <w:pPr>
        <w:pStyle w:val="5"/>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注：企业业绩应为国内新建或改扩建高速公路的机电工程施工业绩，且应是已列入交通运输主管部门“公路建设市场信用信息管理系统”并公开的已建总包业绩，养护工程（如原有机电系统工程系统的改造、更新、升级、提升、完善、维护等）及国外工程业绩均不予认可。</w:t>
      </w:r>
    </w:p>
    <w:p>
      <w:pPr>
        <w:pStyle w:val="5"/>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附录4  资格审查条件（信誉最低要求）</w:t>
      </w:r>
      <w:bookmarkEnd w:id="5"/>
    </w:p>
    <w:tbl>
      <w:tblPr>
        <w:tblStyle w:val="15"/>
        <w:tblW w:w="90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投标人不得存在以下情形：</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之后，有被本项目法人以弄虚作假行为取消中标候选人资格的或因无效合同而终止施工的，或有因农民工群体上访行为被吉林省交通运输主管部门通报的，或被吉林省交通运输主管部门或本项目法人以“投标人相互串通投标行为、弄虚作假行为”通报的。</w:t>
            </w:r>
          </w:p>
        </w:tc>
      </w:tr>
    </w:tbl>
    <w:p>
      <w:pPr>
        <w:pStyle w:val="5"/>
        <w:spacing w:before="0" w:after="0" w:line="360" w:lineRule="auto"/>
        <w:rPr>
          <w:rFonts w:hint="eastAsia" w:ascii="宋体" w:hAnsi="宋体" w:eastAsia="宋体" w:cs="宋体"/>
          <w:b w:val="0"/>
          <w:color w:val="auto"/>
          <w:sz w:val="21"/>
          <w:szCs w:val="21"/>
          <w:highlight w:val="none"/>
        </w:rPr>
      </w:pPr>
      <w:bookmarkStart w:id="6" w:name="_Toc484950575"/>
      <w:r>
        <w:rPr>
          <w:rFonts w:hint="eastAsia" w:ascii="宋体" w:hAnsi="宋体" w:eastAsia="宋体" w:cs="宋体"/>
          <w:b w:val="0"/>
          <w:color w:val="auto"/>
          <w:sz w:val="21"/>
          <w:szCs w:val="21"/>
          <w:highlight w:val="none"/>
        </w:rPr>
        <w:t>附录5  资格审查条件（项目经理和项目总工最低要求）</w:t>
      </w:r>
      <w:bookmarkEnd w:id="6"/>
    </w:p>
    <w:tbl>
      <w:tblPr>
        <w:tblStyle w:val="15"/>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09"/>
        <w:gridCol w:w="52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36"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709"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244" w:type="dxa"/>
            <w:tcBorders>
              <w:right w:val="single" w:color="auto" w:sz="4" w:space="0"/>
            </w:tcBorders>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2268" w:type="dxa"/>
            <w:tcBorders>
              <w:left w:val="single" w:color="auto" w:sz="4" w:space="0"/>
            </w:tcBorders>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836"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经理</w:t>
            </w:r>
          </w:p>
        </w:tc>
        <w:tc>
          <w:tcPr>
            <w:tcW w:w="709"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5244" w:type="dxa"/>
            <w:tcBorders>
              <w:right w:val="single" w:color="auto" w:sz="4" w:space="0"/>
            </w:tcBorders>
            <w:vAlign w:val="center"/>
          </w:tcPr>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投标人自有人员</w:t>
            </w:r>
            <w:r>
              <w:rPr>
                <w:rStyle w:val="19"/>
                <w:rFonts w:hint="eastAsia" w:ascii="宋体" w:hAnsi="宋体" w:eastAsia="宋体" w:cs="宋体"/>
                <w:color w:val="auto"/>
                <w:sz w:val="21"/>
                <w:szCs w:val="21"/>
                <w:highlight w:val="none"/>
              </w:rPr>
              <w:footnoteReference w:id="0"/>
            </w:r>
            <w:r>
              <w:rPr>
                <w:rFonts w:hint="eastAsia" w:ascii="宋体" w:hAnsi="宋体" w:eastAsia="宋体" w:cs="宋体"/>
                <w:color w:val="auto"/>
                <w:sz w:val="21"/>
                <w:szCs w:val="21"/>
                <w:highlight w:val="none"/>
              </w:rPr>
              <w:t>；</w:t>
            </w:r>
          </w:p>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持有建设行政主管部门颁发的“公路工程”或“机电工程”专业《一级建造师注册证书》</w:t>
            </w:r>
            <w:r>
              <w:rPr>
                <w:rFonts w:hint="eastAsia" w:ascii="宋体" w:hAnsi="宋体" w:eastAsia="宋体" w:cs="宋体"/>
                <w:bCs/>
                <w:color w:val="auto"/>
                <w:sz w:val="21"/>
                <w:szCs w:val="21"/>
                <w:highlight w:val="none"/>
              </w:rPr>
              <w:t>，且现注册单位</w:t>
            </w:r>
            <w:r>
              <w:rPr>
                <w:rFonts w:hint="eastAsia" w:ascii="宋体" w:hAnsi="宋体" w:eastAsia="宋体" w:cs="宋体"/>
                <w:color w:val="auto"/>
                <w:sz w:val="21"/>
                <w:szCs w:val="21"/>
                <w:highlight w:val="none"/>
              </w:rPr>
              <w:t>为投标人；</w:t>
            </w:r>
          </w:p>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具有公路工程或机电工程相关专业中级技术职称；</w:t>
            </w:r>
          </w:p>
          <w:p>
            <w:pPr>
              <w:numPr>
                <w:ilvl w:val="0"/>
                <w:numId w:val="1"/>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具有交通运输主管部门颁发的有效的B类安全生产考核合格证书</w:t>
            </w:r>
            <w:r>
              <w:rPr>
                <w:rFonts w:hint="eastAsia" w:ascii="宋体" w:hAnsi="宋体" w:eastAsia="宋体" w:cs="宋体"/>
                <w:color w:val="auto"/>
                <w:sz w:val="21"/>
                <w:szCs w:val="21"/>
                <w:highlight w:val="none"/>
                <w:lang w:eastAsia="zh-CN"/>
              </w:rPr>
              <w:t>。</w:t>
            </w:r>
          </w:p>
        </w:tc>
        <w:tc>
          <w:tcPr>
            <w:tcW w:w="2268" w:type="dxa"/>
            <w:vMerge w:val="restart"/>
            <w:tcBorders>
              <w:left w:val="single" w:color="auto" w:sz="4" w:space="0"/>
            </w:tcBorders>
            <w:vAlign w:val="center"/>
          </w:tcPr>
          <w:p>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36"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总工</w:t>
            </w:r>
          </w:p>
        </w:tc>
        <w:tc>
          <w:tcPr>
            <w:tcW w:w="709" w:type="dxa"/>
            <w:vAlign w:val="center"/>
          </w:tcPr>
          <w:p>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5244" w:type="dxa"/>
            <w:tcBorders>
              <w:right w:val="single" w:color="auto" w:sz="4" w:space="0"/>
            </w:tcBorders>
            <w:vAlign w:val="center"/>
          </w:tcPr>
          <w:p>
            <w:pPr>
              <w:numPr>
                <w:ilvl w:val="0"/>
                <w:numId w:val="2"/>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投标人自有人员；</w:t>
            </w:r>
          </w:p>
          <w:p>
            <w:pPr>
              <w:numPr>
                <w:ilvl w:val="0"/>
                <w:numId w:val="2"/>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具有公路工程或机电工程相关专业高级技术职称；</w:t>
            </w:r>
          </w:p>
          <w:p>
            <w:pPr>
              <w:numPr>
                <w:ilvl w:val="0"/>
                <w:numId w:val="2"/>
              </w:numPr>
              <w:adjustRightInd w:val="0"/>
              <w:snapToGrid w:val="0"/>
              <w:spacing w:line="400" w:lineRule="exact"/>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具有交通运输主管部门颁发的有效的B类安全生产考核合格证书</w:t>
            </w:r>
            <w:r>
              <w:rPr>
                <w:rFonts w:hint="eastAsia" w:ascii="宋体" w:hAnsi="宋体" w:eastAsia="宋体" w:cs="宋体"/>
                <w:color w:val="auto"/>
                <w:sz w:val="21"/>
                <w:szCs w:val="21"/>
                <w:highlight w:val="none"/>
                <w:lang w:eastAsia="zh-CN"/>
              </w:rPr>
              <w:t>。</w:t>
            </w:r>
          </w:p>
        </w:tc>
        <w:tc>
          <w:tcPr>
            <w:tcW w:w="2268" w:type="dxa"/>
            <w:vMerge w:val="continue"/>
            <w:tcBorders>
              <w:left w:val="single" w:color="auto" w:sz="4" w:space="0"/>
            </w:tcBorders>
            <w:vAlign w:val="center"/>
          </w:tcPr>
          <w:p>
            <w:pPr>
              <w:numPr>
                <w:ilvl w:val="0"/>
                <w:numId w:val="2"/>
              </w:numPr>
              <w:adjustRightInd w:val="0"/>
              <w:snapToGrid w:val="0"/>
              <w:spacing w:line="400" w:lineRule="exact"/>
              <w:rPr>
                <w:rFonts w:hint="eastAsia" w:ascii="宋体" w:hAnsi="宋体" w:eastAsia="宋体" w:cs="宋体"/>
                <w:color w:val="auto"/>
                <w:sz w:val="21"/>
                <w:szCs w:val="21"/>
                <w:highlight w:val="none"/>
              </w:rPr>
            </w:pPr>
          </w:p>
        </w:tc>
      </w:tr>
    </w:tbl>
    <w:p>
      <w:pPr>
        <w:pageBreakBefore w:val="0"/>
        <w:kinsoku/>
        <w:wordWrap/>
        <w:overflowPunct/>
        <w:topLinePunct w:val="0"/>
        <w:bidi w:val="0"/>
        <w:adjustRightInd w:val="0"/>
        <w:snapToGrid w:val="0"/>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评标办法</w:t>
      </w:r>
    </w:p>
    <w:p>
      <w:pPr>
        <w:pStyle w:val="5"/>
        <w:snapToGrid w:val="0"/>
        <w:spacing w:before="0" w:after="0" w:line="240" w:lineRule="auto"/>
        <w:rPr>
          <w:rFonts w:hint="eastAsia" w:ascii="宋体" w:hAnsi="宋体" w:eastAsia="宋体" w:cs="宋体"/>
          <w:b w:val="0"/>
          <w:bCs w:val="0"/>
          <w:color w:val="auto"/>
          <w:sz w:val="21"/>
          <w:szCs w:val="21"/>
          <w:highlight w:val="none"/>
        </w:rPr>
      </w:pPr>
      <w:bookmarkStart w:id="7" w:name="_Toc484950608"/>
      <w:r>
        <w:rPr>
          <w:rFonts w:hint="eastAsia" w:ascii="宋体" w:hAnsi="宋体" w:eastAsia="宋体" w:cs="宋体"/>
          <w:b w:val="0"/>
          <w:bCs w:val="0"/>
          <w:color w:val="auto"/>
          <w:sz w:val="21"/>
          <w:szCs w:val="21"/>
          <w:highlight w:val="none"/>
        </w:rPr>
        <w:t>评标办法前附表</w:t>
      </w:r>
      <w:r>
        <w:rPr>
          <w:rStyle w:val="19"/>
          <w:rFonts w:hint="eastAsia" w:ascii="宋体" w:hAnsi="宋体" w:eastAsia="宋体" w:cs="宋体"/>
          <w:b w:val="0"/>
          <w:bCs w:val="0"/>
          <w:color w:val="auto"/>
          <w:sz w:val="21"/>
          <w:szCs w:val="21"/>
          <w:highlight w:val="none"/>
        </w:rPr>
        <w:footnoteReference w:id="1"/>
      </w:r>
      <w:bookmarkEnd w:id="7"/>
    </w:p>
    <w:tbl>
      <w:tblPr>
        <w:tblStyle w:val="15"/>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4" w:hRule="atLeast"/>
          <w:tblHeader/>
        </w:trPr>
        <w:tc>
          <w:tcPr>
            <w:tcW w:w="999" w:type="dxa"/>
            <w:tcBorders>
              <w:top w:val="single" w:color="000000" w:sz="12"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6503" w:type="dxa"/>
            <w:tcBorders>
              <w:top w:val="single" w:color="000000" w:sz="12" w:space="0"/>
              <w:left w:val="single" w:color="auto" w:sz="4" w:space="0"/>
              <w:bottom w:val="single" w:color="000000" w:sz="6" w:space="0"/>
              <w:right w:val="single" w:color="000000" w:sz="12" w:space="0"/>
            </w:tcBorders>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5" w:type="dxa"/>
            <w:tcBorders>
              <w:top w:val="single" w:color="000000" w:sz="6" w:space="0"/>
              <w:left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6503" w:type="dxa"/>
            <w:tcBorders>
              <w:top w:val="single" w:color="000000" w:sz="6" w:space="0"/>
              <w:left w:val="single" w:color="000000" w:sz="6" w:space="0"/>
              <w:bottom w:val="single" w:color="auto" w:sz="4" w:space="0"/>
              <w:right w:val="single" w:color="000000" w:sz="12" w:space="0"/>
            </w:tcBorders>
            <w:vAlign w:val="center"/>
          </w:tcPr>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综合评分相等时，评标委员会依次按照以下优先顺序推荐中标候选人：</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（1）评标价低的投标人优先；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（2）履约信誉得分高的投标人优先；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（3）施工组织设计得分高的投标人优先；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（4）企业业绩得分高的投标人优先。</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响应性评审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Lines/>
              <w:adjustRightInd w:val="0"/>
              <w:snapToGrid w:val="0"/>
              <w:spacing w:line="360" w:lineRule="auto"/>
              <w:ind w:left="210" w:leftChars="1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第一个信封（商务及技术文件）评审标准：</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（1）投标文件按照招标文件规定的格式、内容填写，字迹清晰可辨，且提供了满足招标文件要求的证明材料：</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a.投标函按招标文件规定填报了项目名称、标段号、补遗书编号（如有）、工期、工程质量要求及安全目标；</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b.投标函附录的所有数据均符合招标文件规定；</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b.若投标保证金采用现金或支票形式提交，投标人应在递交投标保证金截止时间之前，将投标保证金由投标人的基本账户一次性转入招标人指定账户；</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c．若投标保证金采用银行保函形式提交，银行保函的格式、开具保函的银行均满足招标文件要求，且在递交投标文件截止时间之前向招标人提交了银行保函原件。</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（4）投标人法定代表人授权委托代理人签署投标文件的，须提交授权委托书，且授权人和被授权人均在授权委托书上签名，未使用印章、签名章或其他电子制版签名代替。</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（5）投标人法定代表人亲自签署投标文件的，提供了法定代表人身份证明，且法定代表人在法定代表人身份证明上签名，未使用印章、签名章或其他电子制版签名代替。</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（6）投标人如有分包计划，符合招标文件第二章“投标人须知”第1.11款规定。</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（7）同一投标人对同一标段未提交两个以上不同的投标文件。</w:t>
            </w:r>
          </w:p>
          <w:p>
            <w:pPr>
              <w:pStyle w:val="33"/>
              <w:keepLines/>
              <w:shd w:val="clear" w:color="auto" w:fill="auto"/>
              <w:tabs>
                <w:tab w:val="left" w:pos="922"/>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（8）投标文件中未出现有关投标报价的内容。</w:t>
            </w:r>
          </w:p>
          <w:p>
            <w:pPr>
              <w:pStyle w:val="33"/>
              <w:keepLines/>
              <w:shd w:val="clear" w:color="auto" w:fill="auto"/>
              <w:tabs>
                <w:tab w:val="left" w:pos="922"/>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（9）投标文件载明的招标项目完成期限未超过招标文件规定的时限。</w:t>
            </w:r>
          </w:p>
          <w:p>
            <w:pPr>
              <w:pStyle w:val="33"/>
              <w:keepLines/>
              <w:shd w:val="clear" w:color="auto" w:fill="auto"/>
              <w:tabs>
                <w:tab w:val="left" w:pos="938"/>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（10）投标文件对招标文件的实质性要求和条件作出响应。</w:t>
            </w:r>
          </w:p>
          <w:p>
            <w:pPr>
              <w:pStyle w:val="33"/>
              <w:keepLines/>
              <w:shd w:val="clear" w:color="auto" w:fill="auto"/>
              <w:tabs>
                <w:tab w:val="left" w:pos="922"/>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（11）权利义务符合招标文件规定：</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Lines/>
              <w:adjustRightInd w:val="0"/>
              <w:snapToGrid w:val="0"/>
              <w:spacing w:line="360" w:lineRule="auto"/>
              <w:ind w:left="210" w:left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pStyle w:val="33"/>
              <w:keepLines/>
              <w:shd w:val="clear" w:color="auto" w:fill="auto"/>
              <w:tabs>
                <w:tab w:val="left" w:pos="914"/>
              </w:tabs>
              <w:adjustRightInd w:val="0"/>
              <w:snapToGrid w:val="0"/>
              <w:spacing w:before="0" w:line="360" w:lineRule="auto"/>
              <w:ind w:left="210" w:leftChars="10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（12）投标文件正、副本份数符合招标文件第二章“投标人须知”第3.7.4项规定。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adjustRightInd w:val="0"/>
              <w:snapToGrid w:val="0"/>
              <w:jc w:val="center"/>
              <w:rPr>
                <w:rFonts w:hint="eastAsia" w:ascii="宋体" w:hAnsi="宋体" w:eastAsia="宋体" w:cs="宋体"/>
                <w:color w:val="auto"/>
                <w:sz w:val="21"/>
                <w:szCs w:val="21"/>
                <w:highlight w:val="none"/>
              </w:rPr>
            </w:pP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响应性评审</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Next/>
              <w:keepLines/>
              <w:adjustRightInd w:val="0"/>
              <w:snapToGrid w:val="0"/>
              <w:spacing w:line="360" w:lineRule="auto"/>
              <w:ind w:left="210" w:left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第二个信封（报价文件）评审标准</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（1）投标文件按照招标文件规定的格式、内容填写，字迹清晰可辨：</w:t>
            </w:r>
          </w:p>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a．投标函按招标文件规定填报了项目名称、标段号、补遗书编号（如有）、投标价（包括大写金额和小写金额）；</w:t>
            </w:r>
          </w:p>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b．已标价工程量清单说明文字与招标文件规定一致，未进行实质性修改和删减；</w:t>
            </w:r>
          </w:p>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（2）投标文件上法定代表人或其委托代理人的签字、投标人的单位章盖章齐全，符合招标文件规定。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（3）投标报价中的报价未超过招标文件设定的最高投标限价（如有）。</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（4）投标报价中报价的大写金额能够确定具体数值。</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（5）同一投标人对同一标段未提交两个以上不同的投标报价。</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（6）投标人未提交调价函。</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（7）投标人填写完毕的投标函或工程量固化清单未对投标函或工程量固化清单电子文件中的数据、格式和运算定义进行修改；工程量固化清单中的投标报价和投标函大写金额报价一致。</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（8）投标文件正、副本份数符合招标文件第二章“投标人须知”第 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（1）投标人具备有效的营业执照、资质证书、安全生产许可证、基本账户开户许可证和股东出资情况证明。</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（2）投标人的资质等级符合招标文件规定。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（3）投标人的财务状况符合招标文件规定。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（4）投标人的类似项目业绩符合招标文件规定。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（5）投标人的信誉符合招标文件规定。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（6）投标人的项目经理和项目总工资格、在岗情况符合招标文件规定。</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（7）投标人不存在第二章“投标人须知”第1.4.3项或第1.4.4项规定的任何一种情形。</w:t>
            </w:r>
          </w:p>
          <w:p>
            <w:pPr>
              <w:pStyle w:val="33"/>
              <w:keepLines/>
              <w:shd w:val="clear" w:color="auto" w:fill="auto"/>
              <w:tabs>
                <w:tab w:val="left" w:pos="914"/>
              </w:tabs>
              <w:adjustRightInd w:val="0"/>
              <w:snapToGrid w:val="0"/>
              <w:spacing w:before="0" w:line="360" w:lineRule="auto"/>
              <w:ind w:left="210" w:left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（8）投标人符合第二章“投标人须知”第1.4.5项规定。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Lines/>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第一个信封（商务及技术文件）评分分值构成：</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20分</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主要人员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业绩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pPr>
              <w:pStyle w:val="33"/>
              <w:keepLines/>
              <w:shd w:val="clear" w:color="auto" w:fill="auto"/>
              <w:tabs>
                <w:tab w:val="right" w:pos="2226"/>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履约信誉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Line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第二个信封（报价文件）评分分值构成：</w:t>
            </w:r>
          </w:p>
          <w:p>
            <w:pPr>
              <w:pStyle w:val="33"/>
              <w:keepLines/>
              <w:shd w:val="clear" w:color="auto" w:fill="auto"/>
              <w:tabs>
                <w:tab w:val="right" w:pos="2226"/>
              </w:tabs>
              <w:adjustRightInd w:val="0"/>
              <w:snapToGrid w:val="0"/>
              <w:spacing w:before="0" w:line="360" w:lineRule="auto"/>
              <w:ind w:left="210" w:left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评标价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50分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评标基准价的计算：</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在开标现场，招标人将当场计算并宣布评标基准价。</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（1）评标价的确定：评标价＝投标函文字报价</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评标价平均值的计算：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四舍五入精确至个位。</w:t>
            </w:r>
          </w:p>
          <w:p>
            <w:pPr>
              <w:pStyle w:val="33"/>
              <w:keepLines/>
              <w:shd w:val="clear" w:color="auto" w:fill="auto"/>
              <w:tabs>
                <w:tab w:val="left" w:pos="914"/>
              </w:tabs>
              <w:adjustRightInd w:val="0"/>
              <w:snapToGrid w:val="0"/>
              <w:spacing w:before="0" w:line="360" w:lineRule="auto"/>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（3）评标基准价的确定：将评标价平均值直接作为评标基准价。</w:t>
            </w:r>
          </w:p>
          <w:p>
            <w:pPr>
              <w:widowControl/>
              <w:snapToGri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eastAsia="宋体" w:cs="宋体"/>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12"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555"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vAlign w:val="center"/>
          </w:tcPr>
          <w:p>
            <w:pPr>
              <w:pStyle w:val="33"/>
              <w:keepLines/>
              <w:shd w:val="clear" w:color="auto" w:fill="auto"/>
              <w:tabs>
                <w:tab w:val="left" w:pos="914"/>
              </w:tabs>
              <w:snapToGrid w:val="0"/>
              <w:spacing w:before="0" w:line="360" w:lineRule="auto"/>
              <w:ind w:firstLine="210" w:firstLineChars="10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偏差率=100%×（投标人评标价－评标基准价）/评标基准价</w:t>
            </w:r>
          </w:p>
          <w:p>
            <w:pPr>
              <w:pStyle w:val="33"/>
              <w:keepLines/>
              <w:shd w:val="clear" w:color="auto" w:fill="auto"/>
              <w:tabs>
                <w:tab w:val="left" w:pos="914"/>
              </w:tabs>
              <w:snapToGrid w:val="0"/>
              <w:spacing w:before="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rPr>
              <w:t>偏差率（以百分数形式表示）保留两位小数，如**.**%</w:t>
            </w:r>
          </w:p>
        </w:tc>
      </w:tr>
    </w:tbl>
    <w:p>
      <w:pPr>
        <w:rPr>
          <w:rFonts w:hint="eastAsia" w:ascii="宋体" w:hAnsi="宋体" w:eastAsia="宋体" w:cs="宋体"/>
          <w:color w:val="auto"/>
          <w:sz w:val="21"/>
          <w:szCs w:val="21"/>
          <w:highlight w:val="none"/>
        </w:rPr>
      </w:pP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rPr>
          <w:rFonts w:hint="eastAsia" w:ascii="宋体" w:hAnsi="宋体" w:eastAsia="宋体" w:cs="宋体"/>
          <w:color w:val="auto"/>
          <w:sz w:val="21"/>
          <w:szCs w:val="21"/>
          <w:highlight w:val="none"/>
          <w:lang w:val="zh-CN"/>
        </w:rPr>
      </w:pPr>
    </w:p>
    <w:tbl>
      <w:tblPr>
        <w:tblStyle w:val="15"/>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346"/>
        <w:gridCol w:w="346"/>
        <w:gridCol w:w="538"/>
        <w:gridCol w:w="987"/>
        <w:gridCol w:w="550"/>
        <w:gridCol w:w="56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426" w:type="dxa"/>
            <w:gridSpan w:val="6"/>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评分因素与权重分值</w:t>
            </w:r>
            <w:r>
              <w:rPr>
                <w:rStyle w:val="19"/>
                <w:rFonts w:hint="eastAsia" w:ascii="宋体" w:hAnsi="宋体" w:eastAsia="宋体" w:cs="宋体"/>
                <w:b/>
                <w:color w:val="auto"/>
                <w:sz w:val="21"/>
                <w:szCs w:val="21"/>
                <w:highlight w:val="none"/>
              </w:rPr>
              <w:footnoteReference w:id="2"/>
            </w:r>
          </w:p>
        </w:tc>
        <w:tc>
          <w:tcPr>
            <w:tcW w:w="5628" w:type="dxa"/>
            <w:vMerge w:val="restart"/>
            <w:vAlign w:val="center"/>
          </w:tcPr>
          <w:p>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692" w:type="dxa"/>
            <w:gridSpan w:val="2"/>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因素</w:t>
            </w:r>
          </w:p>
        </w:tc>
        <w:tc>
          <w:tcPr>
            <w:tcW w:w="538"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987"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各评分因</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素细分项</w:t>
            </w:r>
          </w:p>
        </w:tc>
        <w:tc>
          <w:tcPr>
            <w:tcW w:w="550" w:type="dxa"/>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628" w:type="dxa"/>
            <w:vMerge w:val="continue"/>
            <w:vAlign w:val="center"/>
          </w:tcPr>
          <w:p>
            <w:pPr>
              <w:widowControl/>
              <w:snapToGrid w:val="0"/>
              <w:spacing w:line="360" w:lineRule="auto"/>
              <w:jc w:val="center"/>
              <w:rPr>
                <w:rFonts w:hint="eastAsia" w:ascii="宋体" w:hAnsi="宋体" w:eastAsia="宋体" w:cs="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692" w:type="dxa"/>
            <w:gridSpan w:val="2"/>
            <w:vMerge w:val="restart"/>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施工组织设计</w:t>
            </w:r>
          </w:p>
        </w:tc>
        <w:tc>
          <w:tcPr>
            <w:tcW w:w="538" w:type="dxa"/>
            <w:vMerge w:val="restart"/>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20分</w:t>
            </w:r>
          </w:p>
        </w:tc>
        <w:tc>
          <w:tcPr>
            <w:tcW w:w="987" w:type="dxa"/>
            <w:vAlign w:val="center"/>
          </w:tcPr>
          <w:p>
            <w:pPr>
              <w:adjustRightInd w:val="0"/>
              <w:snapToGri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施工</w:t>
            </w:r>
            <w:r>
              <w:rPr>
                <w:rFonts w:hint="eastAsia" w:ascii="宋体" w:hAnsi="宋体" w:eastAsia="宋体" w:cs="宋体"/>
                <w:bCs/>
                <w:color w:val="auto"/>
                <w:sz w:val="21"/>
                <w:szCs w:val="21"/>
                <w:highlight w:val="none"/>
                <w:lang w:val="zh-CN"/>
              </w:rPr>
              <w:t>方案</w:t>
            </w:r>
          </w:p>
        </w:tc>
        <w:tc>
          <w:tcPr>
            <w:tcW w:w="550" w:type="dxa"/>
            <w:vAlign w:val="center"/>
          </w:tcPr>
          <w:p>
            <w:pPr>
              <w:adjustRightInd w:val="0"/>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w:t>
            </w: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6.4</w:t>
            </w:r>
            <w:r>
              <w:rPr>
                <w:rFonts w:hint="eastAsia" w:ascii="宋体" w:hAnsi="宋体" w:eastAsia="宋体" w:cs="宋体"/>
                <w:color w:val="auto"/>
                <w:kern w:val="0"/>
                <w:sz w:val="21"/>
                <w:szCs w:val="21"/>
                <w:highlight w:val="none"/>
              </w:rPr>
              <w:t>分；</w:t>
            </w:r>
          </w:p>
          <w:p>
            <w:pPr>
              <w:widowControl/>
              <w:snapToGrid w:val="0"/>
              <w:spacing w:line="360" w:lineRule="auto"/>
              <w:ind w:firstLine="210" w:firstLineChars="1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w:t>
            </w:r>
            <w:r>
              <w:rPr>
                <w:rFonts w:hint="eastAsia" w:ascii="宋体" w:hAnsi="宋体" w:eastAsia="宋体" w:cs="宋体"/>
                <w:color w:val="auto"/>
                <w:kern w:val="0"/>
                <w:sz w:val="21"/>
                <w:szCs w:val="21"/>
                <w:highlight w:val="none"/>
                <w:lang w:val="en-US" w:eastAsia="zh-CN"/>
              </w:rPr>
              <w:t>6.4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692" w:type="dxa"/>
            <w:gridSpan w:val="2"/>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538"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987" w:type="dxa"/>
            <w:vAlign w:val="center"/>
          </w:tcPr>
          <w:p>
            <w:pPr>
              <w:adjustRightInd w:val="0"/>
              <w:snapToGri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人员组织方案</w:t>
            </w:r>
          </w:p>
        </w:tc>
        <w:tc>
          <w:tcPr>
            <w:tcW w:w="550" w:type="dxa"/>
            <w:vAlign w:val="center"/>
          </w:tcPr>
          <w:p>
            <w:pPr>
              <w:adjustRightInd w:val="0"/>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一般，得2.4～3.2分；</w:t>
            </w:r>
          </w:p>
          <w:p>
            <w:pPr>
              <w:widowControl/>
              <w:snapToGrid w:val="0"/>
              <w:spacing w:line="360" w:lineRule="auto"/>
              <w:ind w:firstLine="210" w:firstLineChars="1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较好，得3.2～4.0分。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692" w:type="dxa"/>
            <w:gridSpan w:val="2"/>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538"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987" w:type="dxa"/>
            <w:vAlign w:val="center"/>
          </w:tcPr>
          <w:p>
            <w:pPr>
              <w:snapToGri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工期</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质量</w:t>
            </w:r>
            <w:r>
              <w:rPr>
                <w:rFonts w:hint="eastAsia" w:ascii="宋体" w:hAnsi="宋体" w:eastAsia="宋体" w:cs="宋体"/>
                <w:bCs/>
                <w:color w:val="auto"/>
                <w:sz w:val="21"/>
                <w:szCs w:val="21"/>
                <w:highlight w:val="none"/>
                <w:lang w:val="en-US" w:eastAsia="zh-CN"/>
              </w:rPr>
              <w:t>控制</w:t>
            </w:r>
            <w:r>
              <w:rPr>
                <w:rFonts w:hint="eastAsia" w:ascii="宋体" w:hAnsi="宋体" w:eastAsia="宋体" w:cs="宋体"/>
                <w:bCs/>
                <w:color w:val="auto"/>
                <w:sz w:val="21"/>
                <w:szCs w:val="21"/>
                <w:highlight w:val="none"/>
                <w:lang w:val="zh-CN"/>
              </w:rPr>
              <w:t>措施</w:t>
            </w:r>
          </w:p>
        </w:tc>
        <w:tc>
          <w:tcPr>
            <w:tcW w:w="550" w:type="dxa"/>
            <w:vAlign w:val="center"/>
          </w:tcPr>
          <w:p>
            <w:pPr>
              <w:autoSpaceDE w:val="0"/>
              <w:autoSpaceDN w:val="0"/>
              <w:adjustRightInd w:val="0"/>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4</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一般，得2.4～3.2分；</w:t>
            </w:r>
          </w:p>
          <w:p>
            <w:pPr>
              <w:widowControl/>
              <w:tabs>
                <w:tab w:val="right" w:pos="2100"/>
              </w:tabs>
              <w:snapToGrid w:val="0"/>
              <w:spacing w:line="340" w:lineRule="atLeast"/>
              <w:ind w:firstLine="21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较好，得3.2～4.0分。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4" w:hRule="atLeast"/>
          <w:tblHeader/>
        </w:trPr>
        <w:tc>
          <w:tcPr>
            <w:tcW w:w="659"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692" w:type="dxa"/>
            <w:gridSpan w:val="2"/>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538" w:type="dxa"/>
            <w:vMerge w:val="continue"/>
            <w:vAlign w:val="center"/>
          </w:tcPr>
          <w:p>
            <w:pPr>
              <w:adjustRightInd w:val="0"/>
              <w:snapToGrid w:val="0"/>
              <w:jc w:val="center"/>
              <w:rPr>
                <w:rFonts w:hint="eastAsia" w:ascii="宋体" w:hAnsi="宋体" w:eastAsia="宋体" w:cs="宋体"/>
                <w:b/>
                <w:color w:val="auto"/>
                <w:sz w:val="21"/>
                <w:szCs w:val="21"/>
                <w:highlight w:val="none"/>
              </w:rPr>
            </w:pPr>
          </w:p>
        </w:tc>
        <w:tc>
          <w:tcPr>
            <w:tcW w:w="987" w:type="dxa"/>
            <w:vAlign w:val="center"/>
          </w:tcPr>
          <w:p>
            <w:pPr>
              <w:snapToGri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售后质保能力</w:t>
            </w:r>
          </w:p>
        </w:tc>
        <w:tc>
          <w:tcPr>
            <w:tcW w:w="550" w:type="dxa"/>
            <w:vAlign w:val="center"/>
          </w:tcPr>
          <w:p>
            <w:pPr>
              <w:autoSpaceDE w:val="0"/>
              <w:autoSpaceDN w:val="0"/>
              <w:adjustRightInd w:val="0"/>
              <w:snapToGri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5628" w:type="dxa"/>
            <w:vAlign w:val="center"/>
          </w:tcPr>
          <w:p>
            <w:pPr>
              <w:widowControl/>
              <w:tabs>
                <w:tab w:val="right" w:pos="2100"/>
              </w:tabs>
              <w:snapToGrid w:val="0"/>
              <w:spacing w:line="360" w:lineRule="atLeast"/>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一般，得2.4～3.2分；</w:t>
            </w:r>
          </w:p>
          <w:p>
            <w:pPr>
              <w:widowControl/>
              <w:tabs>
                <w:tab w:val="right" w:pos="2100"/>
              </w:tabs>
              <w:snapToGrid w:val="0"/>
              <w:spacing w:line="340" w:lineRule="atLeast"/>
              <w:ind w:firstLine="21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较好，得3.2～4.0分。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2" w:type="dxa"/>
            <w:gridSpan w:val="2"/>
            <w:vMerge w:val="restart"/>
            <w:textDirection w:val="tbRlV"/>
            <w:vAlign w:val="center"/>
          </w:tcPr>
          <w:p>
            <w:pPr>
              <w:adjustRightInd w:val="0"/>
              <w:snapToGrid w:val="0"/>
              <w:ind w:left="113" w:right="113"/>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主要人员</w:t>
            </w:r>
          </w:p>
        </w:tc>
        <w:tc>
          <w:tcPr>
            <w:tcW w:w="538"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任职业绩</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36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满足最低资格要求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在最低要求的基础上，每增加1项高速公路机电工程的项目经理(或项目副经理)任职业绩加</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continue"/>
            <w:vAlign w:val="center"/>
          </w:tcPr>
          <w:p>
            <w:pPr>
              <w:widowControl/>
              <w:snapToGrid w:val="0"/>
              <w:jc w:val="left"/>
              <w:rPr>
                <w:rFonts w:hint="eastAsia" w:ascii="宋体" w:hAnsi="宋体" w:eastAsia="宋体" w:cs="宋体"/>
                <w:color w:val="auto"/>
                <w:sz w:val="21"/>
                <w:szCs w:val="21"/>
                <w:highlight w:val="none"/>
              </w:rPr>
            </w:pPr>
          </w:p>
        </w:tc>
        <w:tc>
          <w:tcPr>
            <w:tcW w:w="692" w:type="dxa"/>
            <w:gridSpan w:val="2"/>
            <w:vMerge w:val="continue"/>
            <w:vAlign w:val="center"/>
          </w:tcPr>
          <w:p>
            <w:pPr>
              <w:widowControl/>
              <w:snapToGrid w:val="0"/>
              <w:jc w:val="left"/>
              <w:rPr>
                <w:rFonts w:hint="eastAsia" w:ascii="宋体" w:hAnsi="宋体" w:eastAsia="宋体" w:cs="宋体"/>
                <w:color w:val="auto"/>
                <w:sz w:val="21"/>
                <w:szCs w:val="21"/>
                <w:highlight w:val="none"/>
              </w:rPr>
            </w:pPr>
          </w:p>
        </w:tc>
        <w:tc>
          <w:tcPr>
            <w:tcW w:w="538" w:type="dxa"/>
            <w:vMerge w:val="continue"/>
            <w:vAlign w:val="center"/>
          </w:tcPr>
          <w:p>
            <w:pPr>
              <w:widowControl/>
              <w:snapToGrid w:val="0"/>
              <w:jc w:val="left"/>
              <w:rPr>
                <w:rFonts w:hint="eastAsia" w:ascii="宋体" w:hAnsi="宋体" w:eastAsia="宋体" w:cs="宋体"/>
                <w:color w:val="auto"/>
                <w:sz w:val="21"/>
                <w:szCs w:val="21"/>
                <w:highlight w:val="none"/>
              </w:rPr>
            </w:pP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任职业绩</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36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满足最低资格要求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在最低要求的基础上，每增加1项高速公路机电工程的项目总工（或项目副总工）任职业绩加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2" w:type="dxa"/>
            <w:gridSpan w:val="2"/>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w:t>
            </w:r>
          </w:p>
        </w:tc>
        <w:tc>
          <w:tcPr>
            <w:tcW w:w="538"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50分</w:t>
            </w:r>
          </w:p>
        </w:tc>
        <w:tc>
          <w:tcPr>
            <w:tcW w:w="7165" w:type="dxa"/>
            <w:gridSpan w:val="3"/>
            <w:vAlign w:val="center"/>
          </w:tcPr>
          <w:p>
            <w:pPr>
              <w:pStyle w:val="33"/>
              <w:keepNext w:val="0"/>
              <w:keepLines w:val="0"/>
              <w:pageBreakBefore w:val="0"/>
              <w:widowControl w:val="0"/>
              <w:tabs>
                <w:tab w:val="left" w:pos="914"/>
              </w:tabs>
              <w:kinsoku/>
              <w:wordWrap/>
              <w:overflowPunct/>
              <w:topLinePunct w:val="0"/>
              <w:autoSpaceDE/>
              <w:autoSpaceDN/>
              <w:bidi w:val="0"/>
              <w:adjustRightInd/>
              <w:snapToGrid w:val="0"/>
              <w:spacing w:before="0" w:line="360" w:lineRule="auto"/>
              <w:ind w:left="210" w:leftChars="10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u w:val="none"/>
              </w:rPr>
              <w:t>报价等于</w:t>
            </w:r>
            <w:r>
              <w:rPr>
                <w:rFonts w:hint="eastAsia" w:ascii="宋体" w:hAnsi="宋体" w:eastAsia="宋体" w:cs="宋体"/>
                <w:b w:val="0"/>
                <w:bCs w:val="0"/>
                <w:color w:val="auto"/>
                <w:kern w:val="0"/>
                <w:sz w:val="21"/>
                <w:szCs w:val="21"/>
                <w:highlight w:val="none"/>
                <w:u w:val="none"/>
                <w:lang w:val="en-US" w:eastAsia="zh-CN"/>
              </w:rPr>
              <w:t>评标</w:t>
            </w:r>
            <w:r>
              <w:rPr>
                <w:rFonts w:hint="eastAsia" w:ascii="宋体" w:hAnsi="宋体" w:eastAsia="宋体" w:cs="宋体"/>
                <w:b w:val="0"/>
                <w:bCs w:val="0"/>
                <w:color w:val="auto"/>
                <w:kern w:val="0"/>
                <w:sz w:val="21"/>
                <w:szCs w:val="21"/>
                <w:highlight w:val="none"/>
                <w:u w:val="none"/>
              </w:rPr>
              <w:t>基准价得满分。投标人的评标价每高于</w:t>
            </w:r>
            <w:r>
              <w:rPr>
                <w:rFonts w:hint="eastAsia" w:ascii="宋体" w:hAnsi="宋体" w:eastAsia="宋体" w:cs="宋体"/>
                <w:b w:val="0"/>
                <w:bCs w:val="0"/>
                <w:color w:val="auto"/>
                <w:kern w:val="0"/>
                <w:sz w:val="21"/>
                <w:szCs w:val="21"/>
                <w:highlight w:val="none"/>
                <w:u w:val="none"/>
                <w:lang w:val="en-US" w:eastAsia="zh-CN"/>
              </w:rPr>
              <w:t>评标基准价</w:t>
            </w:r>
            <w:r>
              <w:rPr>
                <w:rFonts w:hint="eastAsia" w:ascii="宋体" w:hAnsi="宋体" w:eastAsia="宋体" w:cs="宋体"/>
                <w:b w:val="0"/>
                <w:bCs w:val="0"/>
                <w:color w:val="auto"/>
                <w:kern w:val="0"/>
                <w:sz w:val="21"/>
                <w:szCs w:val="21"/>
                <w:highlight w:val="none"/>
                <w:u w:val="none"/>
              </w:rPr>
              <w:t>1%</w:t>
            </w:r>
            <w:r>
              <w:rPr>
                <w:rFonts w:hint="eastAsia" w:ascii="宋体" w:hAnsi="宋体" w:eastAsia="宋体" w:cs="宋体"/>
                <w:b w:val="0"/>
                <w:bCs w:val="0"/>
                <w:color w:val="auto"/>
                <w:kern w:val="0"/>
                <w:sz w:val="21"/>
                <w:szCs w:val="21"/>
                <w:highlight w:val="none"/>
                <w:u w:val="none"/>
                <w:lang w:val="en-US" w:eastAsia="zh-CN"/>
              </w:rPr>
              <w:t>，扣0.1分；</w:t>
            </w:r>
            <w:r>
              <w:rPr>
                <w:rFonts w:hint="eastAsia" w:ascii="宋体" w:hAnsi="宋体" w:eastAsia="宋体" w:cs="宋体"/>
                <w:b w:val="0"/>
                <w:bCs w:val="0"/>
                <w:color w:val="auto"/>
                <w:kern w:val="0"/>
                <w:sz w:val="21"/>
                <w:szCs w:val="21"/>
                <w:highlight w:val="none"/>
                <w:u w:val="none"/>
              </w:rPr>
              <w:t>评标价</w:t>
            </w:r>
            <w:r>
              <w:rPr>
                <w:rFonts w:hint="eastAsia" w:ascii="宋体" w:hAnsi="宋体" w:eastAsia="宋体" w:cs="宋体"/>
                <w:b w:val="0"/>
                <w:bCs w:val="0"/>
                <w:color w:val="auto"/>
                <w:kern w:val="0"/>
                <w:sz w:val="21"/>
                <w:szCs w:val="21"/>
                <w:highlight w:val="none"/>
                <w:u w:val="none"/>
                <w:lang w:val="en-US" w:eastAsia="zh-CN"/>
              </w:rPr>
              <w:t>每低于评标</w:t>
            </w:r>
            <w:r>
              <w:rPr>
                <w:rFonts w:hint="eastAsia" w:ascii="宋体" w:hAnsi="宋体" w:eastAsia="宋体" w:cs="宋体"/>
                <w:b w:val="0"/>
                <w:bCs w:val="0"/>
                <w:color w:val="auto"/>
                <w:kern w:val="0"/>
                <w:sz w:val="21"/>
                <w:szCs w:val="21"/>
                <w:highlight w:val="none"/>
                <w:u w:val="none"/>
              </w:rPr>
              <w:t>基准价1%，扣0.</w:t>
            </w:r>
            <w:r>
              <w:rPr>
                <w:rFonts w:hint="eastAsia" w:ascii="宋体" w:hAnsi="宋体" w:eastAsia="宋体" w:cs="宋体"/>
                <w:b w:val="0"/>
                <w:bCs w:val="0"/>
                <w:color w:val="auto"/>
                <w:kern w:val="0"/>
                <w:sz w:val="21"/>
                <w:szCs w:val="21"/>
                <w:highlight w:val="none"/>
                <w:u w:val="none"/>
                <w:lang w:val="en-US" w:eastAsia="zh-CN"/>
              </w:rPr>
              <w:t>05</w:t>
            </w:r>
            <w:r>
              <w:rPr>
                <w:rFonts w:hint="eastAsia" w:ascii="宋体" w:hAnsi="宋体" w:eastAsia="宋体" w:cs="宋体"/>
                <w:b w:val="0"/>
                <w:bCs w:val="0"/>
                <w:color w:val="auto"/>
                <w:kern w:val="0"/>
                <w:sz w:val="21"/>
                <w:szCs w:val="21"/>
                <w:highlight w:val="none"/>
                <w:u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Merge w:val="restart"/>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6" w:type="dxa"/>
            <w:vMerge w:val="restart"/>
            <w:textDirection w:val="tbRlV"/>
            <w:vAlign w:val="center"/>
          </w:tcPr>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tc>
        <w:tc>
          <w:tcPr>
            <w:tcW w:w="346" w:type="dxa"/>
            <w:textDirection w:val="tbRlV"/>
            <w:vAlign w:val="center"/>
          </w:tcPr>
          <w:p>
            <w:pPr>
              <w:widowControl/>
              <w:snapToGrid w:val="0"/>
              <w:ind w:left="113" w:right="1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38" w:type="dxa"/>
            <w:vAlign w:val="center"/>
          </w:tcPr>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360" w:lineRule="auto"/>
              <w:ind w:left="210" w:left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满足最低资格要求得7.2分</w:t>
            </w:r>
            <w:r>
              <w:rPr>
                <w:rFonts w:hint="eastAsia" w:ascii="宋体" w:hAnsi="宋体" w:eastAsia="宋体" w:cs="宋体"/>
                <w:color w:val="auto"/>
                <w:sz w:val="21"/>
                <w:szCs w:val="21"/>
                <w:highlight w:val="none"/>
                <w:lang w:eastAsia="zh-CN"/>
              </w:rPr>
              <w:t>；</w:t>
            </w:r>
          </w:p>
          <w:p>
            <w:pPr>
              <w:adjustRightInd w:val="0"/>
              <w:snapToGrid w:val="0"/>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自2016年1月1日后（以交工日期为准）每增加1项单项合同额</w:t>
            </w:r>
            <w:r>
              <w:rPr>
                <w:rFonts w:hint="eastAsia" w:ascii="宋体" w:hAnsi="宋体" w:eastAsia="宋体" w:cs="宋体"/>
                <w:color w:val="auto"/>
                <w:sz w:val="21"/>
                <w:szCs w:val="21"/>
                <w:highlight w:val="none"/>
              </w:rPr>
              <w:t>1000万元以</w:t>
            </w:r>
            <w:r>
              <w:rPr>
                <w:rFonts w:hint="eastAsia" w:ascii="宋体" w:hAnsi="宋体" w:eastAsia="宋体" w:cs="宋体"/>
                <w:color w:val="auto"/>
                <w:sz w:val="21"/>
                <w:szCs w:val="21"/>
                <w:highlight w:val="none"/>
              </w:rPr>
              <w:t>上的高速公路机电工程施工业绩，得2.4分，最多得4.8分。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59" w:type="dxa"/>
            <w:vMerge w:val="continue"/>
            <w:vAlign w:val="center"/>
          </w:tcPr>
          <w:p>
            <w:pPr>
              <w:snapToGrid w:val="0"/>
              <w:jc w:val="left"/>
              <w:rPr>
                <w:rFonts w:hint="eastAsia" w:ascii="宋体" w:hAnsi="宋体" w:eastAsia="宋体" w:cs="宋体"/>
                <w:color w:val="auto"/>
                <w:sz w:val="21"/>
                <w:szCs w:val="21"/>
                <w:highlight w:val="none"/>
              </w:rPr>
            </w:pPr>
          </w:p>
        </w:tc>
        <w:tc>
          <w:tcPr>
            <w:tcW w:w="346" w:type="dxa"/>
            <w:vMerge w:val="continue"/>
            <w:vAlign w:val="center"/>
          </w:tcPr>
          <w:p>
            <w:pPr>
              <w:widowControl/>
              <w:snapToGrid w:val="0"/>
              <w:ind w:left="113"/>
              <w:jc w:val="left"/>
              <w:rPr>
                <w:rFonts w:hint="eastAsia" w:ascii="宋体" w:hAnsi="宋体" w:eastAsia="宋体" w:cs="宋体"/>
                <w:color w:val="auto"/>
                <w:sz w:val="21"/>
                <w:szCs w:val="21"/>
                <w:highlight w:val="none"/>
              </w:rPr>
            </w:pPr>
          </w:p>
        </w:tc>
        <w:tc>
          <w:tcPr>
            <w:tcW w:w="346" w:type="dxa"/>
            <w:textDirection w:val="tbRlV"/>
            <w:vAlign w:val="center"/>
          </w:tcPr>
          <w:p>
            <w:pPr>
              <w:snapToGrid w:val="0"/>
              <w:ind w:left="113" w:right="1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履约信誉</w:t>
            </w:r>
          </w:p>
        </w:tc>
        <w:tc>
          <w:tcPr>
            <w:tcW w:w="538" w:type="dxa"/>
            <w:vAlign w:val="center"/>
          </w:tcPr>
          <w:p>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987"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w:t>
            </w:r>
          </w:p>
        </w:tc>
        <w:tc>
          <w:tcPr>
            <w:tcW w:w="550" w:type="dxa"/>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628" w:type="dxa"/>
            <w:vAlign w:val="center"/>
          </w:tcPr>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1）以投标人的吉林省省级综合信用评价结果（以下简称“吉林省评价”）或全国综合信用评价结果（以下简称“全国评价”）计算其履约信誉得分。</w:t>
            </w:r>
          </w:p>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2）企业信用等级</w:t>
            </w:r>
            <w:r>
              <w:rPr>
                <w:rFonts w:hint="eastAsia" w:ascii="宋体" w:hAnsi="宋体" w:eastAsia="宋体" w:cs="宋体"/>
                <w:color w:val="auto"/>
                <w:sz w:val="21"/>
                <w:szCs w:val="21"/>
                <w:highlight w:val="none"/>
                <w:lang w:val="en-US" w:eastAsia="zh-CN"/>
              </w:rPr>
              <w:t>评价</w:t>
            </w:r>
            <w:r>
              <w:rPr>
                <w:rFonts w:hint="eastAsia" w:ascii="宋体" w:hAnsi="宋体" w:eastAsia="宋体" w:cs="宋体"/>
                <w:color w:val="auto"/>
                <w:sz w:val="21"/>
                <w:szCs w:val="21"/>
                <w:highlight w:val="none"/>
              </w:rPr>
              <w:t>：</w:t>
            </w:r>
          </w:p>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年度吉林省评价：《关于发布2020年度公路建设市场吉林省省级综合评价结果的通告》（2021年第4号）；</w:t>
            </w:r>
          </w:p>
          <w:p>
            <w:p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2019年度全国评价：《交通运输部关于公布2019年度公路建设市场全国综合信用评价结果的公告》（交通运输部公告2020第75号。</w:t>
            </w:r>
          </w:p>
          <w:p>
            <w:pPr>
              <w:numPr>
                <w:ilvl w:val="0"/>
                <w:numId w:val="3"/>
              </w:numPr>
              <w:adjustRightInd w:val="0"/>
              <w:snapToGrid w:val="0"/>
              <w:spacing w:line="280" w:lineRule="atLeast"/>
              <w:ind w:left="210" w:leftChars="10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评分标准如下：</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两者均有的，以吉林省评价为准，两者均没有的，若无不良信用记录，按A级对待，若有不良信用记录，按C级、D级对待。</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AA级、A级得5分，</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B级得3分，</w:t>
            </w:r>
          </w:p>
          <w:p>
            <w:pPr>
              <w:pStyle w:val="2"/>
              <w:keepNext/>
              <w:keepLines/>
              <w:pageBreakBefore w:val="0"/>
              <w:widowControl w:val="0"/>
              <w:numPr>
                <w:ilvl w:val="0"/>
                <w:numId w:val="0"/>
              </w:numPr>
              <w:kinsoku/>
              <w:wordWrap/>
              <w:overflowPunct/>
              <w:topLinePunct w:val="0"/>
              <w:autoSpaceDE/>
              <w:autoSpaceDN/>
              <w:bidi w:val="0"/>
              <w:adjustRightInd/>
              <w:snapToGrid w:val="0"/>
              <w:ind w:left="210" w:leftChars="100" w:firstLine="0" w:firstLineChars="0"/>
              <w:jc w:val="both"/>
              <w:textAlignment w:val="auto"/>
              <w:outlineLvl w:val="1"/>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C级、D级不得分</w:t>
            </w:r>
          </w:p>
        </w:tc>
      </w:tr>
    </w:tbl>
    <w:p>
      <w:pPr>
        <w:widowControl/>
        <w:jc w:val="left"/>
        <w:rPr>
          <w:rFonts w:hint="eastAsia" w:ascii="宋体" w:hAnsi="宋体" w:eastAsia="宋体" w:cs="宋体"/>
          <w:b w:val="0"/>
          <w:bCs w:val="0"/>
          <w:color w:val="auto"/>
          <w:kern w:val="44"/>
          <w:sz w:val="21"/>
          <w:szCs w:val="21"/>
        </w:rPr>
      </w:pPr>
      <w:r>
        <w:rPr>
          <w:rFonts w:hint="eastAsia" w:ascii="宋体" w:hAnsi="宋体" w:eastAsia="宋体" w:cs="宋体"/>
          <w:color w:val="auto"/>
          <w:sz w:val="21"/>
          <w:szCs w:val="21"/>
          <w:highlight w:val="none"/>
        </w:rPr>
        <w:br w:type="page"/>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kern w:val="44"/>
          <w:sz w:val="21"/>
          <w:szCs w:val="21"/>
        </w:rPr>
        <w:t>公开时间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44"/>
          <w:sz w:val="21"/>
          <w:szCs w:val="21"/>
        </w:rPr>
        <w:t>本次</w:t>
      </w:r>
      <w:r>
        <w:rPr>
          <w:rFonts w:hint="eastAsia" w:ascii="宋体" w:hAnsi="宋体" w:eastAsia="宋体" w:cs="宋体"/>
          <w:b w:val="0"/>
          <w:bCs w:val="0"/>
          <w:color w:val="auto"/>
          <w:kern w:val="44"/>
          <w:sz w:val="21"/>
          <w:szCs w:val="21"/>
          <w:lang w:val="en-US" w:eastAsia="zh-CN"/>
        </w:rPr>
        <w:t>招标</w:t>
      </w:r>
      <w:r>
        <w:rPr>
          <w:rFonts w:hint="eastAsia" w:ascii="宋体" w:hAnsi="宋体" w:eastAsia="宋体" w:cs="宋体"/>
          <w:b w:val="0"/>
          <w:bCs w:val="0"/>
          <w:color w:val="auto"/>
          <w:kern w:val="44"/>
          <w:sz w:val="21"/>
          <w:szCs w:val="21"/>
        </w:rPr>
        <w:t>文件关键内容信息公开时间至</w:t>
      </w:r>
      <w:r>
        <w:rPr>
          <w:rFonts w:hint="eastAsia" w:ascii="宋体" w:hAnsi="宋体" w:eastAsia="宋体" w:cs="宋体"/>
          <w:b w:val="0"/>
          <w:bCs w:val="0"/>
          <w:color w:val="auto"/>
          <w:kern w:val="44"/>
          <w:sz w:val="21"/>
          <w:szCs w:val="21"/>
          <w:lang w:val="en-US" w:eastAsia="zh-CN"/>
        </w:rPr>
        <w:t>2021</w:t>
      </w:r>
      <w:r>
        <w:rPr>
          <w:rFonts w:hint="eastAsia" w:ascii="宋体" w:hAnsi="宋体" w:eastAsia="宋体" w:cs="宋体"/>
          <w:b w:val="0"/>
          <w:bCs w:val="0"/>
          <w:color w:val="auto"/>
          <w:kern w:val="44"/>
          <w:sz w:val="21"/>
          <w:szCs w:val="21"/>
        </w:rPr>
        <w:t>年</w:t>
      </w:r>
      <w:r>
        <w:rPr>
          <w:rFonts w:hint="eastAsia" w:ascii="宋体" w:hAnsi="宋体" w:eastAsia="宋体" w:cs="宋体"/>
          <w:b w:val="0"/>
          <w:bCs w:val="0"/>
          <w:color w:val="auto"/>
          <w:kern w:val="44"/>
          <w:sz w:val="21"/>
          <w:szCs w:val="21"/>
          <w:lang w:val="en-US" w:eastAsia="zh-CN"/>
        </w:rPr>
        <w:t>6</w:t>
      </w:r>
      <w:r>
        <w:rPr>
          <w:rFonts w:hint="eastAsia" w:ascii="宋体" w:hAnsi="宋体" w:eastAsia="宋体" w:cs="宋体"/>
          <w:b w:val="0"/>
          <w:bCs w:val="0"/>
          <w:color w:val="auto"/>
          <w:kern w:val="44"/>
          <w:sz w:val="21"/>
          <w:szCs w:val="21"/>
        </w:rPr>
        <w:t>月</w:t>
      </w:r>
      <w:r>
        <w:rPr>
          <w:rFonts w:hint="eastAsia" w:ascii="宋体" w:hAnsi="宋体" w:eastAsia="宋体" w:cs="宋体"/>
          <w:b w:val="0"/>
          <w:bCs w:val="0"/>
          <w:color w:val="auto"/>
          <w:kern w:val="44"/>
          <w:sz w:val="21"/>
          <w:szCs w:val="21"/>
          <w:lang w:val="en-US" w:eastAsia="zh-CN"/>
        </w:rPr>
        <w:t>18</w:t>
      </w:r>
      <w:r>
        <w:rPr>
          <w:rFonts w:hint="eastAsia" w:ascii="宋体" w:hAnsi="宋体" w:eastAsia="宋体" w:cs="宋体"/>
          <w:b w:val="0"/>
          <w:bCs w:val="0"/>
          <w:color w:val="auto"/>
          <w:kern w:val="44"/>
          <w:sz w:val="21"/>
          <w:szCs w:val="21"/>
        </w:rPr>
        <w:t>日24时00分结束</w:t>
      </w:r>
    </w:p>
    <w:p>
      <w:pPr>
        <w:pageBreakBefore w:val="0"/>
        <w:numPr>
          <w:ilvl w:val="0"/>
          <w:numId w:val="0"/>
        </w:numPr>
        <w:kinsoku/>
        <w:wordWrap/>
        <w:overflowPunct/>
        <w:topLinePunct w:val="0"/>
        <w:bidi w:val="0"/>
        <w:snapToGrid w:val="0"/>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联系方式</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 标 人：吉林省高速公路集团有限公司</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　　址：吉林省长春市南关区人民大街11511号</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邮政编码：130028</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 系 人：于忠宏</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    话：0431-85254020</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招标代理机构：国信招标集团股份有限公司</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执行机构：国信招标集团股份有限公司吉林省分公司</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地址：长春市净月旅游开发区生态大街3777号明宇广场A4栋32层招标部</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联系人：张娉婷、王建</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电话：0431-81852896</w:t>
      </w:r>
    </w:p>
    <w:p>
      <w:pPr>
        <w:pageBreakBefore w:val="0"/>
        <w:numPr>
          <w:ilvl w:val="0"/>
          <w:numId w:val="0"/>
        </w:numPr>
        <w:kinsoku/>
        <w:wordWrap/>
        <w:overflowPunct/>
        <w:topLinePunct w:val="0"/>
        <w:bidi w:val="0"/>
        <w:snapToGrid w:val="0"/>
        <w:spacing w:line="3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邮箱：2232574732@qq.com</w:t>
      </w:r>
    </w:p>
    <w:p>
      <w:pPr>
        <w:pageBreakBefore w:val="0"/>
        <w:numPr>
          <w:ilvl w:val="0"/>
          <w:numId w:val="0"/>
        </w:numPr>
        <w:kinsoku/>
        <w:wordWrap/>
        <w:overflowPunct/>
        <w:topLinePunct w:val="0"/>
        <w:bidi w:val="0"/>
        <w:snapToGrid w:val="0"/>
        <w:spacing w:line="360" w:lineRule="exact"/>
        <w:rPr>
          <w:rFonts w:hint="eastAsia" w:ascii="宋体" w:hAnsi="宋体" w:eastAsia="宋体" w:cs="宋体"/>
          <w:b w:val="0"/>
          <w:bCs w:val="0"/>
          <w:color w:val="auto"/>
          <w:sz w:val="21"/>
          <w:szCs w:val="21"/>
          <w:highlight w:val="none"/>
        </w:rPr>
      </w:pPr>
    </w:p>
    <w:p>
      <w:pPr>
        <w:pageBreakBefore w:val="0"/>
        <w:kinsoku/>
        <w:wordWrap/>
        <w:overflowPunct/>
        <w:topLinePunct w:val="0"/>
        <w:bidi w:val="0"/>
        <w:snapToGrid w:val="0"/>
        <w:spacing w:line="360" w:lineRule="exact"/>
        <w:jc w:val="right"/>
        <w:rPr>
          <w:rFonts w:hint="eastAsia" w:ascii="宋体" w:hAnsi="宋体" w:eastAsia="宋体" w:cs="宋体"/>
          <w:b w:val="0"/>
          <w:bCs w:val="0"/>
          <w:color w:val="auto"/>
          <w:sz w:val="21"/>
          <w:szCs w:val="21"/>
          <w:highlight w:val="none"/>
        </w:rPr>
      </w:pPr>
    </w:p>
    <w:p>
      <w:pPr>
        <w:pageBreakBefore w:val="0"/>
        <w:kinsoku/>
        <w:wordWrap/>
        <w:overflowPunct/>
        <w:topLinePunct w:val="0"/>
        <w:bidi w:val="0"/>
        <w:snapToGrid w:val="0"/>
        <w:spacing w:line="360" w:lineRule="exact"/>
        <w:jc w:val="right"/>
        <w:rPr>
          <w:rFonts w:hint="eastAsia" w:ascii="宋体" w:hAnsi="宋体" w:eastAsia="宋体" w:cs="宋体"/>
          <w:b w:val="0"/>
          <w:bCs w:val="0"/>
          <w:color w:val="auto"/>
          <w:sz w:val="21"/>
          <w:szCs w:val="21"/>
          <w:highlight w:val="none"/>
        </w:rPr>
      </w:pPr>
    </w:p>
    <w:bookmarkEnd w:id="0"/>
    <w:bookmarkEnd w:id="1"/>
    <w:p>
      <w:pPr>
        <w:pageBreakBefore w:val="0"/>
        <w:kinsoku/>
        <w:wordWrap/>
        <w:overflowPunct/>
        <w:topLinePunct w:val="0"/>
        <w:bidi w:val="0"/>
        <w:snapToGrid w:val="0"/>
        <w:spacing w:line="360" w:lineRule="exact"/>
        <w:jc w:val="right"/>
        <w:rPr>
          <w:rFonts w:hint="eastAsia" w:ascii="宋体" w:hAnsi="宋体" w:eastAsia="宋体" w:cs="宋体"/>
          <w:b w:val="0"/>
          <w:bCs w:val="0"/>
          <w:color w:val="auto"/>
          <w:sz w:val="21"/>
          <w:szCs w:val="21"/>
          <w:highlight w:val="none"/>
        </w:rPr>
      </w:pPr>
    </w:p>
    <w:bookmarkEnd w:id="8"/>
    <w:sectPr>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Miriam Mono CLM"/>
    <w:panose1 w:val="02040503050406030204"/>
    <w:charset w:val="00"/>
    <w:family w:val="roman"/>
    <w:pitch w:val="default"/>
    <w:sig w:usb0="00000000" w:usb1="00000000" w:usb2="00000000" w:usb3="00000000" w:csb0="2000019F" w:csb1="00000000"/>
  </w:font>
  <w:font w:name="Miriam Mono CLM">
    <w:panose1 w:val="02000503000000000000"/>
    <w:charset w:val="00"/>
    <w:family w:val="auto"/>
    <w:pitch w:val="default"/>
    <w:sig w:usb0="80000803" w:usb1="50002802"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1"/>
      </w:pPr>
      <w:r>
        <w:rPr>
          <w:rStyle w:val="19"/>
        </w:rPr>
        <w:footnoteRef/>
      </w:r>
      <w:r>
        <w:rPr>
          <w:rFonts w:hint="eastAsia"/>
          <w:b/>
          <w:lang w:val="en-US"/>
        </w:rPr>
        <w:t>本表中投标人自有人员</w:t>
      </w:r>
      <w:r>
        <w:rPr>
          <w:rFonts w:hint="eastAsia"/>
          <w:lang w:val="en-US"/>
        </w:rPr>
        <w:t>指投标人为其缴纳社会保险（指养老保险）的人员，</w:t>
      </w:r>
      <w:r>
        <w:rPr>
          <w:lang w:val="en-US"/>
        </w:rPr>
        <w:t>参保截止日期应在申请截止时间前3个月内</w:t>
      </w:r>
      <w:r>
        <w:rPr>
          <w:rFonts w:hint="eastAsia"/>
          <w:lang w:val="en-US"/>
        </w:rPr>
        <w:t>。</w:t>
      </w:r>
    </w:p>
  </w:footnote>
  <w:footnote w:id="1">
    <w:p>
      <w:pPr>
        <w:pStyle w:val="11"/>
        <w:spacing w:line="320" w:lineRule="exact"/>
        <w:jc w:val="both"/>
      </w:pPr>
      <w:r>
        <w:rPr>
          <w:rStyle w:val="19"/>
        </w:rPr>
        <w:footnoteRef/>
      </w:r>
      <w:r>
        <w:t xml:space="preserve"> </w:t>
      </w:r>
      <w:r>
        <w:rPr>
          <w:rFonts w:hint="eastAsia"/>
        </w:rPr>
        <w:t>“评标办法前附表”用于进一步明确正文中的未尽事宜，凡“评标办法前附表”对本章正文内容进行修改、完善和补充的，均以“评标办法前附表”为准；未进行补充、完善、修改和说明的，以本章正文内容为准。</w:t>
      </w:r>
    </w:p>
  </w:footnote>
  <w:footnote w:id="2">
    <w:p>
      <w:pPr>
        <w:pStyle w:val="11"/>
        <w:jc w:val="both"/>
      </w:pPr>
      <w:r>
        <w:rPr>
          <w:rStyle w:val="19"/>
        </w:rPr>
        <w:footnoteRef/>
      </w:r>
      <w:r>
        <w:t xml:space="preserve"> </w:t>
      </w:r>
      <w:r>
        <w:rPr>
          <w:rFonts w:hint="eastAsia"/>
        </w:rPr>
        <w:t>各评分因素（评标价和履约信誉评分项除外）得分一般不得低于其权重分值的 60%，且各评分因素得分应以评标委员会各成员的打分平均值确定，评标委员会成员总数为7人以上时，该平均值以去掉一个最高分和一个最低分后计算。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5A81"/>
    <w:multiLevelType w:val="singleLevel"/>
    <w:tmpl w:val="C94A5A81"/>
    <w:lvl w:ilvl="0" w:tentative="0">
      <w:start w:val="3"/>
      <w:numFmt w:val="decimal"/>
      <w:suff w:val="nothing"/>
      <w:lvlText w:val="%1）"/>
      <w:lvlJc w:val="left"/>
    </w:lvl>
  </w:abstractNum>
  <w:abstractNum w:abstractNumId="1">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050ADF"/>
    <w:multiLevelType w:val="multilevel"/>
    <w:tmpl w:val="7D050ADF"/>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5335B"/>
    <w:rsid w:val="001B2F15"/>
    <w:rsid w:val="001E7FD4"/>
    <w:rsid w:val="0021703D"/>
    <w:rsid w:val="002252DC"/>
    <w:rsid w:val="00231F0D"/>
    <w:rsid w:val="00233745"/>
    <w:rsid w:val="00282745"/>
    <w:rsid w:val="002B7B92"/>
    <w:rsid w:val="002D768F"/>
    <w:rsid w:val="002E465D"/>
    <w:rsid w:val="003B019A"/>
    <w:rsid w:val="004C5613"/>
    <w:rsid w:val="004F05E3"/>
    <w:rsid w:val="00502E88"/>
    <w:rsid w:val="00532828"/>
    <w:rsid w:val="005514D3"/>
    <w:rsid w:val="005972CD"/>
    <w:rsid w:val="005B2A43"/>
    <w:rsid w:val="005C21E4"/>
    <w:rsid w:val="005D37F2"/>
    <w:rsid w:val="00641857"/>
    <w:rsid w:val="006C38E4"/>
    <w:rsid w:val="007118D4"/>
    <w:rsid w:val="00791974"/>
    <w:rsid w:val="00812F23"/>
    <w:rsid w:val="00861859"/>
    <w:rsid w:val="00871362"/>
    <w:rsid w:val="008746CD"/>
    <w:rsid w:val="00916D20"/>
    <w:rsid w:val="00923518"/>
    <w:rsid w:val="00976577"/>
    <w:rsid w:val="009C3EDE"/>
    <w:rsid w:val="009E021E"/>
    <w:rsid w:val="00A7342F"/>
    <w:rsid w:val="00A806E0"/>
    <w:rsid w:val="00AE752B"/>
    <w:rsid w:val="00B06859"/>
    <w:rsid w:val="00B608ED"/>
    <w:rsid w:val="00B834AC"/>
    <w:rsid w:val="00B94549"/>
    <w:rsid w:val="00BD06B8"/>
    <w:rsid w:val="00BE0A41"/>
    <w:rsid w:val="00C55B37"/>
    <w:rsid w:val="00D94845"/>
    <w:rsid w:val="00E2099B"/>
    <w:rsid w:val="00E34D0C"/>
    <w:rsid w:val="00E87CC6"/>
    <w:rsid w:val="00EE2448"/>
    <w:rsid w:val="00F66AB9"/>
    <w:rsid w:val="0BAD6041"/>
    <w:rsid w:val="0E4E4614"/>
    <w:rsid w:val="105F2860"/>
    <w:rsid w:val="116E4B1F"/>
    <w:rsid w:val="17BD58E8"/>
    <w:rsid w:val="1D4047D7"/>
    <w:rsid w:val="234D3A9E"/>
    <w:rsid w:val="255E1D76"/>
    <w:rsid w:val="2A412370"/>
    <w:rsid w:val="2ADD1B61"/>
    <w:rsid w:val="2B2D3677"/>
    <w:rsid w:val="2B7F4518"/>
    <w:rsid w:val="2D507A58"/>
    <w:rsid w:val="2E3013F8"/>
    <w:rsid w:val="2EEC3FD8"/>
    <w:rsid w:val="365B52C2"/>
    <w:rsid w:val="36FB4B70"/>
    <w:rsid w:val="39B75D73"/>
    <w:rsid w:val="3A9245FF"/>
    <w:rsid w:val="465D2588"/>
    <w:rsid w:val="4867249E"/>
    <w:rsid w:val="4A55428B"/>
    <w:rsid w:val="4C5A6CE5"/>
    <w:rsid w:val="4CDA1B40"/>
    <w:rsid w:val="50A20A2A"/>
    <w:rsid w:val="56C90FDE"/>
    <w:rsid w:val="5E006468"/>
    <w:rsid w:val="6A685578"/>
    <w:rsid w:val="6D636416"/>
    <w:rsid w:val="72384C87"/>
    <w:rsid w:val="7B324843"/>
    <w:rsid w:val="7D11161D"/>
    <w:rsid w:val="7D561B59"/>
    <w:rsid w:val="7F5A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3"/>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99"/>
    <w:pPr>
      <w:keepNext/>
      <w:keepLines/>
      <w:spacing w:before="260" w:after="260" w:line="416" w:lineRule="auto"/>
      <w:outlineLvl w:val="2"/>
    </w:pPr>
    <w:rPr>
      <w:rFonts w:ascii="Calibri" w:hAnsi="Calibri"/>
      <w:b/>
      <w:bCs/>
      <w:kern w:val="0"/>
      <w:sz w:val="32"/>
      <w:szCs w:val="32"/>
    </w:rPr>
  </w:style>
  <w:style w:type="paragraph" w:styleId="6">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7">
    <w:name w:val="annotation text"/>
    <w:basedOn w:val="1"/>
    <w:link w:val="30"/>
    <w:qFormat/>
    <w:uiPriority w:val="0"/>
    <w:pPr>
      <w:jc w:val="left"/>
    </w:pPr>
    <w:rPr>
      <w:rFonts w:ascii="Calibri" w:hAnsi="Calibri"/>
      <w:szCs w:val="22"/>
    </w:rPr>
  </w:style>
  <w:style w:type="paragraph" w:styleId="8">
    <w:name w:val="Balloon Text"/>
    <w:basedOn w:val="1"/>
    <w:link w:val="24"/>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1"/>
    <w:unhideWhenUsed/>
    <w:qFormat/>
    <w:uiPriority w:val="0"/>
    <w:pPr>
      <w:snapToGrid w:val="0"/>
      <w:jc w:val="left"/>
    </w:pPr>
    <w:rPr>
      <w:rFonts w:ascii="Calibri" w:hAnsi="Calibri"/>
      <w:kern w:val="0"/>
      <w:sz w:val="18"/>
      <w:szCs w:val="18"/>
    </w:rPr>
  </w:style>
  <w:style w:type="paragraph" w:styleId="12">
    <w:name w:val="Body Text Indent 3"/>
    <w:basedOn w:val="1"/>
    <w:link w:val="20"/>
    <w:qFormat/>
    <w:uiPriority w:val="0"/>
    <w:pPr>
      <w:spacing w:after="120"/>
      <w:ind w:left="420" w:leftChars="200"/>
    </w:pPr>
    <w:rPr>
      <w:sz w:val="16"/>
      <w:szCs w:val="16"/>
    </w:rPr>
  </w:style>
  <w:style w:type="paragraph" w:styleId="13">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14">
    <w:name w:val="Title"/>
    <w:basedOn w:val="1"/>
    <w:next w:val="1"/>
    <w:link w:val="23"/>
    <w:qFormat/>
    <w:uiPriority w:val="0"/>
    <w:pPr>
      <w:spacing w:before="240" w:after="60"/>
      <w:jc w:val="center"/>
      <w:outlineLvl w:val="0"/>
    </w:pPr>
    <w:rPr>
      <w:rFonts w:ascii="Cambria" w:hAnsi="Cambria"/>
      <w:b/>
      <w:bCs/>
      <w:sz w:val="32"/>
      <w:szCs w:val="32"/>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character" w:styleId="19">
    <w:name w:val="footnote reference"/>
    <w:qFormat/>
    <w:uiPriority w:val="0"/>
    <w:rPr>
      <w:vertAlign w:val="superscript"/>
    </w:rPr>
  </w:style>
  <w:style w:type="character" w:customStyle="1" w:styleId="20">
    <w:name w:val="正文文本缩进 3 Char"/>
    <w:basedOn w:val="17"/>
    <w:link w:val="12"/>
    <w:qFormat/>
    <w:uiPriority w:val="0"/>
    <w:rPr>
      <w:rFonts w:ascii="Times New Roman" w:hAnsi="Times New Roman" w:eastAsia="宋体" w:cs="Times New Roman"/>
      <w:sz w:val="16"/>
      <w:szCs w:val="16"/>
    </w:rPr>
  </w:style>
  <w:style w:type="character" w:customStyle="1" w:styleId="21">
    <w:name w:val="脚注文本 Char"/>
    <w:basedOn w:val="17"/>
    <w:link w:val="11"/>
    <w:qFormat/>
    <w:uiPriority w:val="0"/>
    <w:rPr>
      <w:rFonts w:ascii="Calibri" w:hAnsi="Calibri" w:eastAsia="宋体" w:cs="Times New Roman"/>
      <w:kern w:val="0"/>
      <w:sz w:val="18"/>
      <w:szCs w:val="18"/>
    </w:rPr>
  </w:style>
  <w:style w:type="character" w:customStyle="1" w:styleId="22">
    <w:name w:val="页眉 Char"/>
    <w:basedOn w:val="17"/>
    <w:link w:val="10"/>
    <w:qFormat/>
    <w:uiPriority w:val="99"/>
    <w:rPr>
      <w:rFonts w:ascii="Times New Roman" w:hAnsi="Times New Roman" w:eastAsia="宋体" w:cs="Times New Roman"/>
      <w:sz w:val="18"/>
      <w:szCs w:val="18"/>
    </w:rPr>
  </w:style>
  <w:style w:type="character" w:customStyle="1" w:styleId="23">
    <w:name w:val="标题 Char"/>
    <w:basedOn w:val="17"/>
    <w:link w:val="14"/>
    <w:qFormat/>
    <w:uiPriority w:val="0"/>
    <w:rPr>
      <w:rFonts w:ascii="Cambria" w:hAnsi="Cambria" w:eastAsia="宋体" w:cs="Times New Roman"/>
      <w:b/>
      <w:bCs/>
      <w:sz w:val="32"/>
      <w:szCs w:val="32"/>
    </w:rPr>
  </w:style>
  <w:style w:type="character" w:customStyle="1" w:styleId="24">
    <w:name w:val="批注框文本 Char"/>
    <w:basedOn w:val="17"/>
    <w:link w:val="8"/>
    <w:semiHidden/>
    <w:qFormat/>
    <w:uiPriority w:val="99"/>
    <w:rPr>
      <w:rFonts w:ascii="Times New Roman" w:hAnsi="Times New Roman" w:eastAsia="宋体" w:cs="Times New Roman"/>
      <w:sz w:val="18"/>
      <w:szCs w:val="18"/>
    </w:rPr>
  </w:style>
  <w:style w:type="character" w:customStyle="1" w:styleId="25">
    <w:name w:val="页脚 Char"/>
    <w:basedOn w:val="17"/>
    <w:link w:val="9"/>
    <w:qFormat/>
    <w:uiPriority w:val="99"/>
    <w:rPr>
      <w:rFonts w:ascii="Times New Roman" w:hAnsi="Times New Roman" w:eastAsia="宋体" w:cs="Times New Roman"/>
      <w:sz w:val="18"/>
      <w:szCs w:val="18"/>
    </w:rPr>
  </w:style>
  <w:style w:type="character" w:customStyle="1" w:styleId="26">
    <w:name w:val="标题 1 Char"/>
    <w:basedOn w:val="17"/>
    <w:link w:val="4"/>
    <w:qFormat/>
    <w:uiPriority w:val="9"/>
    <w:rPr>
      <w:rFonts w:ascii="Calibri" w:hAnsi="Calibri" w:eastAsia="宋体" w:cs="Times New Roman"/>
      <w:b/>
      <w:bCs/>
      <w:kern w:val="44"/>
      <w:sz w:val="44"/>
      <w:szCs w:val="44"/>
    </w:rPr>
  </w:style>
  <w:style w:type="character" w:customStyle="1" w:styleId="27">
    <w:name w:val="标题 3 Char"/>
    <w:basedOn w:val="17"/>
    <w:link w:val="5"/>
    <w:qFormat/>
    <w:uiPriority w:val="99"/>
    <w:rPr>
      <w:rFonts w:ascii="Calibri" w:hAnsi="Calibri" w:eastAsia="宋体" w:cs="Times New Roman"/>
      <w:b/>
      <w:bCs/>
      <w:kern w:val="0"/>
      <w:sz w:val="32"/>
      <w:szCs w:val="32"/>
    </w:rPr>
  </w:style>
  <w:style w:type="character" w:customStyle="1" w:styleId="28">
    <w:name w:val="标题 2 Char"/>
    <w:basedOn w:val="17"/>
    <w:link w:val="2"/>
    <w:semiHidden/>
    <w:qFormat/>
    <w:uiPriority w:val="9"/>
    <w:rPr>
      <w:rFonts w:asciiTheme="majorHAnsi" w:hAnsiTheme="majorHAnsi" w:eastAsiaTheme="majorEastAsia" w:cstheme="majorBidi"/>
      <w:b/>
      <w:bCs/>
      <w:sz w:val="32"/>
      <w:szCs w:val="32"/>
    </w:rPr>
  </w:style>
  <w:style w:type="character" w:customStyle="1" w:styleId="29">
    <w:name w:val="标题 4 Char"/>
    <w:basedOn w:val="17"/>
    <w:link w:val="6"/>
    <w:semiHidden/>
    <w:qFormat/>
    <w:uiPriority w:val="9"/>
    <w:rPr>
      <w:rFonts w:asciiTheme="majorHAnsi" w:hAnsiTheme="majorHAnsi" w:eastAsiaTheme="majorEastAsia" w:cstheme="majorBidi"/>
      <w:b/>
      <w:bCs/>
      <w:sz w:val="28"/>
      <w:szCs w:val="28"/>
    </w:rPr>
  </w:style>
  <w:style w:type="character" w:customStyle="1" w:styleId="30">
    <w:name w:val="批注文字 Char"/>
    <w:basedOn w:val="17"/>
    <w:link w:val="7"/>
    <w:qFormat/>
    <w:uiPriority w:val="0"/>
    <w:rPr>
      <w:rFonts w:ascii="Calibri" w:hAnsi="Calibri" w:eastAsia="宋体" w:cs="Times New Roman"/>
    </w:rPr>
  </w:style>
  <w:style w:type="paragraph" w:customStyle="1" w:styleId="31">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 (2)"/>
    <w:basedOn w:val="1"/>
    <w:qFormat/>
    <w:uiPriority w:val="0"/>
    <w:pPr>
      <w:shd w:val="clear" w:color="auto" w:fill="FFFFFF"/>
      <w:spacing w:before="300" w:line="439" w:lineRule="exact"/>
      <w:jc w:val="distribute"/>
    </w:pPr>
    <w:rPr>
      <w:rFonts w:ascii="宋体" w:hAnsi="宋体"/>
      <w:kern w:val="0"/>
      <w:sz w:val="22"/>
      <w:szCs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5994B-1DCD-4FE7-9366-FFE67A0888A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815</Words>
  <Characters>4651</Characters>
  <Lines>38</Lines>
  <Paragraphs>10</Paragraphs>
  <TotalTime>4</TotalTime>
  <ScaleCrop>false</ScaleCrop>
  <LinksUpToDate>false</LinksUpToDate>
  <CharactersWithSpaces>5456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张</cp:lastModifiedBy>
  <dcterms:modified xsi:type="dcterms:W3CDTF">2021-06-07T11:38:20Z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B4831ED20F964451896ACAD56CF91635</vt:lpwstr>
  </property>
</Properties>
</file>