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val="0"/>
        <w:snapToGrid w:val="0"/>
        <w:spacing w:line="360" w:lineRule="exact"/>
        <w:jc w:val="center"/>
        <w:rPr>
          <w:rFonts w:hint="eastAsia" w:ascii="宋体" w:hAnsi="宋体" w:eastAsia="宋体" w:cs="宋体"/>
          <w:b w:val="0"/>
          <w:bCs w:val="0"/>
          <w:sz w:val="21"/>
          <w:szCs w:val="21"/>
          <w:highlight w:val="none"/>
        </w:rPr>
      </w:pPr>
      <w:r>
        <w:rPr>
          <w:rFonts w:hint="eastAsia" w:ascii="宋体" w:hAnsi="宋体" w:eastAsia="宋体" w:cs="宋体"/>
          <w:b w:val="0"/>
          <w:bCs w:val="0"/>
          <w:color w:val="auto"/>
          <w:sz w:val="21"/>
          <w:szCs w:val="21"/>
          <w:highlight w:val="none"/>
          <w:lang w:eastAsia="zh-CN"/>
        </w:rPr>
        <w:t>吉林省高速公路收费站增加入口治超工程施工</w:t>
      </w:r>
    </w:p>
    <w:p>
      <w:pPr>
        <w:pageBreakBefore w:val="0"/>
        <w:tabs>
          <w:tab w:val="left" w:pos="5010"/>
        </w:tabs>
        <w:kinsoku/>
        <w:wordWrap/>
        <w:overflowPunct/>
        <w:topLinePunct w:val="0"/>
        <w:autoSpaceDE w:val="0"/>
        <w:autoSpaceDN w:val="0"/>
        <w:bidi w:val="0"/>
        <w:adjustRightInd w:val="0"/>
        <w:snapToGrid w:val="0"/>
        <w:spacing w:line="360" w:lineRule="exact"/>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sz w:val="21"/>
          <w:szCs w:val="21"/>
          <w:highlight w:val="none"/>
          <w:lang w:eastAsia="zh-CN"/>
        </w:rPr>
        <w:t>招标文件</w:t>
      </w:r>
      <w:r>
        <w:rPr>
          <w:rFonts w:hint="eastAsia" w:ascii="宋体" w:hAnsi="宋体" w:eastAsia="宋体" w:cs="宋体"/>
          <w:b w:val="0"/>
          <w:bCs w:val="0"/>
          <w:color w:val="000000"/>
          <w:sz w:val="21"/>
          <w:szCs w:val="21"/>
          <w:highlight w:val="none"/>
        </w:rPr>
        <w:t>关键内容</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sz w:val="21"/>
          <w:szCs w:val="21"/>
          <w:highlight w:val="none"/>
        </w:rPr>
      </w:pPr>
      <w:bookmarkStart w:id="0" w:name="_Toc498955117"/>
      <w:bookmarkStart w:id="1" w:name="_Toc462671337"/>
      <w:r>
        <w:rPr>
          <w:rFonts w:hint="eastAsia" w:ascii="宋体" w:hAnsi="宋体" w:eastAsia="宋体" w:cs="宋体"/>
          <w:b w:val="0"/>
          <w:bCs w:val="0"/>
          <w:sz w:val="21"/>
          <w:szCs w:val="21"/>
          <w:highlight w:val="none"/>
        </w:rPr>
        <w:t>1.招标条件</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吉林省高速公路收费站增加入口治超工程，项目法人（招标人）为吉林省高速公路集团有限公司。建设资金来自法人自筹。项目已具备招标条件，现对该项目的施工进行公开招标。</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2.项目概况与招标范围</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2.1 建设地点：吉林省境内高速公路收费站。</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2.2 计划工期：自签订合同之日起至2021年6月30日前完成全部合同内容。</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2.3 标段划分及招标范围</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次招标划分为1个标段，即JD01标段。招标内容包括增设104套入口称重检测系统（窄条式动态汽车衡），71条MTC车道改造为ETC+MTC车道，7条土建车道改造为ETC+MTC车道，6条无人值守卡机车道改造为ETC+MTC车道，劝返方式引起的10条ETC车道进行迁移，调整原有收费系统软件的施工、采购、安装调试等设计图纸和工程量清单所列全部内容。</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3.投标人资格最低要求</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3.1 本次招标要求投标人须具备公路交通工程（公路机电系统工程分项）专业承包一级资质。并在人员、设备、资金等方面具备相应的能力。</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注：投标人应进入交通运输部“全国公路建设市场信用信息管理系统”（http://glxy.mot.gov.cn）中的施工企业名录，且投标人的名称和资质与该名录中的相应企业名称和资质完全一致（如投标人因名称和资质发生变更导致与“全国公路建设市场信用信息管理系统”中信息不符的，投标人应提供相应审批部门出具的相关信息变更证明材料）。</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3.2 业绩要求：近五年（2016年1月1日至投标截止时间前一天，以交工日期为准）至少完成过1项单项合同额4000万元以上的高速公路机电工程施工业绩，且工程质量合格。</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注：企业业绩应为国内新建或改扩建高速公路的机电工程施工业绩，且应是已列入交通运输主管部门“公路建设市场信用信息管理系统”并公开的已建总包业绩，养护工程（如原有机电系统工程系统的改造、更新、升级、提升、完善、维护等）及国外工程业绩均不予认可。</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3.3经审计的投标人的2020年度财务会计报告中流动资产大于流动负债（投标人未完成2020年度财务审计的，需提供2019年度的财务会计报告）。</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3.4本次招标不接受联合体投标。</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3.5在“信用中国”网站（http://www.creditchina.gov.cn/）中被列入失信被执行人名单的投标人，不得参加投标。</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资格审查办法</w:t>
      </w:r>
    </w:p>
    <w:p>
      <w:pPr>
        <w:pageBreakBefore w:val="0"/>
        <w:kinsoku/>
        <w:wordWrap/>
        <w:overflowPunct/>
        <w:topLinePunct w:val="0"/>
        <w:bidi w:val="0"/>
        <w:adjustRightInd w:val="0"/>
        <w:snapToGrid w:val="0"/>
        <w:spacing w:line="360" w:lineRule="exact"/>
        <w:ind w:firstLine="315" w:firstLineChars="15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本项目采用资格后审，资格审查条件如下：</w:t>
      </w:r>
    </w:p>
    <w:p>
      <w:pPr>
        <w:pStyle w:val="5"/>
        <w:spacing w:before="0" w:after="0" w:line="360" w:lineRule="auto"/>
        <w:rPr>
          <w:rFonts w:hint="eastAsia" w:ascii="宋体" w:hAnsi="宋体" w:eastAsia="宋体" w:cs="宋体"/>
          <w:b w:val="0"/>
          <w:color w:val="auto"/>
          <w:sz w:val="21"/>
          <w:szCs w:val="21"/>
          <w:highlight w:val="none"/>
        </w:rPr>
      </w:pPr>
      <w:bookmarkStart w:id="2" w:name="_Toc484950570"/>
      <w:r>
        <w:rPr>
          <w:rFonts w:hint="eastAsia" w:ascii="宋体" w:hAnsi="宋体" w:eastAsia="宋体" w:cs="宋体"/>
          <w:b w:val="0"/>
          <w:color w:val="auto"/>
          <w:sz w:val="21"/>
          <w:szCs w:val="21"/>
          <w:highlight w:val="none"/>
        </w:rPr>
        <w:t>附录1</w:t>
      </w:r>
      <w:r>
        <w:rPr>
          <w:rFonts w:hint="eastAsia" w:ascii="宋体" w:hAnsi="宋体" w:eastAsia="宋体" w:cs="宋体"/>
          <w:b w:val="0"/>
          <w:color w:val="auto"/>
          <w:sz w:val="21"/>
          <w:szCs w:val="21"/>
          <w:highlight w:val="none"/>
        </w:rPr>
        <w:t xml:space="preserve">  </w:t>
      </w:r>
      <w:r>
        <w:rPr>
          <w:rFonts w:hint="eastAsia" w:ascii="宋体" w:hAnsi="宋体" w:eastAsia="宋体" w:cs="宋体"/>
          <w:b w:val="0"/>
          <w:color w:val="auto"/>
          <w:sz w:val="21"/>
          <w:szCs w:val="21"/>
          <w:highlight w:val="none"/>
        </w:rPr>
        <w:t>资格审查条件（资质最低要求）</w:t>
      </w:r>
      <w:bookmarkEnd w:id="2"/>
    </w:p>
    <w:p>
      <w:pPr>
        <w:rPr>
          <w:rFonts w:hint="eastAsia" w:ascii="宋体" w:hAnsi="宋体" w:eastAsia="宋体" w:cs="宋体"/>
          <w:b/>
          <w:color w:val="auto"/>
          <w:sz w:val="21"/>
          <w:szCs w:val="21"/>
          <w:highlight w:val="none"/>
          <w:lang w:val="zh-CN"/>
        </w:rPr>
      </w:pPr>
    </w:p>
    <w:tbl>
      <w:tblPr>
        <w:tblStyle w:val="15"/>
        <w:tblW w:w="90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投标人须具</w:t>
            </w:r>
            <w:r>
              <w:rPr>
                <w:rFonts w:hint="eastAsia" w:ascii="宋体" w:hAnsi="宋体" w:eastAsia="宋体" w:cs="宋体"/>
                <w:color w:val="auto"/>
                <w:sz w:val="21"/>
                <w:szCs w:val="21"/>
                <w:highlight w:val="none"/>
              </w:rPr>
              <w:t>备公路交通工程（公路机电系统工程分项）专业承包一级资质</w:t>
            </w:r>
            <w:r>
              <w:rPr>
                <w:rFonts w:hint="eastAsia" w:ascii="宋体" w:hAnsi="宋体" w:eastAsia="宋体" w:cs="宋体"/>
                <w:color w:val="auto"/>
                <w:sz w:val="21"/>
                <w:szCs w:val="21"/>
                <w:highlight w:val="none"/>
                <w:lang w:eastAsia="zh-CN"/>
              </w:rPr>
              <w:t>；</w:t>
            </w:r>
          </w:p>
        </w:tc>
      </w:tr>
    </w:tbl>
    <w:p>
      <w:pPr>
        <w:spacing w:line="320" w:lineRule="exact"/>
        <w:rPr>
          <w:rFonts w:hint="eastAsia" w:ascii="宋体" w:hAnsi="宋体" w:eastAsia="宋体" w:cs="宋体"/>
          <w:color w:val="auto"/>
          <w:sz w:val="21"/>
          <w:szCs w:val="21"/>
          <w:highlight w:val="none"/>
        </w:rPr>
      </w:pPr>
    </w:p>
    <w:p>
      <w:pPr>
        <w:pStyle w:val="5"/>
        <w:spacing w:before="0" w:after="0" w:line="360" w:lineRule="auto"/>
        <w:rPr>
          <w:rFonts w:hint="eastAsia" w:ascii="宋体" w:hAnsi="宋体" w:eastAsia="宋体" w:cs="宋体"/>
          <w:b w:val="0"/>
          <w:color w:val="auto"/>
          <w:sz w:val="21"/>
          <w:szCs w:val="21"/>
          <w:highlight w:val="none"/>
        </w:rPr>
      </w:pPr>
      <w:bookmarkStart w:id="3" w:name="_Toc484950571"/>
      <w:r>
        <w:rPr>
          <w:rFonts w:hint="eastAsia" w:ascii="宋体" w:hAnsi="宋体" w:eastAsia="宋体" w:cs="宋体"/>
          <w:b w:val="0"/>
          <w:color w:val="auto"/>
          <w:sz w:val="21"/>
          <w:szCs w:val="21"/>
          <w:highlight w:val="none"/>
        </w:rPr>
        <w:t>附录2</w:t>
      </w:r>
      <w:r>
        <w:rPr>
          <w:rFonts w:hint="eastAsia" w:ascii="宋体" w:hAnsi="宋体" w:eastAsia="宋体" w:cs="宋体"/>
          <w:b w:val="0"/>
          <w:color w:val="auto"/>
          <w:sz w:val="21"/>
          <w:szCs w:val="21"/>
          <w:highlight w:val="none"/>
        </w:rPr>
        <w:t xml:space="preserve">  </w:t>
      </w:r>
      <w:r>
        <w:rPr>
          <w:rFonts w:hint="eastAsia" w:ascii="宋体" w:hAnsi="宋体" w:eastAsia="宋体" w:cs="宋体"/>
          <w:b w:val="0"/>
          <w:color w:val="auto"/>
          <w:sz w:val="21"/>
          <w:szCs w:val="21"/>
          <w:highlight w:val="none"/>
        </w:rPr>
        <w:t>资格审查条件（财务最低要求）</w:t>
      </w:r>
      <w:bookmarkEnd w:id="3"/>
    </w:p>
    <w:p>
      <w:pPr>
        <w:rPr>
          <w:rFonts w:hint="eastAsia" w:ascii="宋体" w:hAnsi="宋体" w:eastAsia="宋体" w:cs="宋体"/>
          <w:color w:val="auto"/>
          <w:sz w:val="21"/>
          <w:szCs w:val="21"/>
          <w:highlight w:val="none"/>
          <w:lang w:val="zh-CN"/>
        </w:rPr>
      </w:pPr>
    </w:p>
    <w:tbl>
      <w:tblPr>
        <w:tblStyle w:val="15"/>
        <w:tblW w:w="90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autoSpaceDE w:val="0"/>
              <w:autoSpaceDN w:val="0"/>
              <w:adjustRightIn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经审计的投标人的20</w:t>
            </w: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lang w:val="zh-CN"/>
              </w:rPr>
              <w:t>年度财务会计报告中流动资产大于流动负债（</w:t>
            </w:r>
            <w:r>
              <w:rPr>
                <w:rFonts w:hint="eastAsia" w:ascii="宋体" w:hAnsi="宋体" w:eastAsia="宋体" w:cs="宋体"/>
                <w:bCs/>
                <w:color w:val="auto"/>
                <w:sz w:val="21"/>
                <w:szCs w:val="21"/>
                <w:highlight w:val="none"/>
                <w:lang w:val="en-US" w:eastAsia="zh-CN"/>
              </w:rPr>
              <w:t>投标人未完成2020年度财务审计的，需提供2019年度的财务会计报告</w:t>
            </w:r>
            <w:r>
              <w:rPr>
                <w:rFonts w:hint="eastAsia" w:ascii="宋体" w:hAnsi="宋体" w:eastAsia="宋体" w:cs="宋体"/>
                <w:bCs/>
                <w:color w:val="auto"/>
                <w:sz w:val="21"/>
                <w:szCs w:val="21"/>
                <w:highlight w:val="none"/>
                <w:lang w:val="zh-CN"/>
              </w:rPr>
              <w:t>）。</w:t>
            </w:r>
          </w:p>
        </w:tc>
      </w:tr>
    </w:tbl>
    <w:p>
      <w:pPr>
        <w:spacing w:line="320" w:lineRule="exact"/>
        <w:rPr>
          <w:rFonts w:hint="eastAsia" w:ascii="宋体" w:hAnsi="宋体" w:eastAsia="宋体" w:cs="宋体"/>
          <w:color w:val="auto"/>
          <w:sz w:val="21"/>
          <w:szCs w:val="21"/>
          <w:highlight w:val="none"/>
        </w:rPr>
      </w:pPr>
    </w:p>
    <w:p>
      <w:pPr>
        <w:pStyle w:val="5"/>
        <w:spacing w:before="0" w:after="0" w:line="360" w:lineRule="auto"/>
        <w:rPr>
          <w:rFonts w:hint="eastAsia" w:ascii="宋体" w:hAnsi="宋体" w:eastAsia="宋体" w:cs="宋体"/>
          <w:b w:val="0"/>
          <w:color w:val="auto"/>
          <w:sz w:val="21"/>
          <w:szCs w:val="21"/>
          <w:highlight w:val="none"/>
        </w:rPr>
      </w:pPr>
      <w:bookmarkStart w:id="4" w:name="_Toc484950572"/>
      <w:r>
        <w:rPr>
          <w:rFonts w:hint="eastAsia" w:ascii="宋体" w:hAnsi="宋体" w:eastAsia="宋体" w:cs="宋体"/>
          <w:b w:val="0"/>
          <w:color w:val="auto"/>
          <w:sz w:val="21"/>
          <w:szCs w:val="21"/>
          <w:highlight w:val="none"/>
        </w:rPr>
        <w:t>附录3</w:t>
      </w:r>
      <w:r>
        <w:rPr>
          <w:rFonts w:hint="eastAsia" w:ascii="宋体" w:hAnsi="宋体" w:eastAsia="宋体" w:cs="宋体"/>
          <w:b w:val="0"/>
          <w:color w:val="auto"/>
          <w:sz w:val="21"/>
          <w:szCs w:val="21"/>
          <w:highlight w:val="none"/>
        </w:rPr>
        <w:t xml:space="preserve">  </w:t>
      </w:r>
      <w:r>
        <w:rPr>
          <w:rFonts w:hint="eastAsia" w:ascii="宋体" w:hAnsi="宋体" w:eastAsia="宋体" w:cs="宋体"/>
          <w:b w:val="0"/>
          <w:color w:val="auto"/>
          <w:sz w:val="21"/>
          <w:szCs w:val="21"/>
          <w:highlight w:val="none"/>
        </w:rPr>
        <w:t>资格审查条件（业绩最低要求）</w:t>
      </w:r>
      <w:bookmarkEnd w:id="4"/>
    </w:p>
    <w:p>
      <w:pPr>
        <w:rPr>
          <w:rFonts w:hint="eastAsia" w:ascii="宋体" w:hAnsi="宋体" w:eastAsia="宋体" w:cs="宋体"/>
          <w:color w:val="auto"/>
          <w:sz w:val="21"/>
          <w:szCs w:val="21"/>
          <w:highlight w:val="none"/>
          <w:lang w:val="zh-CN"/>
        </w:rPr>
      </w:pPr>
    </w:p>
    <w:tbl>
      <w:tblPr>
        <w:tblStyle w:val="15"/>
        <w:tblW w:w="90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autoSpaceDE w:val="0"/>
              <w:autoSpaceDN w:val="0"/>
              <w:adjustRightIn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近五年（2016年1月1日至投标截止时间前一天，以交工日期为准）</w:t>
            </w:r>
            <w:r>
              <w:rPr>
                <w:rFonts w:hint="eastAsia" w:ascii="宋体" w:hAnsi="宋体" w:eastAsia="宋体" w:cs="宋体"/>
                <w:color w:val="auto"/>
                <w:sz w:val="21"/>
                <w:szCs w:val="21"/>
                <w:highlight w:val="none"/>
              </w:rPr>
              <w:t>至少完成过1项单项合同额4000万元以上</w:t>
            </w:r>
            <w:r>
              <w:rPr>
                <w:rFonts w:hint="eastAsia" w:ascii="宋体" w:hAnsi="宋体" w:eastAsia="宋体" w:cs="宋体"/>
                <w:color w:val="auto"/>
                <w:sz w:val="21"/>
                <w:szCs w:val="21"/>
                <w:highlight w:val="none"/>
                <w:lang w:val="en-US" w:eastAsia="zh-CN"/>
              </w:rPr>
              <w:t>的高速公路机电工程施工业绩，且工程质量合格。</w:t>
            </w:r>
          </w:p>
        </w:tc>
      </w:tr>
    </w:tbl>
    <w:p>
      <w:pPr>
        <w:pStyle w:val="5"/>
        <w:spacing w:before="0" w:after="0" w:line="360" w:lineRule="auto"/>
        <w:rPr>
          <w:rFonts w:hint="eastAsia" w:ascii="宋体" w:hAnsi="宋体" w:eastAsia="宋体" w:cs="宋体"/>
          <w:b w:val="0"/>
          <w:bCs w:val="0"/>
          <w:color w:val="auto"/>
          <w:kern w:val="2"/>
          <w:sz w:val="21"/>
          <w:szCs w:val="21"/>
          <w:highlight w:val="none"/>
          <w:lang w:val="en-US" w:eastAsia="zh-CN" w:bidi="ar-SA"/>
        </w:rPr>
      </w:pPr>
      <w:bookmarkStart w:id="5" w:name="_Toc484950573"/>
      <w:r>
        <w:rPr>
          <w:rFonts w:hint="eastAsia" w:ascii="宋体" w:hAnsi="宋体" w:eastAsia="宋体" w:cs="宋体"/>
          <w:b w:val="0"/>
          <w:bCs w:val="0"/>
          <w:color w:val="auto"/>
          <w:kern w:val="2"/>
          <w:sz w:val="21"/>
          <w:szCs w:val="21"/>
          <w:highlight w:val="none"/>
          <w:lang w:val="en-US" w:eastAsia="zh-CN" w:bidi="ar-SA"/>
        </w:rPr>
        <w:t>说明：</w:t>
      </w:r>
    </w:p>
    <w:p>
      <w:pPr>
        <w:pStyle w:val="5"/>
        <w:spacing w:before="0" w:after="0"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（1）表中涉及到的各项工程术语均执行《公路工程技术标准》（JTG B01-2014）的标准；</w:t>
      </w:r>
    </w:p>
    <w:p>
      <w:pPr>
        <w:pStyle w:val="5"/>
        <w:spacing w:before="0" w:after="0"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注：企业业绩应为国内新建或改扩建高速公路的机电工程施工业绩，且应是已列入交通运输主管部门“公路建设市场信用信息管理系统”并公开的已建总包业绩，养护工程（如原有机电系统工程系统的改造、更新、升级、提升、完善、维护等）及国外工程业绩均不予认可。</w:t>
      </w:r>
    </w:p>
    <w:p>
      <w:pPr>
        <w:pStyle w:val="5"/>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附录4</w:t>
      </w:r>
      <w:r>
        <w:rPr>
          <w:rFonts w:hint="eastAsia" w:ascii="宋体" w:hAnsi="宋体" w:eastAsia="宋体" w:cs="宋体"/>
          <w:b w:val="0"/>
          <w:color w:val="auto"/>
          <w:sz w:val="21"/>
          <w:szCs w:val="21"/>
          <w:highlight w:val="none"/>
        </w:rPr>
        <w:t xml:space="preserve">  </w:t>
      </w:r>
      <w:r>
        <w:rPr>
          <w:rFonts w:hint="eastAsia" w:ascii="宋体" w:hAnsi="宋体" w:eastAsia="宋体" w:cs="宋体"/>
          <w:b w:val="0"/>
          <w:color w:val="auto"/>
          <w:sz w:val="21"/>
          <w:szCs w:val="21"/>
          <w:highlight w:val="none"/>
        </w:rPr>
        <w:t>资格审查条件（信誉最低要求）</w:t>
      </w:r>
      <w:bookmarkEnd w:id="5"/>
    </w:p>
    <w:p>
      <w:pPr>
        <w:rPr>
          <w:rFonts w:hint="eastAsia" w:ascii="宋体" w:hAnsi="宋体" w:eastAsia="宋体" w:cs="宋体"/>
          <w:color w:val="auto"/>
          <w:sz w:val="21"/>
          <w:szCs w:val="21"/>
          <w:highlight w:val="none"/>
          <w:lang w:val="zh-CN"/>
        </w:rPr>
      </w:pPr>
    </w:p>
    <w:tbl>
      <w:tblPr>
        <w:tblStyle w:val="15"/>
        <w:tblW w:w="904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9041" w:type="dxa"/>
            <w:vAlign w:val="center"/>
          </w:tcPr>
          <w:p>
            <w:pPr>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041" w:type="dxa"/>
            <w:vAlign w:val="center"/>
          </w:tcPr>
          <w:p>
            <w:pPr>
              <w:autoSpaceDE w:val="0"/>
              <w:autoSpaceDN w:val="0"/>
              <w:adjustRightIn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投标人不得存在以下情形：</w:t>
            </w:r>
          </w:p>
          <w:p>
            <w:pPr>
              <w:autoSpaceDE w:val="0"/>
              <w:autoSpaceDN w:val="0"/>
              <w:adjustRightIn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在201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年1月1日之后，有被本项目法人以弄虚作假行为取消中标候选人资格的或因无效合同而终止施工的，或有因农民工群体上访行为被吉林省交通运输主管部门通报的，或被吉林省交通运输主管部门或本项目法人以“投标人相互串通投标行为、弄虚作假行为”通报的。</w:t>
            </w:r>
          </w:p>
        </w:tc>
      </w:tr>
    </w:tbl>
    <w:p>
      <w:pPr>
        <w:pStyle w:val="5"/>
        <w:spacing w:before="0" w:after="0" w:line="360" w:lineRule="auto"/>
        <w:rPr>
          <w:rFonts w:hint="eastAsia" w:ascii="宋体" w:hAnsi="宋体" w:eastAsia="宋体" w:cs="宋体"/>
          <w:b w:val="0"/>
          <w:color w:val="auto"/>
          <w:sz w:val="21"/>
          <w:szCs w:val="21"/>
          <w:highlight w:val="none"/>
        </w:rPr>
      </w:pPr>
      <w:bookmarkStart w:id="7" w:name="_GoBack"/>
      <w:bookmarkEnd w:id="7"/>
      <w:r>
        <w:rPr>
          <w:rFonts w:hint="eastAsia" w:ascii="宋体" w:hAnsi="宋体" w:eastAsia="宋体" w:cs="宋体"/>
          <w:b w:val="0"/>
          <w:color w:val="auto"/>
          <w:kern w:val="44"/>
          <w:sz w:val="21"/>
          <w:szCs w:val="21"/>
          <w:highlight w:val="none"/>
        </w:rPr>
        <w:br w:type="page"/>
      </w:r>
      <w:bookmarkStart w:id="6" w:name="_Toc484950575"/>
      <w:r>
        <w:rPr>
          <w:rFonts w:hint="eastAsia" w:ascii="宋体" w:hAnsi="宋体" w:eastAsia="宋体" w:cs="宋体"/>
          <w:b w:val="0"/>
          <w:color w:val="auto"/>
          <w:sz w:val="21"/>
          <w:szCs w:val="21"/>
          <w:highlight w:val="none"/>
        </w:rPr>
        <w:t>附录5</w:t>
      </w:r>
      <w:r>
        <w:rPr>
          <w:rFonts w:hint="eastAsia" w:ascii="宋体" w:hAnsi="宋体" w:eastAsia="宋体" w:cs="宋体"/>
          <w:b w:val="0"/>
          <w:color w:val="auto"/>
          <w:sz w:val="21"/>
          <w:szCs w:val="21"/>
          <w:highlight w:val="none"/>
        </w:rPr>
        <w:t xml:space="preserve">  </w:t>
      </w:r>
      <w:r>
        <w:rPr>
          <w:rFonts w:hint="eastAsia" w:ascii="宋体" w:hAnsi="宋体" w:eastAsia="宋体" w:cs="宋体"/>
          <w:b w:val="0"/>
          <w:color w:val="auto"/>
          <w:sz w:val="21"/>
          <w:szCs w:val="21"/>
          <w:highlight w:val="none"/>
        </w:rPr>
        <w:t>资格审查条件（项目经理和项目总工最低要求）</w:t>
      </w:r>
      <w:bookmarkEnd w:id="6"/>
    </w:p>
    <w:p>
      <w:pPr>
        <w:rPr>
          <w:rFonts w:hint="eastAsia" w:ascii="宋体" w:hAnsi="宋体" w:eastAsia="宋体" w:cs="宋体"/>
          <w:color w:val="auto"/>
          <w:sz w:val="21"/>
          <w:szCs w:val="21"/>
          <w:highlight w:val="none"/>
          <w:lang w:val="zh-CN"/>
        </w:rPr>
      </w:pPr>
    </w:p>
    <w:tbl>
      <w:tblPr>
        <w:tblStyle w:val="15"/>
        <w:tblW w:w="90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6"/>
        <w:gridCol w:w="709"/>
        <w:gridCol w:w="5244"/>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36" w:type="dxa"/>
            <w:vAlign w:val="center"/>
          </w:tcPr>
          <w:p>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p>
        </w:tc>
        <w:tc>
          <w:tcPr>
            <w:tcW w:w="709" w:type="dxa"/>
            <w:vAlign w:val="center"/>
          </w:tcPr>
          <w:p>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5244" w:type="dxa"/>
            <w:tcBorders>
              <w:right w:val="single" w:color="auto" w:sz="4" w:space="0"/>
            </w:tcBorders>
            <w:vAlign w:val="center"/>
          </w:tcPr>
          <w:p>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资格要求</w:t>
            </w:r>
          </w:p>
        </w:tc>
        <w:tc>
          <w:tcPr>
            <w:tcW w:w="2268" w:type="dxa"/>
            <w:tcBorders>
              <w:left w:val="single" w:color="auto" w:sz="4" w:space="0"/>
            </w:tcBorders>
            <w:vAlign w:val="center"/>
          </w:tcPr>
          <w:p>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0" w:hRule="atLeast"/>
        </w:trPr>
        <w:tc>
          <w:tcPr>
            <w:tcW w:w="836" w:type="dxa"/>
            <w:vAlign w:val="center"/>
          </w:tcPr>
          <w:p>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p>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经理</w:t>
            </w:r>
          </w:p>
        </w:tc>
        <w:tc>
          <w:tcPr>
            <w:tcW w:w="709" w:type="dxa"/>
            <w:vAlign w:val="center"/>
          </w:tcPr>
          <w:p>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w:t>
            </w:r>
          </w:p>
        </w:tc>
        <w:tc>
          <w:tcPr>
            <w:tcW w:w="5244" w:type="dxa"/>
            <w:tcBorders>
              <w:right w:val="single" w:color="auto" w:sz="4" w:space="0"/>
            </w:tcBorders>
            <w:vAlign w:val="center"/>
          </w:tcPr>
          <w:p>
            <w:pPr>
              <w:numPr>
                <w:ilvl w:val="0"/>
                <w:numId w:val="1"/>
              </w:numPr>
              <w:adjustRightInd w:val="0"/>
              <w:snapToGrid w:val="0"/>
              <w:spacing w:line="400" w:lineRule="exact"/>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投标人自有人员</w:t>
            </w:r>
            <w:r>
              <w:rPr>
                <w:rStyle w:val="19"/>
                <w:rFonts w:hint="eastAsia" w:ascii="宋体" w:hAnsi="宋体" w:eastAsia="宋体" w:cs="宋体"/>
                <w:color w:val="auto"/>
                <w:sz w:val="21"/>
                <w:szCs w:val="21"/>
                <w:highlight w:val="none"/>
              </w:rPr>
              <w:footnoteReference w:id="0"/>
            </w:r>
            <w:r>
              <w:rPr>
                <w:rFonts w:hint="eastAsia" w:ascii="宋体" w:hAnsi="宋体" w:eastAsia="宋体" w:cs="宋体"/>
                <w:color w:val="auto"/>
                <w:sz w:val="21"/>
                <w:szCs w:val="21"/>
                <w:highlight w:val="none"/>
              </w:rPr>
              <w:t>；</w:t>
            </w:r>
          </w:p>
          <w:p>
            <w:pPr>
              <w:numPr>
                <w:ilvl w:val="0"/>
                <w:numId w:val="1"/>
              </w:numPr>
              <w:adjustRightInd w:val="0"/>
              <w:snapToGrid w:val="0"/>
              <w:spacing w:line="400" w:lineRule="exact"/>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持有建设行政主管部门颁发的“</w:t>
            </w:r>
            <w:r>
              <w:rPr>
                <w:rFonts w:hint="eastAsia" w:ascii="宋体" w:hAnsi="宋体" w:eastAsia="宋体" w:cs="宋体"/>
                <w:color w:val="auto"/>
                <w:sz w:val="21"/>
                <w:szCs w:val="21"/>
                <w:highlight w:val="none"/>
              </w:rPr>
              <w:t>公路工程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或“机电工程”</w:t>
            </w:r>
            <w:r>
              <w:rPr>
                <w:rFonts w:hint="eastAsia" w:ascii="宋体" w:hAnsi="宋体" w:eastAsia="宋体" w:cs="宋体"/>
                <w:color w:val="auto"/>
                <w:sz w:val="21"/>
                <w:szCs w:val="21"/>
                <w:highlight w:val="none"/>
              </w:rPr>
              <w:t>专业《</w:t>
            </w: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rPr>
              <w:t>级建造师注册证书》</w:t>
            </w:r>
            <w:r>
              <w:rPr>
                <w:rFonts w:hint="eastAsia" w:ascii="宋体" w:hAnsi="宋体" w:eastAsia="宋体" w:cs="宋体"/>
                <w:bCs/>
                <w:color w:val="auto"/>
                <w:sz w:val="21"/>
                <w:szCs w:val="21"/>
                <w:highlight w:val="none"/>
              </w:rPr>
              <w:t>，且现注册单位</w:t>
            </w:r>
            <w:r>
              <w:rPr>
                <w:rFonts w:hint="eastAsia" w:ascii="宋体" w:hAnsi="宋体" w:eastAsia="宋体" w:cs="宋体"/>
                <w:color w:val="auto"/>
                <w:sz w:val="21"/>
                <w:szCs w:val="21"/>
                <w:highlight w:val="none"/>
              </w:rPr>
              <w:t>为投标人；</w:t>
            </w:r>
          </w:p>
          <w:p>
            <w:pPr>
              <w:numPr>
                <w:ilvl w:val="0"/>
                <w:numId w:val="1"/>
              </w:numPr>
              <w:adjustRightInd w:val="0"/>
              <w:snapToGrid w:val="0"/>
              <w:spacing w:line="400" w:lineRule="exact"/>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rPr>
              <w:t>公路工程或机电工程相关专业中</w:t>
            </w:r>
            <w:r>
              <w:rPr>
                <w:rFonts w:hint="eastAsia" w:ascii="宋体" w:hAnsi="宋体" w:eastAsia="宋体" w:cs="宋体"/>
                <w:color w:val="auto"/>
                <w:sz w:val="21"/>
                <w:szCs w:val="21"/>
                <w:highlight w:val="none"/>
              </w:rPr>
              <w:t>级技术职称</w:t>
            </w:r>
            <w:r>
              <w:rPr>
                <w:rFonts w:hint="eastAsia" w:ascii="宋体" w:hAnsi="宋体" w:eastAsia="宋体" w:cs="宋体"/>
                <w:color w:val="auto"/>
                <w:sz w:val="21"/>
                <w:szCs w:val="21"/>
                <w:highlight w:val="none"/>
              </w:rPr>
              <w:t>；</w:t>
            </w:r>
          </w:p>
          <w:p>
            <w:pPr>
              <w:numPr>
                <w:ilvl w:val="0"/>
                <w:numId w:val="1"/>
              </w:numPr>
              <w:adjustRightInd w:val="0"/>
              <w:snapToGrid w:val="0"/>
              <w:spacing w:line="400" w:lineRule="exact"/>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rPr>
              <w:t>交通运输主管部门</w:t>
            </w:r>
            <w:r>
              <w:rPr>
                <w:rFonts w:hint="eastAsia" w:ascii="宋体" w:hAnsi="宋体" w:eastAsia="宋体" w:cs="宋体"/>
                <w:color w:val="auto"/>
                <w:sz w:val="21"/>
                <w:szCs w:val="21"/>
                <w:highlight w:val="none"/>
              </w:rPr>
              <w:t>颁发的有效的B类安全生产考核合格证书</w:t>
            </w:r>
            <w:r>
              <w:rPr>
                <w:rFonts w:hint="eastAsia" w:ascii="宋体" w:hAnsi="宋体" w:eastAsia="宋体" w:cs="宋体"/>
                <w:color w:val="auto"/>
                <w:sz w:val="21"/>
                <w:szCs w:val="21"/>
                <w:highlight w:val="none"/>
                <w:lang w:eastAsia="zh-CN"/>
              </w:rPr>
              <w:t>。</w:t>
            </w:r>
          </w:p>
        </w:tc>
        <w:tc>
          <w:tcPr>
            <w:tcW w:w="2268" w:type="dxa"/>
            <w:vMerge w:val="restart"/>
            <w:tcBorders>
              <w:left w:val="single" w:color="auto" w:sz="4" w:space="0"/>
            </w:tcBorders>
            <w:vAlign w:val="center"/>
          </w:tcPr>
          <w:p>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无在岗项目（指目前未在其他项目上任职，或虽在其他项目任职但本项目中标后能够从该项目撤离）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36" w:type="dxa"/>
            <w:vAlign w:val="center"/>
          </w:tcPr>
          <w:p>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p>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总工</w:t>
            </w:r>
          </w:p>
        </w:tc>
        <w:tc>
          <w:tcPr>
            <w:tcW w:w="709" w:type="dxa"/>
            <w:vAlign w:val="center"/>
          </w:tcPr>
          <w:p>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w:t>
            </w:r>
          </w:p>
        </w:tc>
        <w:tc>
          <w:tcPr>
            <w:tcW w:w="5244" w:type="dxa"/>
            <w:tcBorders>
              <w:right w:val="single" w:color="auto" w:sz="4" w:space="0"/>
            </w:tcBorders>
            <w:vAlign w:val="center"/>
          </w:tcPr>
          <w:p>
            <w:pPr>
              <w:numPr>
                <w:ilvl w:val="0"/>
                <w:numId w:val="2"/>
              </w:numPr>
              <w:adjustRightInd w:val="0"/>
              <w:snapToGrid w:val="0"/>
              <w:spacing w:line="400" w:lineRule="exact"/>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投标人自有人员</w:t>
            </w:r>
            <w:r>
              <w:rPr>
                <w:rFonts w:hint="eastAsia" w:ascii="宋体" w:hAnsi="宋体" w:eastAsia="宋体" w:cs="宋体"/>
                <w:color w:val="auto"/>
                <w:sz w:val="21"/>
                <w:szCs w:val="21"/>
                <w:highlight w:val="none"/>
              </w:rPr>
              <w:t>；</w:t>
            </w:r>
          </w:p>
          <w:p>
            <w:pPr>
              <w:numPr>
                <w:ilvl w:val="0"/>
                <w:numId w:val="2"/>
              </w:numPr>
              <w:adjustRightInd w:val="0"/>
              <w:snapToGrid w:val="0"/>
              <w:spacing w:line="400" w:lineRule="exact"/>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rPr>
              <w:t>公路工程或机电工程相关专业</w:t>
            </w:r>
            <w:r>
              <w:rPr>
                <w:rFonts w:hint="eastAsia" w:ascii="宋体" w:hAnsi="宋体" w:eastAsia="宋体" w:cs="宋体"/>
                <w:color w:val="auto"/>
                <w:sz w:val="21"/>
                <w:szCs w:val="21"/>
                <w:highlight w:val="none"/>
              </w:rPr>
              <w:t>高级技术职称</w:t>
            </w:r>
            <w:r>
              <w:rPr>
                <w:rFonts w:hint="eastAsia" w:ascii="宋体" w:hAnsi="宋体" w:eastAsia="宋体" w:cs="宋体"/>
                <w:color w:val="auto"/>
                <w:sz w:val="21"/>
                <w:szCs w:val="21"/>
                <w:highlight w:val="none"/>
              </w:rPr>
              <w:t>；</w:t>
            </w:r>
          </w:p>
          <w:p>
            <w:pPr>
              <w:numPr>
                <w:ilvl w:val="0"/>
                <w:numId w:val="2"/>
              </w:numPr>
              <w:adjustRightInd w:val="0"/>
              <w:snapToGrid w:val="0"/>
              <w:spacing w:line="400" w:lineRule="exact"/>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rPr>
              <w:t>交通运输主管部门</w:t>
            </w:r>
            <w:r>
              <w:rPr>
                <w:rFonts w:hint="eastAsia" w:ascii="宋体" w:hAnsi="宋体" w:eastAsia="宋体" w:cs="宋体"/>
                <w:color w:val="auto"/>
                <w:sz w:val="21"/>
                <w:szCs w:val="21"/>
                <w:highlight w:val="none"/>
              </w:rPr>
              <w:t>颁发的有效的B类安全生产考核合格证书</w:t>
            </w:r>
            <w:r>
              <w:rPr>
                <w:rFonts w:hint="eastAsia" w:ascii="宋体" w:hAnsi="宋体" w:eastAsia="宋体" w:cs="宋体"/>
                <w:color w:val="auto"/>
                <w:sz w:val="21"/>
                <w:szCs w:val="21"/>
                <w:highlight w:val="none"/>
                <w:lang w:eastAsia="zh-CN"/>
              </w:rPr>
              <w:t>。</w:t>
            </w:r>
          </w:p>
        </w:tc>
        <w:tc>
          <w:tcPr>
            <w:tcW w:w="2268" w:type="dxa"/>
            <w:vMerge w:val="continue"/>
            <w:tcBorders>
              <w:left w:val="single" w:color="auto" w:sz="4" w:space="0"/>
            </w:tcBorders>
            <w:vAlign w:val="center"/>
          </w:tcPr>
          <w:p>
            <w:pPr>
              <w:numPr>
                <w:ilvl w:val="0"/>
                <w:numId w:val="2"/>
              </w:numPr>
              <w:adjustRightInd w:val="0"/>
              <w:snapToGrid w:val="0"/>
              <w:spacing w:line="400" w:lineRule="exact"/>
              <w:rPr>
                <w:rFonts w:hint="eastAsia" w:ascii="宋体" w:hAnsi="宋体" w:eastAsia="宋体" w:cs="宋体"/>
                <w:color w:val="auto"/>
                <w:sz w:val="21"/>
                <w:szCs w:val="21"/>
                <w:highlight w:val="none"/>
              </w:rPr>
            </w:pPr>
          </w:p>
        </w:tc>
      </w:tr>
    </w:tbl>
    <w:p>
      <w:pPr>
        <w:snapToGrid w:val="0"/>
        <w:spacing w:line="320" w:lineRule="exact"/>
        <w:ind w:firstLine="525" w:firstLineChars="250"/>
        <w:rPr>
          <w:rFonts w:hint="eastAsia" w:ascii="宋体" w:hAnsi="宋体" w:eastAsia="宋体" w:cs="宋体"/>
          <w:color w:val="auto"/>
          <w:sz w:val="21"/>
          <w:szCs w:val="21"/>
          <w:highlight w:val="none"/>
        </w:rPr>
      </w:pPr>
    </w:p>
    <w:p>
      <w:pPr>
        <w:pageBreakBefore w:val="0"/>
        <w:kinsoku/>
        <w:wordWrap/>
        <w:overflowPunct/>
        <w:topLinePunct w:val="0"/>
        <w:bidi w:val="0"/>
        <w:adjustRightInd w:val="0"/>
        <w:snapToGrid w:val="0"/>
        <w:spacing w:line="360" w:lineRule="exac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评标办法</w:t>
      </w:r>
    </w:p>
    <w:p>
      <w:pPr>
        <w:rPr>
          <w:rFonts w:hint="eastAsia" w:ascii="宋体" w:hAnsi="宋体" w:eastAsia="宋体" w:cs="宋体"/>
          <w:color w:val="auto"/>
          <w:sz w:val="21"/>
          <w:szCs w:val="21"/>
          <w:highlight w:val="none"/>
          <w:lang w:val="zh-CN"/>
        </w:rPr>
      </w:pPr>
    </w:p>
    <w:tbl>
      <w:tblPr>
        <w:tblStyle w:val="15"/>
        <w:tblW w:w="9057"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999"/>
        <w:gridCol w:w="1555"/>
        <w:gridCol w:w="650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4" w:hRule="atLeast"/>
          <w:tblHeader/>
        </w:trPr>
        <w:tc>
          <w:tcPr>
            <w:tcW w:w="999" w:type="dxa"/>
            <w:tcBorders>
              <w:top w:val="single" w:color="000000" w:sz="12" w:space="0"/>
              <w:left w:val="single" w:color="000000" w:sz="12" w:space="0"/>
              <w:bottom w:val="single" w:color="000000" w:sz="6" w:space="0"/>
              <w:right w:val="single" w:color="000000" w:sz="6" w:space="0"/>
            </w:tcBorders>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555" w:type="dxa"/>
            <w:tcBorders>
              <w:top w:val="single" w:color="000000" w:sz="12" w:space="0"/>
              <w:left w:val="single" w:color="000000" w:sz="6" w:space="0"/>
              <w:bottom w:val="single" w:color="000000" w:sz="6" w:space="0"/>
              <w:right w:val="single" w:color="auto" w:sz="4" w:space="0"/>
            </w:tcBorders>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w:t>
            </w:r>
          </w:p>
        </w:tc>
        <w:tc>
          <w:tcPr>
            <w:tcW w:w="6503" w:type="dxa"/>
            <w:tcBorders>
              <w:top w:val="single" w:color="000000" w:sz="12" w:space="0"/>
              <w:left w:val="single" w:color="auto" w:sz="4" w:space="0"/>
              <w:bottom w:val="single" w:color="000000" w:sz="6" w:space="0"/>
              <w:right w:val="single" w:color="000000" w:sz="12" w:space="0"/>
            </w:tcBorders>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评审因素与评审标准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34" w:hRule="atLeast"/>
        </w:trPr>
        <w:tc>
          <w:tcPr>
            <w:tcW w:w="999" w:type="dxa"/>
            <w:tcBorders>
              <w:top w:val="single" w:color="000000" w:sz="6" w:space="0"/>
              <w:left w:val="single" w:color="000000" w:sz="12"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55" w:type="dxa"/>
            <w:tcBorders>
              <w:top w:val="single" w:color="000000" w:sz="6" w:space="0"/>
              <w:left w:val="single" w:color="000000" w:sz="6"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6503" w:type="dxa"/>
            <w:tcBorders>
              <w:top w:val="single" w:color="000000" w:sz="6" w:space="0"/>
              <w:left w:val="single" w:color="000000" w:sz="6" w:space="0"/>
              <w:bottom w:val="single" w:color="auto" w:sz="4" w:space="0"/>
              <w:right w:val="single" w:color="000000" w:sz="12" w:space="0"/>
            </w:tcBorders>
            <w:vAlign w:val="center"/>
          </w:tcPr>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综合评分相等时，评标委员会依次按照以下优先顺序</w:t>
            </w:r>
            <w:r>
              <w:rPr>
                <w:rFonts w:hint="eastAsia" w:ascii="宋体" w:hAnsi="宋体" w:eastAsia="宋体" w:cs="宋体"/>
                <w:color w:val="auto"/>
                <w:sz w:val="21"/>
                <w:szCs w:val="21"/>
                <w:highlight w:val="none"/>
              </w:rPr>
              <w:t>推荐中标候选人</w:t>
            </w:r>
            <w:r>
              <w:rPr>
                <w:rFonts w:hint="eastAsia" w:ascii="宋体" w:hAnsi="宋体" w:eastAsia="宋体" w:cs="宋体"/>
                <w:color w:val="auto"/>
                <w:sz w:val="21"/>
                <w:szCs w:val="21"/>
                <w:highlight w:val="none"/>
              </w:rPr>
              <w:t>：</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w:t>
            </w:r>
            <w:r>
              <w:rPr>
                <w:rFonts w:hint="eastAsia" w:ascii="宋体" w:hAnsi="宋体" w:eastAsia="宋体" w:cs="宋体"/>
                <w:color w:val="auto"/>
                <w:sz w:val="21"/>
                <w:szCs w:val="21"/>
                <w:highlight w:val="none"/>
              </w:rPr>
              <w:t>标价</w:t>
            </w:r>
            <w:r>
              <w:rPr>
                <w:rFonts w:hint="eastAsia" w:ascii="宋体" w:hAnsi="宋体" w:eastAsia="宋体" w:cs="宋体"/>
                <w:color w:val="auto"/>
                <w:sz w:val="21"/>
                <w:szCs w:val="21"/>
                <w:highlight w:val="none"/>
              </w:rPr>
              <w:t>低</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rPr>
              <w:t>优先；</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）履约信誉得分高的投标人优先；</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（3）施工组织设计得分高的投标人优先；</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（4）企业业绩得分高的投标人优先。</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若以上均相等，则由评标委员会表决确定其排序先后。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34"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2.1.3</w:t>
            </w:r>
          </w:p>
        </w:tc>
        <w:tc>
          <w:tcPr>
            <w:tcW w:w="155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响应性评审</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6503" w:type="dxa"/>
            <w:tcBorders>
              <w:top w:val="single" w:color="000000" w:sz="6" w:space="0"/>
              <w:left w:val="single" w:color="000000" w:sz="6" w:space="0"/>
              <w:bottom w:val="single" w:color="000000" w:sz="6" w:space="0"/>
              <w:right w:val="single" w:color="000000" w:sz="12" w:space="0"/>
            </w:tcBorders>
            <w:vAlign w:val="center"/>
          </w:tcPr>
          <w:p>
            <w:pPr>
              <w:keepLines/>
              <w:adjustRightInd w:val="0"/>
              <w:snapToGrid w:val="0"/>
              <w:spacing w:line="360" w:lineRule="auto"/>
              <w:ind w:left="210" w:leftChars="1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第一个信封（商务及技术文件）评审标准：</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（1）投标文件按照招标文件规定的格式、内容填写，字迹清晰可辨，且提供了满足招标文件要求的证明材料：</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rPr>
              <w:t>投标函按招标文件规定填报了项目名称、标段号、补遗书编号（如有）、工期、工程质量要求及安全目标；</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b.投标函附录的所有数据均符合招标文件规定；</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c.投标文件组成齐全完整，内容均按规定填写。</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（2）投标文件上法定代表人或其授权代理人的签字、投标人的单位章盖章齐全，符合招标文件规定。</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（3）投标人按照招标文件的规定提供了投标保证金：</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a.投标保证金金额符合招标文件规定的金额，且投标保证金有效期不少于投标有效期；</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rPr>
              <w:t>若投标保证金采用现金或支票形式提交，投标人应在递交投标</w:t>
            </w:r>
            <w:r>
              <w:rPr>
                <w:rFonts w:hint="eastAsia" w:ascii="宋体" w:hAnsi="宋体" w:eastAsia="宋体" w:cs="宋体"/>
                <w:color w:val="auto"/>
                <w:sz w:val="21"/>
                <w:szCs w:val="21"/>
                <w:highlight w:val="none"/>
              </w:rPr>
              <w:t>保证金</w:t>
            </w:r>
            <w:r>
              <w:rPr>
                <w:rFonts w:hint="eastAsia" w:ascii="宋体" w:hAnsi="宋体" w:eastAsia="宋体" w:cs="宋体"/>
                <w:color w:val="auto"/>
                <w:sz w:val="21"/>
                <w:szCs w:val="21"/>
                <w:highlight w:val="none"/>
              </w:rPr>
              <w:t>截止时间之前，将投标保证金由投标人的基本账户</w:t>
            </w:r>
            <w:r>
              <w:rPr>
                <w:rFonts w:hint="eastAsia" w:ascii="宋体" w:hAnsi="宋体" w:eastAsia="宋体" w:cs="宋体"/>
                <w:color w:val="auto"/>
                <w:sz w:val="21"/>
                <w:szCs w:val="21"/>
                <w:highlight w:val="none"/>
              </w:rPr>
              <w:t>一次性</w:t>
            </w:r>
            <w:r>
              <w:rPr>
                <w:rFonts w:hint="eastAsia" w:ascii="宋体" w:hAnsi="宋体" w:eastAsia="宋体" w:cs="宋体"/>
                <w:color w:val="auto"/>
                <w:sz w:val="21"/>
                <w:szCs w:val="21"/>
                <w:highlight w:val="none"/>
              </w:rPr>
              <w:t>转入招标人指定账户；</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rPr>
              <w:t>若投标保证金采用银行保函形式提交，银行保函的格式、开具保函的银行均满足招标文件要求，且在递交投标文件截止时间之前向招标人提交了银行保函原件。</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投标人法定代表人授权委托代理人签署投标文件的，</w:t>
            </w:r>
            <w:r>
              <w:rPr>
                <w:rFonts w:hint="eastAsia" w:ascii="宋体" w:hAnsi="宋体" w:eastAsia="宋体" w:cs="宋体"/>
                <w:color w:val="auto"/>
                <w:sz w:val="21"/>
                <w:szCs w:val="21"/>
                <w:highlight w:val="none"/>
              </w:rPr>
              <w:t>须</w:t>
            </w:r>
            <w:r>
              <w:rPr>
                <w:rFonts w:hint="eastAsia" w:ascii="宋体" w:hAnsi="宋体" w:eastAsia="宋体" w:cs="宋体"/>
                <w:color w:val="auto"/>
                <w:sz w:val="21"/>
                <w:szCs w:val="21"/>
                <w:highlight w:val="none"/>
              </w:rPr>
              <w:t>提交授权委托书，且授权人和被授权人均在授权委托书上签名，未使用印章、签名章或其他电子制版签名代替。</w:t>
            </w:r>
          </w:p>
          <w:p>
            <w:pPr>
              <w:pStyle w:val="33"/>
              <w:keepLines/>
              <w:shd w:val="clear" w:color="auto" w:fill="auto"/>
              <w:tabs>
                <w:tab w:val="left" w:pos="914"/>
              </w:tabs>
              <w:adjustRightInd w:val="0"/>
              <w:snapToGrid w:val="0"/>
              <w:spacing w:before="0" w:line="360" w:lineRule="auto"/>
              <w:ind w:left="210" w:leftChars="100"/>
              <w:jc w:val="left"/>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（5）</w:t>
            </w:r>
            <w:r>
              <w:rPr>
                <w:rFonts w:hint="eastAsia" w:ascii="宋体" w:hAnsi="宋体" w:eastAsia="宋体" w:cs="宋体"/>
                <w:color w:val="auto"/>
                <w:kern w:val="2"/>
                <w:sz w:val="21"/>
                <w:szCs w:val="21"/>
                <w:highlight w:val="none"/>
                <w:lang w:val="en-US"/>
              </w:rPr>
              <w:t>投标人法定代表人亲自签署投标文件的，提供了法定代表人身份证明，且法定代表人在法定代表人身份证明上签名，未使用印章、签名章或其他电子制版签名代替。</w:t>
            </w:r>
          </w:p>
          <w:p>
            <w:pPr>
              <w:pStyle w:val="33"/>
              <w:keepLines/>
              <w:shd w:val="clear" w:color="auto" w:fill="auto"/>
              <w:tabs>
                <w:tab w:val="left" w:pos="914"/>
              </w:tabs>
              <w:adjustRightInd w:val="0"/>
              <w:snapToGrid w:val="0"/>
              <w:spacing w:before="0" w:line="360" w:lineRule="auto"/>
              <w:ind w:left="210" w:leftChars="100"/>
              <w:jc w:val="left"/>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（6）投标人如有分包计划，符合招标文件第二章“投标人须知”第1.11款规定</w:t>
            </w:r>
            <w:r>
              <w:rPr>
                <w:rFonts w:hint="eastAsia" w:ascii="宋体" w:hAnsi="宋体" w:eastAsia="宋体" w:cs="宋体"/>
                <w:color w:val="auto"/>
                <w:kern w:val="2"/>
                <w:sz w:val="21"/>
                <w:szCs w:val="21"/>
                <w:highlight w:val="none"/>
                <w:lang w:val="en-US"/>
              </w:rPr>
              <w:t>。</w:t>
            </w:r>
          </w:p>
          <w:p>
            <w:pPr>
              <w:pStyle w:val="33"/>
              <w:keepLines/>
              <w:shd w:val="clear" w:color="auto" w:fill="auto"/>
              <w:tabs>
                <w:tab w:val="left" w:pos="914"/>
              </w:tabs>
              <w:adjustRightInd w:val="0"/>
              <w:snapToGrid w:val="0"/>
              <w:spacing w:before="0" w:line="360" w:lineRule="auto"/>
              <w:ind w:left="210" w:leftChars="100"/>
              <w:jc w:val="left"/>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（7）</w:t>
            </w:r>
            <w:r>
              <w:rPr>
                <w:rFonts w:hint="eastAsia" w:ascii="宋体" w:hAnsi="宋体" w:eastAsia="宋体" w:cs="宋体"/>
                <w:color w:val="auto"/>
                <w:kern w:val="2"/>
                <w:sz w:val="21"/>
                <w:szCs w:val="21"/>
                <w:highlight w:val="none"/>
                <w:lang w:val="en-US"/>
              </w:rPr>
              <w:t>同一投标人</w:t>
            </w:r>
            <w:r>
              <w:rPr>
                <w:rFonts w:hint="eastAsia" w:ascii="宋体" w:hAnsi="宋体" w:eastAsia="宋体" w:cs="宋体"/>
                <w:color w:val="auto"/>
                <w:kern w:val="2"/>
                <w:sz w:val="21"/>
                <w:szCs w:val="21"/>
                <w:highlight w:val="none"/>
                <w:lang w:val="en-US"/>
              </w:rPr>
              <w:t>对同一标段</w:t>
            </w:r>
            <w:r>
              <w:rPr>
                <w:rFonts w:hint="eastAsia" w:ascii="宋体" w:hAnsi="宋体" w:eastAsia="宋体" w:cs="宋体"/>
                <w:color w:val="auto"/>
                <w:kern w:val="2"/>
                <w:sz w:val="21"/>
                <w:szCs w:val="21"/>
                <w:highlight w:val="none"/>
                <w:lang w:val="en-US"/>
              </w:rPr>
              <w:t>未提交两个以上不同的投标文件。</w:t>
            </w:r>
          </w:p>
          <w:p>
            <w:pPr>
              <w:pStyle w:val="33"/>
              <w:keepLines/>
              <w:shd w:val="clear" w:color="auto" w:fill="auto"/>
              <w:tabs>
                <w:tab w:val="left" w:pos="922"/>
              </w:tabs>
              <w:adjustRightInd w:val="0"/>
              <w:snapToGrid w:val="0"/>
              <w:spacing w:before="0" w:line="360" w:lineRule="auto"/>
              <w:ind w:left="210" w:leftChars="100"/>
              <w:jc w:val="left"/>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（8）</w:t>
            </w:r>
            <w:r>
              <w:rPr>
                <w:rFonts w:hint="eastAsia" w:ascii="宋体" w:hAnsi="宋体" w:eastAsia="宋体" w:cs="宋体"/>
                <w:color w:val="auto"/>
                <w:kern w:val="2"/>
                <w:sz w:val="21"/>
                <w:szCs w:val="21"/>
                <w:highlight w:val="none"/>
                <w:lang w:val="en-US"/>
              </w:rPr>
              <w:t>投标文件中未出现有关投标报价的内容。</w:t>
            </w:r>
          </w:p>
          <w:p>
            <w:pPr>
              <w:pStyle w:val="33"/>
              <w:keepLines/>
              <w:shd w:val="clear" w:color="auto" w:fill="auto"/>
              <w:tabs>
                <w:tab w:val="left" w:pos="922"/>
              </w:tabs>
              <w:adjustRightInd w:val="0"/>
              <w:snapToGrid w:val="0"/>
              <w:spacing w:before="0" w:line="360" w:lineRule="auto"/>
              <w:ind w:left="210" w:leftChars="100"/>
              <w:jc w:val="left"/>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（9）</w:t>
            </w:r>
            <w:r>
              <w:rPr>
                <w:rFonts w:hint="eastAsia" w:ascii="宋体" w:hAnsi="宋体" w:eastAsia="宋体" w:cs="宋体"/>
                <w:color w:val="auto"/>
                <w:kern w:val="2"/>
                <w:sz w:val="21"/>
                <w:szCs w:val="21"/>
                <w:highlight w:val="none"/>
                <w:lang w:val="en-US"/>
              </w:rPr>
              <w:t>投标文件载明的招标项目完成期限未超过招标文件规定的时限。</w:t>
            </w:r>
          </w:p>
          <w:p>
            <w:pPr>
              <w:pStyle w:val="33"/>
              <w:keepLines/>
              <w:shd w:val="clear" w:color="auto" w:fill="auto"/>
              <w:tabs>
                <w:tab w:val="left" w:pos="938"/>
              </w:tabs>
              <w:adjustRightInd w:val="0"/>
              <w:snapToGrid w:val="0"/>
              <w:spacing w:before="0" w:line="360" w:lineRule="auto"/>
              <w:ind w:left="210" w:leftChars="100"/>
              <w:jc w:val="left"/>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（10）</w:t>
            </w:r>
            <w:r>
              <w:rPr>
                <w:rFonts w:hint="eastAsia" w:ascii="宋体" w:hAnsi="宋体" w:eastAsia="宋体" w:cs="宋体"/>
                <w:color w:val="auto"/>
                <w:kern w:val="2"/>
                <w:sz w:val="21"/>
                <w:szCs w:val="21"/>
                <w:highlight w:val="none"/>
                <w:lang w:val="en-US"/>
              </w:rPr>
              <w:t>投标文件对招标文件的实质性要求和条件作出响应。</w:t>
            </w:r>
          </w:p>
          <w:p>
            <w:pPr>
              <w:pStyle w:val="33"/>
              <w:keepLines/>
              <w:shd w:val="clear" w:color="auto" w:fill="auto"/>
              <w:tabs>
                <w:tab w:val="left" w:pos="922"/>
              </w:tabs>
              <w:adjustRightInd w:val="0"/>
              <w:snapToGrid w:val="0"/>
              <w:spacing w:before="0" w:line="360" w:lineRule="auto"/>
              <w:ind w:left="210" w:leftChars="100"/>
              <w:jc w:val="left"/>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（11）</w:t>
            </w:r>
            <w:r>
              <w:rPr>
                <w:rFonts w:hint="eastAsia" w:ascii="宋体" w:hAnsi="宋体" w:eastAsia="宋体" w:cs="宋体"/>
                <w:color w:val="auto"/>
                <w:kern w:val="2"/>
                <w:sz w:val="21"/>
                <w:szCs w:val="21"/>
                <w:highlight w:val="none"/>
                <w:lang w:val="en-US"/>
              </w:rPr>
              <w:t>权利义务符合招标文件规定：</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rPr>
              <w:t>投标人应接受招标文件规定的风险划分原则，未提出新的风险划分办法；</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rPr>
              <w:t>投标人未增加发包人的责任范围，或减少投标人义务；</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rPr>
              <w:t>投标人未提出不同的工程验收、计量、支付办法；</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rPr>
              <w:t>投标人对合同纠纷、事故处理办法未提出异议；</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w:t>
            </w:r>
            <w:r>
              <w:rPr>
                <w:rFonts w:hint="eastAsia" w:ascii="宋体" w:hAnsi="宋体" w:eastAsia="宋体" w:cs="宋体"/>
                <w:color w:val="auto"/>
                <w:sz w:val="21"/>
                <w:szCs w:val="21"/>
                <w:highlight w:val="none"/>
              </w:rPr>
              <w:t>投标人在投标活动中无欺诈行为；</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rPr>
              <w:t>投标人未对合同条款有重要保留。</w:t>
            </w:r>
          </w:p>
          <w:p>
            <w:pPr>
              <w:pStyle w:val="33"/>
              <w:keepLines/>
              <w:shd w:val="clear" w:color="auto" w:fill="auto"/>
              <w:tabs>
                <w:tab w:val="left" w:pos="914"/>
              </w:tabs>
              <w:adjustRightInd w:val="0"/>
              <w:snapToGrid w:val="0"/>
              <w:spacing w:before="0" w:line="360" w:lineRule="auto"/>
              <w:ind w:left="210" w:leftChars="100"/>
              <w:jc w:val="left"/>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（12）</w:t>
            </w:r>
            <w:r>
              <w:rPr>
                <w:rFonts w:hint="eastAsia" w:ascii="宋体" w:hAnsi="宋体" w:eastAsia="宋体" w:cs="宋体"/>
                <w:color w:val="auto"/>
                <w:kern w:val="2"/>
                <w:sz w:val="21"/>
                <w:szCs w:val="21"/>
                <w:highlight w:val="none"/>
                <w:lang w:val="en-US"/>
              </w:rPr>
              <w:t>投标文件正、副本份数符合招标文件第二章“投标人须知”第3.7.4项规定。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34"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p>
            <w:pPr>
              <w:adjustRightInd w:val="0"/>
              <w:snapToGrid w:val="0"/>
              <w:jc w:val="center"/>
              <w:rPr>
                <w:rFonts w:hint="eastAsia" w:ascii="宋体" w:hAnsi="宋体" w:eastAsia="宋体" w:cs="宋体"/>
                <w:color w:val="auto"/>
                <w:sz w:val="21"/>
                <w:szCs w:val="21"/>
                <w:highlight w:val="none"/>
              </w:rPr>
            </w:pP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155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响应性评审</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6503" w:type="dxa"/>
            <w:tcBorders>
              <w:top w:val="single" w:color="000000" w:sz="6" w:space="0"/>
              <w:left w:val="single" w:color="000000" w:sz="6" w:space="0"/>
              <w:bottom w:val="single" w:color="000000" w:sz="6" w:space="0"/>
              <w:right w:val="single" w:color="000000" w:sz="12" w:space="0"/>
            </w:tcBorders>
            <w:vAlign w:val="center"/>
          </w:tcPr>
          <w:p>
            <w:pPr>
              <w:keepNext/>
              <w:keepLines/>
              <w:adjustRightInd w:val="0"/>
              <w:snapToGrid w:val="0"/>
              <w:spacing w:line="360" w:lineRule="auto"/>
              <w:ind w:left="210" w:left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第二个信封（报价文件）评审标准</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（1）投标文件按照招标文件规定的格式、内容填写，字迹清晰可辨：</w:t>
            </w:r>
          </w:p>
          <w:p>
            <w:pPr>
              <w:keepLines/>
              <w:adjustRightInd w:val="0"/>
              <w:snapToGrid w:val="0"/>
              <w:spacing w:line="36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rPr>
              <w:t>投标函按招标文件规定填报了项目名称、标段号、补遗书编号（如有）、投标价（包括大写金额和小写金额）；</w:t>
            </w:r>
          </w:p>
          <w:p>
            <w:pPr>
              <w:keepLines/>
              <w:adjustRightInd w:val="0"/>
              <w:snapToGrid w:val="0"/>
              <w:spacing w:line="36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rPr>
              <w:t>已标价工程量清单说明文字与招标文件规定一致，未进行实质性修改和删减；</w:t>
            </w:r>
          </w:p>
          <w:p>
            <w:pPr>
              <w:keepLines/>
              <w:adjustRightInd w:val="0"/>
              <w:snapToGrid w:val="0"/>
              <w:spacing w:line="36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rPr>
              <w:t>投标文件组成齐全完整，内容均按规定填写。</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（2）</w:t>
            </w:r>
            <w:r>
              <w:rPr>
                <w:rFonts w:hint="eastAsia" w:ascii="宋体" w:hAnsi="宋体" w:eastAsia="宋体" w:cs="宋体"/>
                <w:color w:val="auto"/>
                <w:kern w:val="2"/>
                <w:sz w:val="21"/>
                <w:szCs w:val="21"/>
                <w:highlight w:val="none"/>
                <w:lang w:val="en-US"/>
              </w:rPr>
              <w:t>投标文件上法定代表人或其委托代理人的签字、投标人的单位章盖章齐全，符合招标文件规定。</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（3）</w:t>
            </w:r>
            <w:r>
              <w:rPr>
                <w:rFonts w:hint="eastAsia" w:ascii="宋体" w:hAnsi="宋体" w:eastAsia="宋体" w:cs="宋体"/>
                <w:color w:val="auto"/>
                <w:kern w:val="2"/>
                <w:sz w:val="21"/>
                <w:szCs w:val="21"/>
                <w:highlight w:val="none"/>
                <w:lang w:val="en-US"/>
              </w:rPr>
              <w:t>投标报价中的报价未超过招标文件设定的最高投标限价</w:t>
            </w:r>
            <w:r>
              <w:rPr>
                <w:rFonts w:hint="eastAsia" w:ascii="宋体" w:hAnsi="宋体" w:eastAsia="宋体" w:cs="宋体"/>
                <w:color w:val="auto"/>
                <w:kern w:val="2"/>
                <w:sz w:val="21"/>
                <w:szCs w:val="21"/>
                <w:highlight w:val="none"/>
                <w:lang w:val="en-US"/>
              </w:rPr>
              <w:t>（如有）</w:t>
            </w:r>
            <w:r>
              <w:rPr>
                <w:rFonts w:hint="eastAsia" w:ascii="宋体" w:hAnsi="宋体" w:eastAsia="宋体" w:cs="宋体"/>
                <w:color w:val="auto"/>
                <w:kern w:val="2"/>
                <w:sz w:val="21"/>
                <w:szCs w:val="21"/>
                <w:highlight w:val="none"/>
                <w:lang w:val="en-US"/>
              </w:rPr>
              <w:t>。</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（4）</w:t>
            </w:r>
            <w:r>
              <w:rPr>
                <w:rFonts w:hint="eastAsia" w:ascii="宋体" w:hAnsi="宋体" w:eastAsia="宋体" w:cs="宋体"/>
                <w:color w:val="auto"/>
                <w:kern w:val="2"/>
                <w:sz w:val="21"/>
                <w:szCs w:val="21"/>
                <w:highlight w:val="none"/>
                <w:lang w:val="en-US"/>
              </w:rPr>
              <w:t>投标报价中报价的大写金额能够确定具体数值。</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（5）</w:t>
            </w:r>
            <w:r>
              <w:rPr>
                <w:rFonts w:hint="eastAsia" w:ascii="宋体" w:hAnsi="宋体" w:eastAsia="宋体" w:cs="宋体"/>
                <w:color w:val="auto"/>
                <w:kern w:val="2"/>
                <w:sz w:val="21"/>
                <w:szCs w:val="21"/>
                <w:highlight w:val="none"/>
                <w:lang w:val="en-US"/>
              </w:rPr>
              <w:t>同一投标人</w:t>
            </w:r>
            <w:r>
              <w:rPr>
                <w:rFonts w:hint="eastAsia" w:ascii="宋体" w:hAnsi="宋体" w:eastAsia="宋体" w:cs="宋体"/>
                <w:color w:val="auto"/>
                <w:kern w:val="2"/>
                <w:sz w:val="21"/>
                <w:szCs w:val="21"/>
                <w:highlight w:val="none"/>
                <w:lang w:val="en-US"/>
              </w:rPr>
              <w:t>对同一标段</w:t>
            </w:r>
            <w:r>
              <w:rPr>
                <w:rFonts w:hint="eastAsia" w:ascii="宋体" w:hAnsi="宋体" w:eastAsia="宋体" w:cs="宋体"/>
                <w:color w:val="auto"/>
                <w:kern w:val="2"/>
                <w:sz w:val="21"/>
                <w:szCs w:val="21"/>
                <w:highlight w:val="none"/>
                <w:lang w:val="en-US"/>
              </w:rPr>
              <w:t>未提交两个以上不同的投标报价。</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（6）投标人未提交调价函。</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（7）</w:t>
            </w:r>
            <w:r>
              <w:rPr>
                <w:rFonts w:hint="eastAsia" w:ascii="宋体" w:hAnsi="宋体" w:eastAsia="宋体" w:cs="宋体"/>
                <w:color w:val="auto"/>
                <w:kern w:val="2"/>
                <w:sz w:val="21"/>
                <w:szCs w:val="21"/>
                <w:highlight w:val="none"/>
                <w:lang w:val="en-US"/>
              </w:rPr>
              <w:t>投标人填写完毕的</w:t>
            </w:r>
            <w:r>
              <w:rPr>
                <w:rFonts w:hint="eastAsia" w:ascii="宋体" w:hAnsi="宋体" w:eastAsia="宋体" w:cs="宋体"/>
                <w:color w:val="auto"/>
                <w:kern w:val="2"/>
                <w:sz w:val="21"/>
                <w:szCs w:val="21"/>
                <w:highlight w:val="none"/>
                <w:lang w:val="en-US"/>
              </w:rPr>
              <w:t>投标函或</w:t>
            </w:r>
            <w:r>
              <w:rPr>
                <w:rFonts w:hint="eastAsia" w:ascii="宋体" w:hAnsi="宋体" w:eastAsia="宋体" w:cs="宋体"/>
                <w:color w:val="auto"/>
                <w:kern w:val="2"/>
                <w:sz w:val="21"/>
                <w:szCs w:val="21"/>
                <w:highlight w:val="none"/>
                <w:lang w:val="en-US"/>
              </w:rPr>
              <w:t>工程量固化清单未对</w:t>
            </w:r>
            <w:r>
              <w:rPr>
                <w:rFonts w:hint="eastAsia" w:ascii="宋体" w:hAnsi="宋体" w:eastAsia="宋体" w:cs="宋体"/>
                <w:color w:val="auto"/>
                <w:kern w:val="2"/>
                <w:sz w:val="21"/>
                <w:szCs w:val="21"/>
                <w:highlight w:val="none"/>
                <w:lang w:val="en-US"/>
              </w:rPr>
              <w:t>投标函或</w:t>
            </w:r>
            <w:r>
              <w:rPr>
                <w:rFonts w:hint="eastAsia" w:ascii="宋体" w:hAnsi="宋体" w:eastAsia="宋体" w:cs="宋体"/>
                <w:color w:val="auto"/>
                <w:kern w:val="2"/>
                <w:sz w:val="21"/>
                <w:szCs w:val="21"/>
                <w:highlight w:val="none"/>
                <w:lang w:val="en-US"/>
              </w:rPr>
              <w:t>工程量固化清单电子文件中的数据、格式和运算定义进行修改；工程量固化清单中的投标报价和投标函大写金额报价一致。</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（8）</w:t>
            </w:r>
            <w:r>
              <w:rPr>
                <w:rFonts w:hint="eastAsia" w:ascii="宋体" w:hAnsi="宋体" w:eastAsia="宋体" w:cs="宋体"/>
                <w:color w:val="auto"/>
                <w:kern w:val="2"/>
                <w:sz w:val="21"/>
                <w:szCs w:val="21"/>
                <w:highlight w:val="none"/>
                <w:lang w:val="en-US"/>
              </w:rPr>
              <w:t>投标文件正、副本份数符合招标文件第二章“投标人须知”第 3.7.4项规定。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134"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155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6503" w:type="dxa"/>
            <w:tcBorders>
              <w:top w:val="single" w:color="000000" w:sz="6" w:space="0"/>
              <w:left w:val="single" w:color="000000" w:sz="6" w:space="0"/>
              <w:bottom w:val="single" w:color="000000" w:sz="6" w:space="0"/>
              <w:right w:val="single" w:color="000000" w:sz="12" w:space="0"/>
            </w:tcBorders>
            <w:vAlign w:val="center"/>
          </w:tcPr>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（1）</w:t>
            </w:r>
            <w:r>
              <w:rPr>
                <w:rFonts w:hint="eastAsia" w:ascii="宋体" w:hAnsi="宋体" w:eastAsia="宋体" w:cs="宋体"/>
                <w:color w:val="auto"/>
                <w:kern w:val="2"/>
                <w:sz w:val="21"/>
                <w:szCs w:val="21"/>
                <w:highlight w:val="none"/>
                <w:lang w:val="en-US"/>
              </w:rPr>
              <w:t>投标人具备有效的营业执照、资质证书、安全生产许可证</w:t>
            </w:r>
            <w:r>
              <w:rPr>
                <w:rFonts w:hint="eastAsia" w:ascii="宋体" w:hAnsi="宋体" w:eastAsia="宋体" w:cs="宋体"/>
                <w:color w:val="auto"/>
                <w:kern w:val="2"/>
                <w:sz w:val="21"/>
                <w:szCs w:val="21"/>
                <w:highlight w:val="none"/>
                <w:lang w:val="en-US"/>
              </w:rPr>
              <w:t>、</w:t>
            </w:r>
            <w:r>
              <w:rPr>
                <w:rFonts w:hint="eastAsia" w:ascii="宋体" w:hAnsi="宋体" w:eastAsia="宋体" w:cs="宋体"/>
                <w:color w:val="auto"/>
                <w:kern w:val="2"/>
                <w:sz w:val="21"/>
                <w:szCs w:val="21"/>
                <w:highlight w:val="none"/>
                <w:lang w:val="en-US"/>
              </w:rPr>
              <w:t>基本账户开户许可证</w:t>
            </w:r>
            <w:r>
              <w:rPr>
                <w:rFonts w:hint="eastAsia" w:ascii="宋体" w:hAnsi="宋体" w:eastAsia="宋体" w:cs="宋体"/>
                <w:color w:val="auto"/>
                <w:kern w:val="2"/>
                <w:sz w:val="21"/>
                <w:szCs w:val="21"/>
                <w:highlight w:val="none"/>
                <w:lang w:val="en-US"/>
              </w:rPr>
              <w:t>和股东出资情况证明。</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（2）</w:t>
            </w:r>
            <w:r>
              <w:rPr>
                <w:rFonts w:hint="eastAsia" w:ascii="宋体" w:hAnsi="宋体" w:eastAsia="宋体" w:cs="宋体"/>
                <w:color w:val="auto"/>
                <w:kern w:val="2"/>
                <w:sz w:val="21"/>
                <w:szCs w:val="21"/>
                <w:highlight w:val="none"/>
                <w:lang w:val="en-US"/>
              </w:rPr>
              <w:t>投标人的资质等级符合招标文件规定</w:t>
            </w:r>
            <w:r>
              <w:rPr>
                <w:rFonts w:hint="eastAsia" w:ascii="宋体" w:hAnsi="宋体" w:eastAsia="宋体" w:cs="宋体"/>
                <w:color w:val="auto"/>
                <w:kern w:val="2"/>
                <w:sz w:val="21"/>
                <w:szCs w:val="21"/>
                <w:highlight w:val="none"/>
                <w:lang w:val="en-US"/>
              </w:rPr>
              <w:t>。</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（3）</w:t>
            </w:r>
            <w:r>
              <w:rPr>
                <w:rFonts w:hint="eastAsia" w:ascii="宋体" w:hAnsi="宋体" w:eastAsia="宋体" w:cs="宋体"/>
                <w:color w:val="auto"/>
                <w:kern w:val="2"/>
                <w:sz w:val="21"/>
                <w:szCs w:val="21"/>
                <w:highlight w:val="none"/>
                <w:lang w:val="en-US"/>
              </w:rPr>
              <w:t>投标人的财务状况符合招标文件规定</w:t>
            </w:r>
            <w:r>
              <w:rPr>
                <w:rFonts w:hint="eastAsia" w:ascii="宋体" w:hAnsi="宋体" w:eastAsia="宋体" w:cs="宋体"/>
                <w:color w:val="auto"/>
                <w:kern w:val="2"/>
                <w:sz w:val="21"/>
                <w:szCs w:val="21"/>
                <w:highlight w:val="none"/>
                <w:lang w:val="en-US"/>
              </w:rPr>
              <w:t>。</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（4）</w:t>
            </w:r>
            <w:r>
              <w:rPr>
                <w:rFonts w:hint="eastAsia" w:ascii="宋体" w:hAnsi="宋体" w:eastAsia="宋体" w:cs="宋体"/>
                <w:color w:val="auto"/>
                <w:kern w:val="2"/>
                <w:sz w:val="21"/>
                <w:szCs w:val="21"/>
                <w:highlight w:val="none"/>
                <w:lang w:val="en-US"/>
              </w:rPr>
              <w:t>投标人的类似项目业绩符合招标文件规定</w:t>
            </w:r>
            <w:r>
              <w:rPr>
                <w:rFonts w:hint="eastAsia" w:ascii="宋体" w:hAnsi="宋体" w:eastAsia="宋体" w:cs="宋体"/>
                <w:color w:val="auto"/>
                <w:kern w:val="2"/>
                <w:sz w:val="21"/>
                <w:szCs w:val="21"/>
                <w:highlight w:val="none"/>
                <w:lang w:val="en-US"/>
              </w:rPr>
              <w:t>。</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（5）</w:t>
            </w:r>
            <w:r>
              <w:rPr>
                <w:rFonts w:hint="eastAsia" w:ascii="宋体" w:hAnsi="宋体" w:eastAsia="宋体" w:cs="宋体"/>
                <w:color w:val="auto"/>
                <w:kern w:val="2"/>
                <w:sz w:val="21"/>
                <w:szCs w:val="21"/>
                <w:highlight w:val="none"/>
                <w:lang w:val="en-US"/>
              </w:rPr>
              <w:t>投标人的信誉符合招标文件规定</w:t>
            </w:r>
            <w:r>
              <w:rPr>
                <w:rFonts w:hint="eastAsia" w:ascii="宋体" w:hAnsi="宋体" w:eastAsia="宋体" w:cs="宋体"/>
                <w:color w:val="auto"/>
                <w:kern w:val="2"/>
                <w:sz w:val="21"/>
                <w:szCs w:val="21"/>
                <w:highlight w:val="none"/>
                <w:lang w:val="en-US"/>
              </w:rPr>
              <w:t>。</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（6）</w:t>
            </w:r>
            <w:r>
              <w:rPr>
                <w:rFonts w:hint="eastAsia" w:ascii="宋体" w:hAnsi="宋体" w:eastAsia="宋体" w:cs="宋体"/>
                <w:color w:val="auto"/>
                <w:kern w:val="2"/>
                <w:sz w:val="21"/>
                <w:szCs w:val="21"/>
                <w:highlight w:val="none"/>
                <w:lang w:val="en-US"/>
              </w:rPr>
              <w:t>投标人</w:t>
            </w:r>
            <w:r>
              <w:rPr>
                <w:rFonts w:hint="eastAsia" w:ascii="宋体" w:hAnsi="宋体" w:eastAsia="宋体" w:cs="宋体"/>
                <w:color w:val="auto"/>
                <w:kern w:val="2"/>
                <w:sz w:val="21"/>
                <w:szCs w:val="21"/>
                <w:highlight w:val="none"/>
                <w:lang w:val="en-US"/>
              </w:rPr>
              <w:t>的项目经理和项目总工</w:t>
            </w:r>
            <w:r>
              <w:rPr>
                <w:rFonts w:hint="eastAsia" w:ascii="宋体" w:hAnsi="宋体" w:eastAsia="宋体" w:cs="宋体"/>
                <w:color w:val="auto"/>
                <w:kern w:val="2"/>
                <w:sz w:val="21"/>
                <w:szCs w:val="21"/>
                <w:highlight w:val="none"/>
                <w:lang w:val="en-US"/>
              </w:rPr>
              <w:t>资格、在岗情况符合招标文件规定</w:t>
            </w:r>
            <w:r>
              <w:rPr>
                <w:rFonts w:hint="eastAsia" w:ascii="宋体" w:hAnsi="宋体" w:eastAsia="宋体" w:cs="宋体"/>
                <w:color w:val="auto"/>
                <w:kern w:val="2"/>
                <w:sz w:val="21"/>
                <w:szCs w:val="21"/>
                <w:highlight w:val="none"/>
                <w:lang w:val="en-US"/>
              </w:rPr>
              <w:t>。</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w:t>
            </w:r>
            <w:r>
              <w:rPr>
                <w:rFonts w:hint="eastAsia" w:ascii="宋体" w:hAnsi="宋体" w:eastAsia="宋体" w:cs="宋体"/>
                <w:color w:val="auto"/>
                <w:kern w:val="2"/>
                <w:sz w:val="21"/>
                <w:szCs w:val="21"/>
                <w:highlight w:val="none"/>
                <w:lang w:val="en-US"/>
              </w:rPr>
              <w:t>7</w:t>
            </w:r>
            <w:r>
              <w:rPr>
                <w:rFonts w:hint="eastAsia" w:ascii="宋体" w:hAnsi="宋体" w:eastAsia="宋体" w:cs="宋体"/>
                <w:color w:val="auto"/>
                <w:kern w:val="2"/>
                <w:sz w:val="21"/>
                <w:szCs w:val="21"/>
                <w:highlight w:val="none"/>
                <w:lang w:val="en-US"/>
              </w:rPr>
              <w:t>）</w:t>
            </w:r>
            <w:r>
              <w:rPr>
                <w:rFonts w:hint="eastAsia" w:ascii="宋体" w:hAnsi="宋体" w:eastAsia="宋体" w:cs="宋体"/>
                <w:color w:val="auto"/>
                <w:kern w:val="2"/>
                <w:sz w:val="21"/>
                <w:szCs w:val="21"/>
                <w:highlight w:val="none"/>
                <w:lang w:val="en-US"/>
              </w:rPr>
              <w:t>投标人不存在第二章“投标人须知”第1.4.3项或第1.4.4项规定的任何一种情形</w:t>
            </w:r>
            <w:r>
              <w:rPr>
                <w:rFonts w:hint="eastAsia" w:ascii="宋体" w:hAnsi="宋体" w:eastAsia="宋体" w:cs="宋体"/>
                <w:color w:val="auto"/>
                <w:kern w:val="2"/>
                <w:sz w:val="21"/>
                <w:szCs w:val="21"/>
                <w:highlight w:val="none"/>
                <w:lang w:val="en-US"/>
              </w:rPr>
              <w:t>。</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w:t>
            </w:r>
            <w:r>
              <w:rPr>
                <w:rFonts w:hint="eastAsia" w:ascii="宋体" w:hAnsi="宋体" w:eastAsia="宋体" w:cs="宋体"/>
                <w:color w:val="auto"/>
                <w:kern w:val="2"/>
                <w:sz w:val="21"/>
                <w:szCs w:val="21"/>
                <w:highlight w:val="none"/>
                <w:lang w:val="en-US"/>
              </w:rPr>
              <w:t>8</w:t>
            </w:r>
            <w:r>
              <w:rPr>
                <w:rFonts w:hint="eastAsia" w:ascii="宋体" w:hAnsi="宋体" w:eastAsia="宋体" w:cs="宋体"/>
                <w:color w:val="auto"/>
                <w:kern w:val="2"/>
                <w:sz w:val="21"/>
                <w:szCs w:val="21"/>
                <w:highlight w:val="none"/>
                <w:lang w:val="en-US"/>
              </w:rPr>
              <w:t>）</w:t>
            </w:r>
            <w:r>
              <w:rPr>
                <w:rFonts w:hint="eastAsia" w:ascii="宋体" w:hAnsi="宋体" w:eastAsia="宋体" w:cs="宋体"/>
                <w:color w:val="auto"/>
                <w:kern w:val="2"/>
                <w:sz w:val="21"/>
                <w:szCs w:val="21"/>
                <w:highlight w:val="none"/>
                <w:lang w:val="en-US"/>
              </w:rPr>
              <w:t>投标人符合第二章“投标人须知”第1.4.5项规定</w:t>
            </w:r>
            <w:r>
              <w:rPr>
                <w:rFonts w:hint="eastAsia" w:ascii="宋体" w:hAnsi="宋体" w:eastAsia="宋体" w:cs="宋体"/>
                <w:color w:val="auto"/>
                <w:kern w:val="2"/>
                <w:sz w:val="21"/>
                <w:szCs w:val="21"/>
                <w:highlight w:val="none"/>
                <w:lang w:val="en-US"/>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134"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55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6503" w:type="dxa"/>
            <w:tcBorders>
              <w:top w:val="single" w:color="000000" w:sz="6" w:space="0"/>
              <w:left w:val="single" w:color="000000" w:sz="6" w:space="0"/>
              <w:bottom w:val="single" w:color="000000" w:sz="6" w:space="0"/>
              <w:right w:val="single" w:color="000000" w:sz="12" w:space="0"/>
            </w:tcBorders>
            <w:vAlign w:val="center"/>
          </w:tcPr>
          <w:p>
            <w:pPr>
              <w:keepLines/>
              <w:adjustRightInd w:val="0"/>
              <w:snapToGrid w:val="0"/>
              <w:spacing w:line="36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第一个信封（商务及技术文件）评分分值构成：</w:t>
            </w:r>
          </w:p>
          <w:p>
            <w:pPr>
              <w:pStyle w:val="33"/>
              <w:keepLines/>
              <w:shd w:val="clear" w:color="auto" w:fill="auto"/>
              <w:tabs>
                <w:tab w:val="right" w:pos="2226"/>
              </w:tabs>
              <w:snapToGrid w:val="0"/>
              <w:spacing w:before="0"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rPr>
              <w:t>施工组织设计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t>分</w:t>
            </w:r>
          </w:p>
          <w:p>
            <w:pPr>
              <w:pStyle w:val="33"/>
              <w:keepLines/>
              <w:shd w:val="clear" w:color="auto" w:fill="auto"/>
              <w:tabs>
                <w:tab w:val="right" w:pos="2226"/>
              </w:tabs>
              <w:snapToGrid w:val="0"/>
              <w:spacing w:before="0"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rPr>
              <w:t>主要人员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分</w:t>
            </w:r>
          </w:p>
          <w:p>
            <w:pPr>
              <w:pStyle w:val="33"/>
              <w:keepLines/>
              <w:shd w:val="clear" w:color="auto" w:fill="auto"/>
              <w:tabs>
                <w:tab w:val="right" w:pos="2226"/>
              </w:tabs>
              <w:snapToGrid w:val="0"/>
              <w:spacing w:before="0"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rPr>
              <w:t>业绩</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p>
            <w:pPr>
              <w:pStyle w:val="33"/>
              <w:keepLines/>
              <w:shd w:val="clear" w:color="auto" w:fill="auto"/>
              <w:tabs>
                <w:tab w:val="right" w:pos="2226"/>
              </w:tabs>
              <w:snapToGrid w:val="0"/>
              <w:spacing w:before="0"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rPr>
              <w:t>履约信誉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keepLines/>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第二个信封（报价文件）评分分值构成：</w:t>
            </w:r>
          </w:p>
          <w:p>
            <w:pPr>
              <w:pStyle w:val="33"/>
              <w:keepLines/>
              <w:shd w:val="clear" w:color="auto" w:fill="auto"/>
              <w:tabs>
                <w:tab w:val="right" w:pos="2226"/>
              </w:tabs>
              <w:adjustRightInd w:val="0"/>
              <w:snapToGrid w:val="0"/>
              <w:spacing w:before="0" w:line="360" w:lineRule="auto"/>
              <w:ind w:left="210" w:leftChars="1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rPr>
              <w:t>评标价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50分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134"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55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确定评标基准价</w:t>
            </w:r>
          </w:p>
        </w:tc>
        <w:tc>
          <w:tcPr>
            <w:tcW w:w="6503" w:type="dxa"/>
            <w:tcBorders>
              <w:top w:val="single" w:color="000000" w:sz="6" w:space="0"/>
              <w:left w:val="single" w:color="000000" w:sz="6" w:space="0"/>
              <w:bottom w:val="single" w:color="000000" w:sz="6" w:space="0"/>
              <w:right w:val="single" w:color="000000" w:sz="12" w:space="0"/>
            </w:tcBorders>
            <w:vAlign w:val="center"/>
          </w:tcPr>
          <w:p>
            <w:pPr>
              <w:pStyle w:val="33"/>
              <w:keepLines/>
              <w:shd w:val="clear" w:color="auto" w:fill="auto"/>
              <w:tabs>
                <w:tab w:val="left" w:pos="914"/>
              </w:tabs>
              <w:adjustRightInd w:val="0"/>
              <w:snapToGrid w:val="0"/>
              <w:spacing w:before="0" w:line="360" w:lineRule="auto"/>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评标基准价的计算：</w:t>
            </w:r>
          </w:p>
          <w:p>
            <w:pPr>
              <w:pStyle w:val="33"/>
              <w:keepLines/>
              <w:shd w:val="clear" w:color="auto" w:fill="auto"/>
              <w:tabs>
                <w:tab w:val="left" w:pos="914"/>
              </w:tabs>
              <w:adjustRightInd w:val="0"/>
              <w:snapToGrid w:val="0"/>
              <w:spacing w:before="0" w:line="360" w:lineRule="auto"/>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在开标现场，招标人将当场计算并宣布评标基准价。</w:t>
            </w:r>
          </w:p>
          <w:p>
            <w:pPr>
              <w:pStyle w:val="33"/>
              <w:keepLines/>
              <w:shd w:val="clear" w:color="auto" w:fill="auto"/>
              <w:tabs>
                <w:tab w:val="left" w:pos="914"/>
              </w:tabs>
              <w:adjustRightInd w:val="0"/>
              <w:snapToGrid w:val="0"/>
              <w:spacing w:before="0" w:line="360" w:lineRule="auto"/>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（1）评标价的确定：评标价＝投标函文字报价</w:t>
            </w:r>
          </w:p>
          <w:p>
            <w:pPr>
              <w:pStyle w:val="33"/>
              <w:keepLines/>
              <w:shd w:val="clear" w:color="auto" w:fill="auto"/>
              <w:tabs>
                <w:tab w:val="left" w:pos="914"/>
              </w:tabs>
              <w:adjustRightInd w:val="0"/>
              <w:snapToGrid w:val="0"/>
              <w:spacing w:before="0" w:line="360" w:lineRule="auto"/>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2）评标价平均值的计算：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评标价平均值四舍五入精确至个位。</w:t>
            </w:r>
          </w:p>
          <w:p>
            <w:pPr>
              <w:pStyle w:val="33"/>
              <w:keepLines/>
              <w:shd w:val="clear" w:color="auto" w:fill="auto"/>
              <w:tabs>
                <w:tab w:val="left" w:pos="914"/>
              </w:tabs>
              <w:adjustRightInd w:val="0"/>
              <w:snapToGrid w:val="0"/>
              <w:spacing w:before="0" w:line="360" w:lineRule="auto"/>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（3）评标基准价的确定：将评标价平均值直接作为评标基准价。</w:t>
            </w:r>
          </w:p>
          <w:p>
            <w:pPr>
              <w:widowControl/>
              <w:snapToGrid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rPr>
              <w:t>在评标过程中，评标委员会应对招标人计算的评标基准价进行复核，存在计算错误的应予以修正并在评标报告中作出说明。除此之外，评标基准价在整个评标期间保持不变，不随任何因素发生变化</w:t>
            </w:r>
            <w:r>
              <w:rPr>
                <w:rFonts w:hint="eastAsia" w:ascii="宋体" w:hAnsi="宋体" w:eastAsia="宋体" w:cs="宋体"/>
                <w:color w:val="auto"/>
                <w:sz w:val="21"/>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134" w:hRule="atLeast"/>
        </w:trPr>
        <w:tc>
          <w:tcPr>
            <w:tcW w:w="999" w:type="dxa"/>
            <w:tcBorders>
              <w:top w:val="single" w:color="000000" w:sz="6" w:space="0"/>
              <w:left w:val="single" w:color="000000" w:sz="12" w:space="0"/>
              <w:bottom w:val="single" w:color="000000" w:sz="12"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1555" w:type="dxa"/>
            <w:tcBorders>
              <w:top w:val="single" w:color="000000" w:sz="6" w:space="0"/>
              <w:left w:val="single" w:color="000000" w:sz="6" w:space="0"/>
              <w:bottom w:val="single" w:color="000000" w:sz="12"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评标价的偏差率计算公式</w:t>
            </w:r>
          </w:p>
        </w:tc>
        <w:tc>
          <w:tcPr>
            <w:tcW w:w="6503" w:type="dxa"/>
            <w:tcBorders>
              <w:top w:val="single" w:color="000000" w:sz="6" w:space="0"/>
              <w:left w:val="single" w:color="000000" w:sz="6" w:space="0"/>
              <w:bottom w:val="single" w:color="000000" w:sz="12" w:space="0"/>
              <w:right w:val="single" w:color="000000" w:sz="12" w:space="0"/>
            </w:tcBorders>
            <w:vAlign w:val="center"/>
          </w:tcPr>
          <w:p>
            <w:pPr>
              <w:pStyle w:val="33"/>
              <w:keepLines/>
              <w:shd w:val="clear" w:color="auto" w:fill="auto"/>
              <w:tabs>
                <w:tab w:val="left" w:pos="914"/>
              </w:tabs>
              <w:snapToGrid w:val="0"/>
              <w:spacing w:before="0" w:line="360" w:lineRule="auto"/>
              <w:ind w:firstLine="210" w:firstLine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偏差率=100%×（投标人评标价－评标基准价）/评标基准价</w:t>
            </w:r>
          </w:p>
          <w:p>
            <w:pPr>
              <w:pStyle w:val="33"/>
              <w:keepLines/>
              <w:shd w:val="clear" w:color="auto" w:fill="auto"/>
              <w:tabs>
                <w:tab w:val="left" w:pos="914"/>
              </w:tabs>
              <w:snapToGrid w:val="0"/>
              <w:spacing w:before="0"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rPr>
              <w:t>偏差率（以百分数形式表示）保留两位小数，如**.**</w:t>
            </w:r>
            <w:r>
              <w:rPr>
                <w:rFonts w:hint="eastAsia" w:ascii="宋体" w:hAnsi="宋体" w:eastAsia="宋体" w:cs="宋体"/>
                <w:color w:val="auto"/>
                <w:kern w:val="2"/>
                <w:sz w:val="21"/>
                <w:szCs w:val="21"/>
                <w:highlight w:val="none"/>
                <w:lang w:val="en-US"/>
              </w:rPr>
              <w:t>%</w:t>
            </w:r>
          </w:p>
        </w:tc>
      </w:tr>
    </w:tbl>
    <w:p>
      <w:pPr>
        <w:rPr>
          <w:rFonts w:hint="eastAsia" w:ascii="宋体" w:hAnsi="宋体" w:eastAsia="宋体" w:cs="宋体"/>
          <w:color w:val="auto"/>
          <w:sz w:val="21"/>
          <w:szCs w:val="21"/>
          <w:highlight w:val="none"/>
        </w:rPr>
      </w:pP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rPr>
          <w:rFonts w:hint="eastAsia" w:ascii="宋体" w:hAnsi="宋体" w:eastAsia="宋体" w:cs="宋体"/>
          <w:color w:val="auto"/>
          <w:sz w:val="21"/>
          <w:szCs w:val="21"/>
          <w:highlight w:val="none"/>
          <w:lang w:val="zh-CN"/>
        </w:rPr>
      </w:pPr>
    </w:p>
    <w:tbl>
      <w:tblPr>
        <w:tblStyle w:val="15"/>
        <w:tblW w:w="90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59"/>
        <w:gridCol w:w="346"/>
        <w:gridCol w:w="346"/>
        <w:gridCol w:w="538"/>
        <w:gridCol w:w="987"/>
        <w:gridCol w:w="550"/>
        <w:gridCol w:w="56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3426" w:type="dxa"/>
            <w:gridSpan w:val="6"/>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评分因素与权重分值</w:t>
            </w:r>
            <w:r>
              <w:rPr>
                <w:rStyle w:val="19"/>
                <w:rFonts w:hint="eastAsia" w:ascii="宋体" w:hAnsi="宋体" w:eastAsia="宋体" w:cs="宋体"/>
                <w:b/>
                <w:color w:val="auto"/>
                <w:sz w:val="21"/>
                <w:szCs w:val="21"/>
                <w:highlight w:val="none"/>
              </w:rPr>
              <w:footnoteReference w:id="1"/>
            </w:r>
          </w:p>
        </w:tc>
        <w:tc>
          <w:tcPr>
            <w:tcW w:w="5628" w:type="dxa"/>
            <w:vMerge w:val="restart"/>
            <w:vAlign w:val="center"/>
          </w:tcPr>
          <w:p>
            <w:pPr>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59" w:type="dxa"/>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692" w:type="dxa"/>
            <w:gridSpan w:val="2"/>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w:t>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t>因素</w:t>
            </w:r>
          </w:p>
        </w:tc>
        <w:tc>
          <w:tcPr>
            <w:tcW w:w="538" w:type="dxa"/>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权重</w:t>
            </w:r>
          </w:p>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987" w:type="dxa"/>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各评分因</w:t>
            </w:r>
          </w:p>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素细分项</w:t>
            </w:r>
          </w:p>
        </w:tc>
        <w:tc>
          <w:tcPr>
            <w:tcW w:w="550" w:type="dxa"/>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5628" w:type="dxa"/>
            <w:vMerge w:val="continue"/>
            <w:vAlign w:val="center"/>
          </w:tcPr>
          <w:p>
            <w:pPr>
              <w:widowControl/>
              <w:snapToGrid w:val="0"/>
              <w:spacing w:line="360" w:lineRule="auto"/>
              <w:jc w:val="center"/>
              <w:rPr>
                <w:rFonts w:hint="eastAsia" w:ascii="宋体" w:hAnsi="宋体" w:eastAsia="宋体" w:cs="宋体"/>
                <w:b/>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59" w:type="dxa"/>
            <w:vMerge w:val="restart"/>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p>
        </w:tc>
        <w:tc>
          <w:tcPr>
            <w:tcW w:w="692" w:type="dxa"/>
            <w:gridSpan w:val="2"/>
            <w:vMerge w:val="restart"/>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施工组织设计</w:t>
            </w:r>
          </w:p>
        </w:tc>
        <w:tc>
          <w:tcPr>
            <w:tcW w:w="538" w:type="dxa"/>
            <w:vMerge w:val="restart"/>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t>分</w:t>
            </w:r>
          </w:p>
        </w:tc>
        <w:tc>
          <w:tcPr>
            <w:tcW w:w="987" w:type="dxa"/>
            <w:vAlign w:val="center"/>
          </w:tcPr>
          <w:p>
            <w:pPr>
              <w:adjustRightInd w:val="0"/>
              <w:snapToGrid w:val="0"/>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施工</w:t>
            </w:r>
            <w:r>
              <w:rPr>
                <w:rFonts w:hint="eastAsia" w:ascii="宋体" w:hAnsi="宋体" w:eastAsia="宋体" w:cs="宋体"/>
                <w:bCs/>
                <w:color w:val="auto"/>
                <w:sz w:val="21"/>
                <w:szCs w:val="21"/>
                <w:highlight w:val="none"/>
                <w:lang w:val="zh-CN"/>
              </w:rPr>
              <w:t>方案</w:t>
            </w:r>
          </w:p>
        </w:tc>
        <w:tc>
          <w:tcPr>
            <w:tcW w:w="550" w:type="dxa"/>
            <w:vAlign w:val="center"/>
          </w:tcPr>
          <w:p>
            <w:pPr>
              <w:adjustRightInd w:val="0"/>
              <w:snapToGri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8</w:t>
            </w:r>
          </w:p>
        </w:tc>
        <w:tc>
          <w:tcPr>
            <w:tcW w:w="5628" w:type="dxa"/>
            <w:vAlign w:val="center"/>
          </w:tcPr>
          <w:p>
            <w:pPr>
              <w:widowControl/>
              <w:tabs>
                <w:tab w:val="right" w:pos="2100"/>
              </w:tabs>
              <w:snapToGrid w:val="0"/>
              <w:spacing w:line="360" w:lineRule="atLeast"/>
              <w:ind w:firstLine="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一般，得</w:t>
            </w:r>
            <w:r>
              <w:rPr>
                <w:rFonts w:hint="eastAsia" w:ascii="宋体" w:hAnsi="宋体" w:eastAsia="宋体" w:cs="宋体"/>
                <w:color w:val="auto"/>
                <w:kern w:val="0"/>
                <w:sz w:val="21"/>
                <w:szCs w:val="21"/>
                <w:highlight w:val="none"/>
                <w:lang w:val="en-US" w:eastAsia="zh-CN"/>
              </w:rPr>
              <w:t>4.8</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6.4</w:t>
            </w:r>
            <w:r>
              <w:rPr>
                <w:rFonts w:hint="eastAsia" w:ascii="宋体" w:hAnsi="宋体" w:eastAsia="宋体" w:cs="宋体"/>
                <w:color w:val="auto"/>
                <w:kern w:val="0"/>
                <w:sz w:val="21"/>
                <w:szCs w:val="21"/>
                <w:highlight w:val="none"/>
              </w:rPr>
              <w:t>分；</w:t>
            </w:r>
          </w:p>
          <w:p>
            <w:pPr>
              <w:widowControl/>
              <w:snapToGrid w:val="0"/>
              <w:spacing w:line="360" w:lineRule="auto"/>
              <w:ind w:firstLine="210" w:firstLineChars="1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较好，得</w:t>
            </w:r>
            <w:r>
              <w:rPr>
                <w:rFonts w:hint="eastAsia" w:ascii="宋体" w:hAnsi="宋体" w:eastAsia="宋体" w:cs="宋体"/>
                <w:color w:val="auto"/>
                <w:kern w:val="0"/>
                <w:sz w:val="21"/>
                <w:szCs w:val="21"/>
                <w:highlight w:val="none"/>
                <w:lang w:val="en-US" w:eastAsia="zh-CN"/>
              </w:rPr>
              <w:t>6.4</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59" w:type="dxa"/>
            <w:vMerge w:val="continue"/>
            <w:vAlign w:val="center"/>
          </w:tcPr>
          <w:p>
            <w:pPr>
              <w:adjustRightInd w:val="0"/>
              <w:snapToGrid w:val="0"/>
              <w:jc w:val="center"/>
              <w:rPr>
                <w:rFonts w:hint="eastAsia" w:ascii="宋体" w:hAnsi="宋体" w:eastAsia="宋体" w:cs="宋体"/>
                <w:b/>
                <w:color w:val="auto"/>
                <w:sz w:val="21"/>
                <w:szCs w:val="21"/>
                <w:highlight w:val="none"/>
              </w:rPr>
            </w:pPr>
          </w:p>
        </w:tc>
        <w:tc>
          <w:tcPr>
            <w:tcW w:w="692" w:type="dxa"/>
            <w:gridSpan w:val="2"/>
            <w:vMerge w:val="continue"/>
            <w:vAlign w:val="center"/>
          </w:tcPr>
          <w:p>
            <w:pPr>
              <w:adjustRightInd w:val="0"/>
              <w:snapToGrid w:val="0"/>
              <w:jc w:val="center"/>
              <w:rPr>
                <w:rFonts w:hint="eastAsia" w:ascii="宋体" w:hAnsi="宋体" w:eastAsia="宋体" w:cs="宋体"/>
                <w:b/>
                <w:color w:val="auto"/>
                <w:sz w:val="21"/>
                <w:szCs w:val="21"/>
                <w:highlight w:val="none"/>
              </w:rPr>
            </w:pPr>
          </w:p>
        </w:tc>
        <w:tc>
          <w:tcPr>
            <w:tcW w:w="538" w:type="dxa"/>
            <w:vMerge w:val="continue"/>
            <w:vAlign w:val="center"/>
          </w:tcPr>
          <w:p>
            <w:pPr>
              <w:adjustRightInd w:val="0"/>
              <w:snapToGrid w:val="0"/>
              <w:jc w:val="center"/>
              <w:rPr>
                <w:rFonts w:hint="eastAsia" w:ascii="宋体" w:hAnsi="宋体" w:eastAsia="宋体" w:cs="宋体"/>
                <w:b/>
                <w:color w:val="auto"/>
                <w:sz w:val="21"/>
                <w:szCs w:val="21"/>
                <w:highlight w:val="none"/>
              </w:rPr>
            </w:pPr>
          </w:p>
        </w:tc>
        <w:tc>
          <w:tcPr>
            <w:tcW w:w="987" w:type="dxa"/>
            <w:vAlign w:val="center"/>
          </w:tcPr>
          <w:p>
            <w:pPr>
              <w:adjustRightInd w:val="0"/>
              <w:snapToGri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人员组织方案</w:t>
            </w:r>
          </w:p>
        </w:tc>
        <w:tc>
          <w:tcPr>
            <w:tcW w:w="550" w:type="dxa"/>
            <w:vAlign w:val="center"/>
          </w:tcPr>
          <w:p>
            <w:pPr>
              <w:adjustRightInd w:val="0"/>
              <w:snapToGri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5628" w:type="dxa"/>
            <w:vAlign w:val="center"/>
          </w:tcPr>
          <w:p>
            <w:pPr>
              <w:widowControl/>
              <w:tabs>
                <w:tab w:val="right" w:pos="2100"/>
              </w:tabs>
              <w:snapToGrid w:val="0"/>
              <w:spacing w:line="360" w:lineRule="atLeast"/>
              <w:ind w:firstLine="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一般，得</w:t>
            </w:r>
            <w:r>
              <w:rPr>
                <w:rFonts w:hint="eastAsia" w:ascii="宋体" w:hAnsi="宋体" w:eastAsia="宋体" w:cs="宋体"/>
                <w:color w:val="auto"/>
                <w:kern w:val="0"/>
                <w:sz w:val="21"/>
                <w:szCs w:val="21"/>
                <w:highlight w:val="none"/>
              </w:rPr>
              <w:t>2.4</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3.2</w:t>
            </w:r>
            <w:r>
              <w:rPr>
                <w:rFonts w:hint="eastAsia" w:ascii="宋体" w:hAnsi="宋体" w:eastAsia="宋体" w:cs="宋体"/>
                <w:color w:val="auto"/>
                <w:kern w:val="0"/>
                <w:sz w:val="21"/>
                <w:szCs w:val="21"/>
                <w:highlight w:val="none"/>
              </w:rPr>
              <w:t>分；</w:t>
            </w:r>
          </w:p>
          <w:p>
            <w:pPr>
              <w:widowControl/>
              <w:snapToGrid w:val="0"/>
              <w:spacing w:line="360" w:lineRule="auto"/>
              <w:ind w:firstLine="210" w:firstLineChars="1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较好，得</w:t>
            </w:r>
            <w:r>
              <w:rPr>
                <w:rFonts w:hint="eastAsia" w:ascii="宋体" w:hAnsi="宋体" w:eastAsia="宋体" w:cs="宋体"/>
                <w:color w:val="auto"/>
                <w:kern w:val="0"/>
                <w:sz w:val="21"/>
                <w:szCs w:val="21"/>
                <w:highlight w:val="none"/>
              </w:rPr>
              <w:t>3.2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4.0</w:t>
            </w:r>
            <w:r>
              <w:rPr>
                <w:rFonts w:hint="eastAsia" w:ascii="宋体" w:hAnsi="宋体" w:eastAsia="宋体" w:cs="宋体"/>
                <w:color w:val="auto"/>
                <w:kern w:val="0"/>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59" w:type="dxa"/>
            <w:vMerge w:val="continue"/>
            <w:vAlign w:val="center"/>
          </w:tcPr>
          <w:p>
            <w:pPr>
              <w:adjustRightInd w:val="0"/>
              <w:snapToGrid w:val="0"/>
              <w:jc w:val="center"/>
              <w:rPr>
                <w:rFonts w:hint="eastAsia" w:ascii="宋体" w:hAnsi="宋体" w:eastAsia="宋体" w:cs="宋体"/>
                <w:b/>
                <w:color w:val="auto"/>
                <w:sz w:val="21"/>
                <w:szCs w:val="21"/>
                <w:highlight w:val="none"/>
              </w:rPr>
            </w:pPr>
          </w:p>
        </w:tc>
        <w:tc>
          <w:tcPr>
            <w:tcW w:w="692" w:type="dxa"/>
            <w:gridSpan w:val="2"/>
            <w:vMerge w:val="continue"/>
            <w:vAlign w:val="center"/>
          </w:tcPr>
          <w:p>
            <w:pPr>
              <w:adjustRightInd w:val="0"/>
              <w:snapToGrid w:val="0"/>
              <w:jc w:val="center"/>
              <w:rPr>
                <w:rFonts w:hint="eastAsia" w:ascii="宋体" w:hAnsi="宋体" w:eastAsia="宋体" w:cs="宋体"/>
                <w:b/>
                <w:color w:val="auto"/>
                <w:sz w:val="21"/>
                <w:szCs w:val="21"/>
                <w:highlight w:val="none"/>
              </w:rPr>
            </w:pPr>
          </w:p>
        </w:tc>
        <w:tc>
          <w:tcPr>
            <w:tcW w:w="538" w:type="dxa"/>
            <w:vMerge w:val="continue"/>
            <w:vAlign w:val="center"/>
          </w:tcPr>
          <w:p>
            <w:pPr>
              <w:adjustRightInd w:val="0"/>
              <w:snapToGrid w:val="0"/>
              <w:jc w:val="center"/>
              <w:rPr>
                <w:rFonts w:hint="eastAsia" w:ascii="宋体" w:hAnsi="宋体" w:eastAsia="宋体" w:cs="宋体"/>
                <w:b/>
                <w:color w:val="auto"/>
                <w:sz w:val="21"/>
                <w:szCs w:val="21"/>
                <w:highlight w:val="none"/>
              </w:rPr>
            </w:pPr>
          </w:p>
        </w:tc>
        <w:tc>
          <w:tcPr>
            <w:tcW w:w="987" w:type="dxa"/>
            <w:vAlign w:val="center"/>
          </w:tcPr>
          <w:p>
            <w:pPr>
              <w:snapToGri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工期</w:t>
            </w:r>
            <w:r>
              <w:rPr>
                <w:rFonts w:hint="eastAsia" w:ascii="宋体" w:hAnsi="宋体" w:eastAsia="宋体" w:cs="宋体"/>
                <w:bCs/>
                <w:color w:val="auto"/>
                <w:sz w:val="21"/>
                <w:szCs w:val="21"/>
                <w:highlight w:val="none"/>
                <w:lang w:val="en-US" w:eastAsia="zh-CN"/>
              </w:rPr>
              <w:t>及</w:t>
            </w:r>
            <w:r>
              <w:rPr>
                <w:rFonts w:hint="eastAsia" w:ascii="宋体" w:hAnsi="宋体" w:eastAsia="宋体" w:cs="宋体"/>
                <w:bCs/>
                <w:color w:val="auto"/>
                <w:sz w:val="21"/>
                <w:szCs w:val="21"/>
                <w:highlight w:val="none"/>
                <w:lang w:val="zh-CN"/>
              </w:rPr>
              <w:t>质量</w:t>
            </w:r>
            <w:r>
              <w:rPr>
                <w:rFonts w:hint="eastAsia" w:ascii="宋体" w:hAnsi="宋体" w:eastAsia="宋体" w:cs="宋体"/>
                <w:bCs/>
                <w:color w:val="auto"/>
                <w:sz w:val="21"/>
                <w:szCs w:val="21"/>
                <w:highlight w:val="none"/>
                <w:lang w:val="en-US" w:eastAsia="zh-CN"/>
              </w:rPr>
              <w:t>控制</w:t>
            </w:r>
            <w:r>
              <w:rPr>
                <w:rFonts w:hint="eastAsia" w:ascii="宋体" w:hAnsi="宋体" w:eastAsia="宋体" w:cs="宋体"/>
                <w:bCs/>
                <w:color w:val="auto"/>
                <w:sz w:val="21"/>
                <w:szCs w:val="21"/>
                <w:highlight w:val="none"/>
                <w:lang w:val="zh-CN"/>
              </w:rPr>
              <w:t>措施</w:t>
            </w:r>
          </w:p>
        </w:tc>
        <w:tc>
          <w:tcPr>
            <w:tcW w:w="550" w:type="dxa"/>
            <w:vAlign w:val="center"/>
          </w:tcPr>
          <w:p>
            <w:pPr>
              <w:autoSpaceDE w:val="0"/>
              <w:autoSpaceDN w:val="0"/>
              <w:adjustRightInd w:val="0"/>
              <w:snapToGri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4</w:t>
            </w:r>
          </w:p>
        </w:tc>
        <w:tc>
          <w:tcPr>
            <w:tcW w:w="5628" w:type="dxa"/>
            <w:vAlign w:val="center"/>
          </w:tcPr>
          <w:p>
            <w:pPr>
              <w:widowControl/>
              <w:tabs>
                <w:tab w:val="right" w:pos="2100"/>
              </w:tabs>
              <w:snapToGrid w:val="0"/>
              <w:spacing w:line="360" w:lineRule="atLeast"/>
              <w:ind w:firstLine="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一般，得</w:t>
            </w:r>
            <w:r>
              <w:rPr>
                <w:rFonts w:hint="eastAsia" w:ascii="宋体" w:hAnsi="宋体" w:eastAsia="宋体" w:cs="宋体"/>
                <w:color w:val="auto"/>
                <w:kern w:val="0"/>
                <w:sz w:val="21"/>
                <w:szCs w:val="21"/>
                <w:highlight w:val="none"/>
              </w:rPr>
              <w:t>2.4</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3.2</w:t>
            </w:r>
            <w:r>
              <w:rPr>
                <w:rFonts w:hint="eastAsia" w:ascii="宋体" w:hAnsi="宋体" w:eastAsia="宋体" w:cs="宋体"/>
                <w:color w:val="auto"/>
                <w:kern w:val="0"/>
                <w:sz w:val="21"/>
                <w:szCs w:val="21"/>
                <w:highlight w:val="none"/>
              </w:rPr>
              <w:t>分；</w:t>
            </w:r>
          </w:p>
          <w:p>
            <w:pPr>
              <w:widowControl/>
              <w:tabs>
                <w:tab w:val="right" w:pos="2100"/>
              </w:tabs>
              <w:snapToGrid w:val="0"/>
              <w:spacing w:line="340" w:lineRule="atLeast"/>
              <w:ind w:firstLine="210" w:firstLineChars="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较好，得</w:t>
            </w:r>
            <w:r>
              <w:rPr>
                <w:rFonts w:hint="eastAsia" w:ascii="宋体" w:hAnsi="宋体" w:eastAsia="宋体" w:cs="宋体"/>
                <w:color w:val="auto"/>
                <w:kern w:val="0"/>
                <w:sz w:val="21"/>
                <w:szCs w:val="21"/>
                <w:highlight w:val="none"/>
              </w:rPr>
              <w:t>3.2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4.0</w:t>
            </w:r>
            <w:r>
              <w:rPr>
                <w:rFonts w:hint="eastAsia" w:ascii="宋体" w:hAnsi="宋体" w:eastAsia="宋体" w:cs="宋体"/>
                <w:color w:val="auto"/>
                <w:kern w:val="0"/>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04" w:hRule="atLeast"/>
          <w:tblHeader/>
        </w:trPr>
        <w:tc>
          <w:tcPr>
            <w:tcW w:w="659" w:type="dxa"/>
            <w:vMerge w:val="continue"/>
            <w:vAlign w:val="center"/>
          </w:tcPr>
          <w:p>
            <w:pPr>
              <w:adjustRightInd w:val="0"/>
              <w:snapToGrid w:val="0"/>
              <w:jc w:val="center"/>
              <w:rPr>
                <w:rFonts w:hint="eastAsia" w:ascii="宋体" w:hAnsi="宋体" w:eastAsia="宋体" w:cs="宋体"/>
                <w:b/>
                <w:color w:val="auto"/>
                <w:sz w:val="21"/>
                <w:szCs w:val="21"/>
                <w:highlight w:val="none"/>
              </w:rPr>
            </w:pPr>
          </w:p>
        </w:tc>
        <w:tc>
          <w:tcPr>
            <w:tcW w:w="692" w:type="dxa"/>
            <w:gridSpan w:val="2"/>
            <w:vMerge w:val="continue"/>
            <w:vAlign w:val="center"/>
          </w:tcPr>
          <w:p>
            <w:pPr>
              <w:adjustRightInd w:val="0"/>
              <w:snapToGrid w:val="0"/>
              <w:jc w:val="center"/>
              <w:rPr>
                <w:rFonts w:hint="eastAsia" w:ascii="宋体" w:hAnsi="宋体" w:eastAsia="宋体" w:cs="宋体"/>
                <w:b/>
                <w:color w:val="auto"/>
                <w:sz w:val="21"/>
                <w:szCs w:val="21"/>
                <w:highlight w:val="none"/>
              </w:rPr>
            </w:pPr>
          </w:p>
        </w:tc>
        <w:tc>
          <w:tcPr>
            <w:tcW w:w="538" w:type="dxa"/>
            <w:vMerge w:val="continue"/>
            <w:vAlign w:val="center"/>
          </w:tcPr>
          <w:p>
            <w:pPr>
              <w:adjustRightInd w:val="0"/>
              <w:snapToGrid w:val="0"/>
              <w:jc w:val="center"/>
              <w:rPr>
                <w:rFonts w:hint="eastAsia" w:ascii="宋体" w:hAnsi="宋体" w:eastAsia="宋体" w:cs="宋体"/>
                <w:b/>
                <w:color w:val="auto"/>
                <w:sz w:val="21"/>
                <w:szCs w:val="21"/>
                <w:highlight w:val="none"/>
              </w:rPr>
            </w:pPr>
          </w:p>
        </w:tc>
        <w:tc>
          <w:tcPr>
            <w:tcW w:w="987" w:type="dxa"/>
            <w:vAlign w:val="center"/>
          </w:tcPr>
          <w:p>
            <w:pPr>
              <w:snapToGrid w:val="0"/>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售后质保能力</w:t>
            </w:r>
          </w:p>
        </w:tc>
        <w:tc>
          <w:tcPr>
            <w:tcW w:w="550" w:type="dxa"/>
            <w:vAlign w:val="center"/>
          </w:tcPr>
          <w:p>
            <w:pPr>
              <w:autoSpaceDE w:val="0"/>
              <w:autoSpaceDN w:val="0"/>
              <w:adjustRightInd w:val="0"/>
              <w:snapToGrid w:val="0"/>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5628" w:type="dxa"/>
            <w:vAlign w:val="center"/>
          </w:tcPr>
          <w:p>
            <w:pPr>
              <w:widowControl/>
              <w:tabs>
                <w:tab w:val="right" w:pos="2100"/>
              </w:tabs>
              <w:snapToGrid w:val="0"/>
              <w:spacing w:line="360" w:lineRule="atLeast"/>
              <w:ind w:firstLine="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一般，得</w:t>
            </w:r>
            <w:r>
              <w:rPr>
                <w:rFonts w:hint="eastAsia" w:ascii="宋体" w:hAnsi="宋体" w:eastAsia="宋体" w:cs="宋体"/>
                <w:color w:val="auto"/>
                <w:kern w:val="0"/>
                <w:sz w:val="21"/>
                <w:szCs w:val="21"/>
                <w:highlight w:val="none"/>
              </w:rPr>
              <w:t>2.4</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3.2</w:t>
            </w:r>
            <w:r>
              <w:rPr>
                <w:rFonts w:hint="eastAsia" w:ascii="宋体" w:hAnsi="宋体" w:eastAsia="宋体" w:cs="宋体"/>
                <w:color w:val="auto"/>
                <w:kern w:val="0"/>
                <w:sz w:val="21"/>
                <w:szCs w:val="21"/>
                <w:highlight w:val="none"/>
              </w:rPr>
              <w:t>分；</w:t>
            </w:r>
          </w:p>
          <w:p>
            <w:pPr>
              <w:widowControl/>
              <w:tabs>
                <w:tab w:val="right" w:pos="2100"/>
              </w:tabs>
              <w:snapToGrid w:val="0"/>
              <w:spacing w:line="340" w:lineRule="atLeast"/>
              <w:ind w:firstLine="210" w:firstLineChars="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较好，得</w:t>
            </w:r>
            <w:r>
              <w:rPr>
                <w:rFonts w:hint="eastAsia" w:ascii="宋体" w:hAnsi="宋体" w:eastAsia="宋体" w:cs="宋体"/>
                <w:color w:val="auto"/>
                <w:kern w:val="0"/>
                <w:sz w:val="21"/>
                <w:szCs w:val="21"/>
                <w:highlight w:val="none"/>
              </w:rPr>
              <w:t>3.2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4.0</w:t>
            </w:r>
            <w:r>
              <w:rPr>
                <w:rFonts w:hint="eastAsia" w:ascii="宋体" w:hAnsi="宋体" w:eastAsia="宋体" w:cs="宋体"/>
                <w:color w:val="auto"/>
                <w:kern w:val="0"/>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659" w:type="dxa"/>
            <w:vMerge w:val="restart"/>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92" w:type="dxa"/>
            <w:gridSpan w:val="2"/>
            <w:vMerge w:val="restart"/>
            <w:textDirection w:val="tbRlV"/>
            <w:vAlign w:val="center"/>
          </w:tcPr>
          <w:p>
            <w:pPr>
              <w:adjustRightInd w:val="0"/>
              <w:snapToGrid w:val="0"/>
              <w:ind w:left="113" w:right="113"/>
              <w:jc w:val="center"/>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主要人员</w:t>
            </w:r>
          </w:p>
        </w:tc>
        <w:tc>
          <w:tcPr>
            <w:tcW w:w="538" w:type="dxa"/>
            <w:vMerge w:val="restart"/>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987"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任职业绩</w:t>
            </w:r>
          </w:p>
        </w:tc>
        <w:tc>
          <w:tcPr>
            <w:tcW w:w="550"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5628" w:type="dxa"/>
            <w:vAlign w:val="center"/>
          </w:tcPr>
          <w:p>
            <w:pPr>
              <w:adjustRightInd w:val="0"/>
              <w:snapToGrid w:val="0"/>
              <w:spacing w:line="360" w:lineRule="auto"/>
              <w:ind w:left="210" w:left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满足最低资格要求</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adjustRightInd w:val="0"/>
              <w:snapToGrid w:val="0"/>
              <w:spacing w:line="36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在最低要求的基础上，每增加1项高速公路机电工程的项目经理(或项目副经理)任职业绩加</w:t>
            </w: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分，最多加</w:t>
            </w: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659" w:type="dxa"/>
            <w:vMerge w:val="continue"/>
            <w:vAlign w:val="center"/>
          </w:tcPr>
          <w:p>
            <w:pPr>
              <w:widowControl/>
              <w:snapToGrid w:val="0"/>
              <w:jc w:val="left"/>
              <w:rPr>
                <w:rFonts w:hint="eastAsia" w:ascii="宋体" w:hAnsi="宋体" w:eastAsia="宋体" w:cs="宋体"/>
                <w:color w:val="auto"/>
                <w:sz w:val="21"/>
                <w:szCs w:val="21"/>
                <w:highlight w:val="none"/>
              </w:rPr>
            </w:pPr>
          </w:p>
        </w:tc>
        <w:tc>
          <w:tcPr>
            <w:tcW w:w="692" w:type="dxa"/>
            <w:gridSpan w:val="2"/>
            <w:vMerge w:val="continue"/>
            <w:vAlign w:val="center"/>
          </w:tcPr>
          <w:p>
            <w:pPr>
              <w:widowControl/>
              <w:snapToGrid w:val="0"/>
              <w:jc w:val="left"/>
              <w:rPr>
                <w:rFonts w:hint="eastAsia" w:ascii="宋体" w:hAnsi="宋体" w:eastAsia="宋体" w:cs="宋体"/>
                <w:color w:val="auto"/>
                <w:sz w:val="21"/>
                <w:szCs w:val="21"/>
                <w:highlight w:val="none"/>
              </w:rPr>
            </w:pPr>
          </w:p>
        </w:tc>
        <w:tc>
          <w:tcPr>
            <w:tcW w:w="538" w:type="dxa"/>
            <w:vMerge w:val="continue"/>
            <w:vAlign w:val="center"/>
          </w:tcPr>
          <w:p>
            <w:pPr>
              <w:widowControl/>
              <w:snapToGrid w:val="0"/>
              <w:jc w:val="left"/>
              <w:rPr>
                <w:rFonts w:hint="eastAsia" w:ascii="宋体" w:hAnsi="宋体" w:eastAsia="宋体" w:cs="宋体"/>
                <w:color w:val="auto"/>
                <w:sz w:val="21"/>
                <w:szCs w:val="21"/>
                <w:highlight w:val="none"/>
              </w:rPr>
            </w:pPr>
          </w:p>
        </w:tc>
        <w:tc>
          <w:tcPr>
            <w:tcW w:w="987"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项目总工</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任职业绩</w:t>
            </w:r>
          </w:p>
        </w:tc>
        <w:tc>
          <w:tcPr>
            <w:tcW w:w="550"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628" w:type="dxa"/>
            <w:vAlign w:val="center"/>
          </w:tcPr>
          <w:p>
            <w:pPr>
              <w:adjustRightInd w:val="0"/>
              <w:snapToGrid w:val="0"/>
              <w:spacing w:line="360" w:lineRule="auto"/>
              <w:ind w:left="210" w:left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满足最低资格要求</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adjustRightInd w:val="0"/>
              <w:snapToGrid w:val="0"/>
              <w:spacing w:line="36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在最低要求的基础上，每增加1项高速公路机电工程的项目总工（或项目副总工）任职业绩加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分，最多加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50" w:hRule="atLeast"/>
        </w:trPr>
        <w:tc>
          <w:tcPr>
            <w:tcW w:w="659"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92" w:type="dxa"/>
            <w:gridSpan w:val="2"/>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w:t>
            </w:r>
          </w:p>
        </w:tc>
        <w:tc>
          <w:tcPr>
            <w:tcW w:w="538"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50分</w:t>
            </w:r>
          </w:p>
        </w:tc>
        <w:tc>
          <w:tcPr>
            <w:tcW w:w="7165" w:type="dxa"/>
            <w:gridSpan w:val="3"/>
            <w:vAlign w:val="center"/>
          </w:tcPr>
          <w:p>
            <w:pPr>
              <w:pStyle w:val="33"/>
              <w:keepNext w:val="0"/>
              <w:keepLines w:val="0"/>
              <w:pageBreakBefore w:val="0"/>
              <w:widowControl w:val="0"/>
              <w:tabs>
                <w:tab w:val="left" w:pos="914"/>
              </w:tabs>
              <w:kinsoku/>
              <w:wordWrap/>
              <w:overflowPunct/>
              <w:topLinePunct w:val="0"/>
              <w:autoSpaceDE/>
              <w:autoSpaceDN/>
              <w:bidi w:val="0"/>
              <w:adjustRightInd/>
              <w:snapToGrid w:val="0"/>
              <w:spacing w:before="0" w:line="360" w:lineRule="auto"/>
              <w:ind w:left="210" w:leftChars="10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u w:val="none"/>
              </w:rPr>
              <w:t>报价等于</w:t>
            </w:r>
            <w:r>
              <w:rPr>
                <w:rFonts w:hint="eastAsia" w:ascii="宋体" w:hAnsi="宋体" w:eastAsia="宋体" w:cs="宋体"/>
                <w:b w:val="0"/>
                <w:bCs w:val="0"/>
                <w:color w:val="auto"/>
                <w:kern w:val="0"/>
                <w:sz w:val="21"/>
                <w:szCs w:val="21"/>
                <w:highlight w:val="none"/>
                <w:u w:val="none"/>
                <w:lang w:val="en-US" w:eastAsia="zh-CN"/>
              </w:rPr>
              <w:t>评标</w:t>
            </w:r>
            <w:r>
              <w:rPr>
                <w:rFonts w:hint="eastAsia" w:ascii="宋体" w:hAnsi="宋体" w:eastAsia="宋体" w:cs="宋体"/>
                <w:b w:val="0"/>
                <w:bCs w:val="0"/>
                <w:color w:val="auto"/>
                <w:kern w:val="0"/>
                <w:sz w:val="21"/>
                <w:szCs w:val="21"/>
                <w:highlight w:val="none"/>
                <w:u w:val="none"/>
              </w:rPr>
              <w:t>基准价得满分。投标人的评标价每高于</w:t>
            </w:r>
            <w:r>
              <w:rPr>
                <w:rFonts w:hint="eastAsia" w:ascii="宋体" w:hAnsi="宋体" w:eastAsia="宋体" w:cs="宋体"/>
                <w:b w:val="0"/>
                <w:bCs w:val="0"/>
                <w:color w:val="auto"/>
                <w:kern w:val="0"/>
                <w:sz w:val="21"/>
                <w:szCs w:val="21"/>
                <w:highlight w:val="none"/>
                <w:u w:val="none"/>
                <w:lang w:val="en-US" w:eastAsia="zh-CN"/>
              </w:rPr>
              <w:t>评标基准价</w:t>
            </w:r>
            <w:r>
              <w:rPr>
                <w:rFonts w:hint="eastAsia" w:ascii="宋体" w:hAnsi="宋体" w:eastAsia="宋体" w:cs="宋体"/>
                <w:b w:val="0"/>
                <w:bCs w:val="0"/>
                <w:color w:val="auto"/>
                <w:kern w:val="0"/>
                <w:sz w:val="21"/>
                <w:szCs w:val="21"/>
                <w:highlight w:val="none"/>
                <w:u w:val="none"/>
              </w:rPr>
              <w:t>1%</w:t>
            </w:r>
            <w:r>
              <w:rPr>
                <w:rFonts w:hint="eastAsia" w:ascii="宋体" w:hAnsi="宋体" w:eastAsia="宋体" w:cs="宋体"/>
                <w:b w:val="0"/>
                <w:bCs w:val="0"/>
                <w:color w:val="auto"/>
                <w:kern w:val="0"/>
                <w:sz w:val="21"/>
                <w:szCs w:val="21"/>
                <w:highlight w:val="none"/>
                <w:u w:val="none"/>
                <w:lang w:val="en-US" w:eastAsia="zh-CN"/>
              </w:rPr>
              <w:t>，扣0.1分；</w:t>
            </w:r>
            <w:r>
              <w:rPr>
                <w:rFonts w:hint="eastAsia" w:ascii="宋体" w:hAnsi="宋体" w:eastAsia="宋体" w:cs="宋体"/>
                <w:b w:val="0"/>
                <w:bCs w:val="0"/>
                <w:color w:val="auto"/>
                <w:kern w:val="0"/>
                <w:sz w:val="21"/>
                <w:szCs w:val="21"/>
                <w:highlight w:val="none"/>
                <w:u w:val="none"/>
              </w:rPr>
              <w:t>评标价</w:t>
            </w:r>
            <w:r>
              <w:rPr>
                <w:rFonts w:hint="eastAsia" w:ascii="宋体" w:hAnsi="宋体" w:eastAsia="宋体" w:cs="宋体"/>
                <w:b w:val="0"/>
                <w:bCs w:val="0"/>
                <w:color w:val="auto"/>
                <w:kern w:val="0"/>
                <w:sz w:val="21"/>
                <w:szCs w:val="21"/>
                <w:highlight w:val="none"/>
                <w:u w:val="none"/>
                <w:lang w:val="en-US" w:eastAsia="zh-CN"/>
              </w:rPr>
              <w:t>每</w:t>
            </w:r>
            <w:r>
              <w:rPr>
                <w:rFonts w:hint="eastAsia" w:ascii="宋体" w:hAnsi="宋体" w:eastAsia="宋体" w:cs="宋体"/>
                <w:b w:val="0"/>
                <w:bCs w:val="0"/>
                <w:color w:val="auto"/>
                <w:kern w:val="0"/>
                <w:sz w:val="21"/>
                <w:szCs w:val="21"/>
                <w:highlight w:val="none"/>
                <w:u w:val="none"/>
                <w:lang w:val="en-US" w:eastAsia="zh-CN"/>
              </w:rPr>
              <w:t>低于</w:t>
            </w:r>
            <w:r>
              <w:rPr>
                <w:rFonts w:hint="eastAsia" w:ascii="宋体" w:hAnsi="宋体" w:eastAsia="宋体" w:cs="宋体"/>
                <w:b w:val="0"/>
                <w:bCs w:val="0"/>
                <w:color w:val="auto"/>
                <w:kern w:val="0"/>
                <w:sz w:val="21"/>
                <w:szCs w:val="21"/>
                <w:highlight w:val="none"/>
                <w:u w:val="none"/>
                <w:lang w:val="en-US" w:eastAsia="zh-CN"/>
              </w:rPr>
              <w:t>评标</w:t>
            </w:r>
            <w:r>
              <w:rPr>
                <w:rFonts w:hint="eastAsia" w:ascii="宋体" w:hAnsi="宋体" w:eastAsia="宋体" w:cs="宋体"/>
                <w:b w:val="0"/>
                <w:bCs w:val="0"/>
                <w:color w:val="auto"/>
                <w:kern w:val="0"/>
                <w:sz w:val="21"/>
                <w:szCs w:val="21"/>
                <w:highlight w:val="none"/>
                <w:u w:val="none"/>
              </w:rPr>
              <w:t>基准价1%，扣0.</w:t>
            </w:r>
            <w:r>
              <w:rPr>
                <w:rFonts w:hint="eastAsia" w:ascii="宋体" w:hAnsi="宋体" w:eastAsia="宋体" w:cs="宋体"/>
                <w:b w:val="0"/>
                <w:bCs w:val="0"/>
                <w:color w:val="auto"/>
                <w:kern w:val="0"/>
                <w:sz w:val="21"/>
                <w:szCs w:val="21"/>
                <w:highlight w:val="none"/>
                <w:u w:val="none"/>
                <w:lang w:val="en-US" w:eastAsia="zh-CN"/>
              </w:rPr>
              <w:t>05</w:t>
            </w:r>
            <w:r>
              <w:rPr>
                <w:rFonts w:hint="eastAsia" w:ascii="宋体" w:hAnsi="宋体" w:eastAsia="宋体" w:cs="宋体"/>
                <w:b w:val="0"/>
                <w:bCs w:val="0"/>
                <w:color w:val="auto"/>
                <w:kern w:val="0"/>
                <w:sz w:val="21"/>
                <w:szCs w:val="21"/>
                <w:highlight w:val="none"/>
                <w:u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50" w:hRule="atLeast"/>
        </w:trPr>
        <w:tc>
          <w:tcPr>
            <w:tcW w:w="659" w:type="dxa"/>
            <w:vMerge w:val="restart"/>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4</w:t>
            </w:r>
          </w:p>
          <w:p>
            <w:pPr>
              <w:widowControl/>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w:t>
            </w:r>
          </w:p>
        </w:tc>
        <w:tc>
          <w:tcPr>
            <w:tcW w:w="346" w:type="dxa"/>
            <w:vMerge w:val="restart"/>
            <w:textDirection w:val="tbRlV"/>
            <w:vAlign w:val="center"/>
          </w:tcPr>
          <w:p>
            <w:pPr>
              <w:widowControl/>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其他因素</w:t>
            </w:r>
          </w:p>
        </w:tc>
        <w:tc>
          <w:tcPr>
            <w:tcW w:w="346" w:type="dxa"/>
            <w:textDirection w:val="tbRlV"/>
            <w:vAlign w:val="center"/>
          </w:tcPr>
          <w:p>
            <w:pPr>
              <w:widowControl/>
              <w:snapToGrid w:val="0"/>
              <w:ind w:left="113" w:right="1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538" w:type="dxa"/>
            <w:vAlign w:val="center"/>
          </w:tcPr>
          <w:p>
            <w:pPr>
              <w:widowControl/>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987"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企业业绩</w:t>
            </w:r>
          </w:p>
        </w:tc>
        <w:tc>
          <w:tcPr>
            <w:tcW w:w="550"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5628" w:type="dxa"/>
            <w:vAlign w:val="center"/>
          </w:tcPr>
          <w:p>
            <w:pPr>
              <w:adjustRightInd w:val="0"/>
              <w:snapToGrid w:val="0"/>
              <w:spacing w:line="360" w:lineRule="auto"/>
              <w:ind w:left="210" w:left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满足最低资格要求得7.2分</w:t>
            </w:r>
            <w:r>
              <w:rPr>
                <w:rFonts w:hint="eastAsia" w:ascii="宋体" w:hAnsi="宋体" w:eastAsia="宋体" w:cs="宋体"/>
                <w:color w:val="auto"/>
                <w:sz w:val="21"/>
                <w:szCs w:val="21"/>
                <w:highlight w:val="none"/>
                <w:lang w:eastAsia="zh-CN"/>
              </w:rPr>
              <w:t>；</w:t>
            </w:r>
          </w:p>
          <w:p>
            <w:pPr>
              <w:adjustRightInd w:val="0"/>
              <w:snapToGrid w:val="0"/>
              <w:spacing w:line="36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自2016年1月1日后（以交工日期为准）每增加1项单项合同额1000万元以上的高速公路机电工程施工业绩，得2.4分，最多得4.8分。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695" w:hRule="atLeast"/>
        </w:trPr>
        <w:tc>
          <w:tcPr>
            <w:tcW w:w="659" w:type="dxa"/>
            <w:vMerge w:val="continue"/>
            <w:vAlign w:val="center"/>
          </w:tcPr>
          <w:p>
            <w:pPr>
              <w:snapToGrid w:val="0"/>
              <w:jc w:val="left"/>
              <w:rPr>
                <w:rFonts w:hint="eastAsia" w:ascii="宋体" w:hAnsi="宋体" w:eastAsia="宋体" w:cs="宋体"/>
                <w:color w:val="auto"/>
                <w:sz w:val="21"/>
                <w:szCs w:val="21"/>
                <w:highlight w:val="none"/>
              </w:rPr>
            </w:pPr>
          </w:p>
        </w:tc>
        <w:tc>
          <w:tcPr>
            <w:tcW w:w="346" w:type="dxa"/>
            <w:vMerge w:val="continue"/>
            <w:vAlign w:val="center"/>
          </w:tcPr>
          <w:p>
            <w:pPr>
              <w:widowControl/>
              <w:snapToGrid w:val="0"/>
              <w:ind w:left="113"/>
              <w:jc w:val="left"/>
              <w:rPr>
                <w:rFonts w:hint="eastAsia" w:ascii="宋体" w:hAnsi="宋体" w:eastAsia="宋体" w:cs="宋体"/>
                <w:color w:val="auto"/>
                <w:sz w:val="21"/>
                <w:szCs w:val="21"/>
                <w:highlight w:val="none"/>
              </w:rPr>
            </w:pPr>
          </w:p>
        </w:tc>
        <w:tc>
          <w:tcPr>
            <w:tcW w:w="346" w:type="dxa"/>
            <w:textDirection w:val="tbRlV"/>
            <w:vAlign w:val="center"/>
          </w:tcPr>
          <w:p>
            <w:pPr>
              <w:snapToGrid w:val="0"/>
              <w:ind w:left="113" w:right="1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履约信誉</w:t>
            </w:r>
          </w:p>
        </w:tc>
        <w:tc>
          <w:tcPr>
            <w:tcW w:w="538" w:type="dxa"/>
            <w:vAlign w:val="center"/>
          </w:tcPr>
          <w:p>
            <w:pPr>
              <w:widowControl/>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987"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结果</w:t>
            </w:r>
          </w:p>
        </w:tc>
        <w:tc>
          <w:tcPr>
            <w:tcW w:w="550"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628" w:type="dxa"/>
            <w:vAlign w:val="center"/>
          </w:tcPr>
          <w:p>
            <w:pPr>
              <w:adjustRightInd w:val="0"/>
              <w:snapToGrid w:val="0"/>
              <w:spacing w:line="280" w:lineRule="atLeast"/>
              <w:ind w:left="210" w:leftChars="100" w:firstLine="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1）以投标人的吉林省省级综合信用评价结果（以下简称“吉林省评价”）或全国综合信用评价结果（以下简称“全国评价”）计算其履约信誉得分。</w:t>
            </w:r>
          </w:p>
          <w:p>
            <w:pPr>
              <w:adjustRightInd w:val="0"/>
              <w:snapToGrid w:val="0"/>
              <w:spacing w:line="280" w:lineRule="atLeast"/>
              <w:ind w:left="210" w:leftChars="100" w:firstLine="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企业信用等级</w:t>
            </w:r>
            <w:r>
              <w:rPr>
                <w:rFonts w:hint="eastAsia" w:ascii="宋体" w:hAnsi="宋体" w:eastAsia="宋体" w:cs="宋体"/>
                <w:color w:val="auto"/>
                <w:sz w:val="21"/>
                <w:szCs w:val="21"/>
                <w:highlight w:val="none"/>
                <w:lang w:val="en-US" w:eastAsia="zh-CN"/>
              </w:rPr>
              <w:t>评价</w:t>
            </w:r>
            <w:r>
              <w:rPr>
                <w:rFonts w:hint="eastAsia" w:ascii="宋体" w:hAnsi="宋体" w:eastAsia="宋体" w:cs="宋体"/>
                <w:color w:val="auto"/>
                <w:sz w:val="21"/>
                <w:szCs w:val="21"/>
                <w:highlight w:val="none"/>
              </w:rPr>
              <w:t>：</w:t>
            </w:r>
          </w:p>
          <w:p>
            <w:pPr>
              <w:adjustRightInd w:val="0"/>
              <w:snapToGrid w:val="0"/>
              <w:spacing w:line="280" w:lineRule="atLeast"/>
              <w:ind w:left="210" w:leftChars="100" w:firstLine="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val="en-US" w:eastAsia="zh-CN"/>
              </w:rPr>
              <w:t>2020</w:t>
            </w:r>
            <w:r>
              <w:rPr>
                <w:rFonts w:hint="eastAsia" w:ascii="宋体" w:hAnsi="宋体" w:eastAsia="宋体" w:cs="宋体"/>
                <w:color w:val="auto"/>
                <w:sz w:val="21"/>
                <w:szCs w:val="21"/>
                <w:highlight w:val="none"/>
              </w:rPr>
              <w:t>年度吉林省评价：《关于发布2020年度公路建设市场吉林省省级综合评价结果的通告</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2021年第4号）；</w:t>
            </w:r>
          </w:p>
          <w:p>
            <w:pPr>
              <w:adjustRightInd w:val="0"/>
              <w:snapToGrid w:val="0"/>
              <w:spacing w:line="280" w:lineRule="atLeast"/>
              <w:ind w:left="210" w:leftChars="100" w:firstLine="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2019</w:t>
            </w:r>
            <w:r>
              <w:rPr>
                <w:rFonts w:hint="eastAsia" w:ascii="宋体" w:hAnsi="宋体" w:eastAsia="宋体" w:cs="宋体"/>
                <w:color w:val="auto"/>
                <w:sz w:val="21"/>
                <w:szCs w:val="21"/>
                <w:highlight w:val="none"/>
              </w:rPr>
              <w:t>年度全国评价：《交通运输部关于公布2019年度公路建设市场全国综合信用评价结果的公告》（交通运输部公告2020第75号。</w:t>
            </w:r>
          </w:p>
          <w:p>
            <w:pPr>
              <w:numPr>
                <w:ilvl w:val="0"/>
                <w:numId w:val="3"/>
              </w:numPr>
              <w:adjustRightInd w:val="0"/>
              <w:snapToGrid w:val="0"/>
              <w:spacing w:line="280" w:lineRule="atLeast"/>
              <w:ind w:left="210" w:leftChars="100" w:firstLine="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评分标准如下：</w:t>
            </w:r>
          </w:p>
          <w:p>
            <w:pPr>
              <w:pStyle w:val="2"/>
              <w:keepNext/>
              <w:keepLines/>
              <w:pageBreakBefore w:val="0"/>
              <w:widowControl w:val="0"/>
              <w:numPr>
                <w:ilvl w:val="0"/>
                <w:numId w:val="0"/>
              </w:numPr>
              <w:kinsoku/>
              <w:wordWrap/>
              <w:overflowPunct/>
              <w:topLinePunct w:val="0"/>
              <w:autoSpaceDE/>
              <w:autoSpaceDN/>
              <w:bidi w:val="0"/>
              <w:adjustRightInd/>
              <w:snapToGrid w:val="0"/>
              <w:ind w:left="210" w:leftChars="100" w:firstLine="0" w:firstLineChars="0"/>
              <w:jc w:val="both"/>
              <w:textAlignment w:val="auto"/>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两者均有的，以吉林省评价为准，两者均没有的，若无不良信用记录，按A级对待，若有不良信用记录，按C级、D级对待。</w:t>
            </w:r>
          </w:p>
          <w:p>
            <w:pPr>
              <w:pStyle w:val="2"/>
              <w:keepNext/>
              <w:keepLines/>
              <w:pageBreakBefore w:val="0"/>
              <w:widowControl w:val="0"/>
              <w:numPr>
                <w:ilvl w:val="0"/>
                <w:numId w:val="0"/>
              </w:numPr>
              <w:kinsoku/>
              <w:wordWrap/>
              <w:overflowPunct/>
              <w:topLinePunct w:val="0"/>
              <w:autoSpaceDE/>
              <w:autoSpaceDN/>
              <w:bidi w:val="0"/>
              <w:adjustRightInd/>
              <w:snapToGrid w:val="0"/>
              <w:ind w:left="210" w:leftChars="100" w:firstLine="0" w:firstLineChars="0"/>
              <w:jc w:val="both"/>
              <w:textAlignment w:val="auto"/>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AA级、A级得5分，</w:t>
            </w:r>
          </w:p>
          <w:p>
            <w:pPr>
              <w:pStyle w:val="2"/>
              <w:keepNext/>
              <w:keepLines/>
              <w:pageBreakBefore w:val="0"/>
              <w:widowControl w:val="0"/>
              <w:numPr>
                <w:ilvl w:val="0"/>
                <w:numId w:val="0"/>
              </w:numPr>
              <w:kinsoku/>
              <w:wordWrap/>
              <w:overflowPunct/>
              <w:topLinePunct w:val="0"/>
              <w:autoSpaceDE/>
              <w:autoSpaceDN/>
              <w:bidi w:val="0"/>
              <w:adjustRightInd/>
              <w:snapToGrid w:val="0"/>
              <w:ind w:left="210" w:leftChars="100" w:firstLine="0" w:firstLineChars="0"/>
              <w:jc w:val="both"/>
              <w:textAlignment w:val="auto"/>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B级得3分，</w:t>
            </w:r>
          </w:p>
          <w:p>
            <w:pPr>
              <w:pStyle w:val="2"/>
              <w:keepNext/>
              <w:keepLines/>
              <w:pageBreakBefore w:val="0"/>
              <w:widowControl w:val="0"/>
              <w:numPr>
                <w:ilvl w:val="0"/>
                <w:numId w:val="0"/>
              </w:numPr>
              <w:kinsoku/>
              <w:wordWrap/>
              <w:overflowPunct/>
              <w:topLinePunct w:val="0"/>
              <w:autoSpaceDE/>
              <w:autoSpaceDN/>
              <w:bidi w:val="0"/>
              <w:adjustRightInd/>
              <w:snapToGrid w:val="0"/>
              <w:ind w:left="210" w:leftChars="100" w:firstLine="0" w:firstLineChars="0"/>
              <w:jc w:val="both"/>
              <w:textAlignment w:val="auto"/>
              <w:outlineLvl w:val="1"/>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C级、D级不得分</w:t>
            </w:r>
          </w:p>
        </w:tc>
      </w:tr>
    </w:tbl>
    <w:p>
      <w:pPr>
        <w:widowControl/>
        <w:jc w:val="left"/>
        <w:rPr>
          <w:rFonts w:hint="eastAsia" w:ascii="宋体" w:hAnsi="宋体" w:eastAsia="宋体" w:cs="宋体"/>
          <w:b w:val="0"/>
          <w:bCs w:val="0"/>
          <w:kern w:val="44"/>
          <w:sz w:val="21"/>
          <w:szCs w:val="21"/>
        </w:rPr>
      </w:pPr>
      <w:r>
        <w:rPr>
          <w:rFonts w:hint="eastAsia" w:ascii="宋体" w:hAnsi="宋体" w:eastAsia="宋体" w:cs="宋体"/>
          <w:b w:val="0"/>
          <w:bCs w:val="0"/>
          <w:sz w:val="21"/>
          <w:szCs w:val="21"/>
          <w:highlight w:val="none"/>
          <w:lang w:val="en-US" w:eastAsia="zh-CN"/>
        </w:rPr>
        <w:t>6.</w:t>
      </w:r>
      <w:r>
        <w:rPr>
          <w:rFonts w:hint="eastAsia" w:ascii="宋体" w:hAnsi="宋体" w:eastAsia="宋体" w:cs="宋体"/>
          <w:b w:val="0"/>
          <w:bCs w:val="0"/>
          <w:kern w:val="44"/>
          <w:sz w:val="21"/>
          <w:szCs w:val="21"/>
        </w:rPr>
        <w:t>公开时间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44"/>
          <w:sz w:val="21"/>
          <w:szCs w:val="21"/>
        </w:rPr>
        <w:t>本次</w:t>
      </w:r>
      <w:r>
        <w:rPr>
          <w:rFonts w:hint="eastAsia" w:ascii="宋体" w:hAnsi="宋体" w:eastAsia="宋体" w:cs="宋体"/>
          <w:b w:val="0"/>
          <w:bCs w:val="0"/>
          <w:kern w:val="44"/>
          <w:sz w:val="21"/>
          <w:szCs w:val="21"/>
          <w:lang w:val="en-US" w:eastAsia="zh-CN"/>
        </w:rPr>
        <w:t>招标</w:t>
      </w:r>
      <w:r>
        <w:rPr>
          <w:rFonts w:hint="eastAsia" w:ascii="宋体" w:hAnsi="宋体" w:eastAsia="宋体" w:cs="宋体"/>
          <w:b w:val="0"/>
          <w:bCs w:val="0"/>
          <w:kern w:val="44"/>
          <w:sz w:val="21"/>
          <w:szCs w:val="21"/>
        </w:rPr>
        <w:t>文件关键内容信息公开时间至</w:t>
      </w:r>
      <w:r>
        <w:rPr>
          <w:rFonts w:hint="eastAsia" w:ascii="宋体" w:hAnsi="宋体" w:eastAsia="宋体" w:cs="宋体"/>
          <w:b w:val="0"/>
          <w:bCs w:val="0"/>
          <w:kern w:val="44"/>
          <w:sz w:val="21"/>
          <w:szCs w:val="21"/>
          <w:lang w:val="en-US" w:eastAsia="zh-CN"/>
        </w:rPr>
        <w:t>2021</w:t>
      </w:r>
      <w:r>
        <w:rPr>
          <w:rFonts w:hint="eastAsia" w:ascii="宋体" w:hAnsi="宋体" w:eastAsia="宋体" w:cs="宋体"/>
          <w:b w:val="0"/>
          <w:bCs w:val="0"/>
          <w:kern w:val="44"/>
          <w:sz w:val="21"/>
          <w:szCs w:val="21"/>
        </w:rPr>
        <w:t>年</w:t>
      </w:r>
      <w:r>
        <w:rPr>
          <w:rFonts w:hint="eastAsia" w:ascii="宋体" w:hAnsi="宋体" w:eastAsia="宋体" w:cs="宋体"/>
          <w:b w:val="0"/>
          <w:bCs w:val="0"/>
          <w:kern w:val="44"/>
          <w:sz w:val="21"/>
          <w:szCs w:val="21"/>
          <w:lang w:val="en-US" w:eastAsia="zh-CN"/>
        </w:rPr>
        <w:t>4</w:t>
      </w:r>
      <w:r>
        <w:rPr>
          <w:rFonts w:hint="eastAsia" w:ascii="宋体" w:hAnsi="宋体" w:eastAsia="宋体" w:cs="宋体"/>
          <w:b w:val="0"/>
          <w:bCs w:val="0"/>
          <w:kern w:val="44"/>
          <w:sz w:val="21"/>
          <w:szCs w:val="21"/>
        </w:rPr>
        <w:t>月</w:t>
      </w:r>
      <w:r>
        <w:rPr>
          <w:rFonts w:hint="eastAsia" w:ascii="宋体" w:hAnsi="宋体" w:eastAsia="宋体" w:cs="宋体"/>
          <w:b w:val="0"/>
          <w:bCs w:val="0"/>
          <w:kern w:val="44"/>
          <w:sz w:val="21"/>
          <w:szCs w:val="21"/>
          <w:lang w:val="en-US" w:eastAsia="zh-CN"/>
        </w:rPr>
        <w:t>30</w:t>
      </w:r>
      <w:r>
        <w:rPr>
          <w:rFonts w:hint="eastAsia" w:ascii="宋体" w:hAnsi="宋体" w:eastAsia="宋体" w:cs="宋体"/>
          <w:b w:val="0"/>
          <w:bCs w:val="0"/>
          <w:kern w:val="44"/>
          <w:sz w:val="21"/>
          <w:szCs w:val="21"/>
        </w:rPr>
        <w:t>日24时00分结束</w:t>
      </w:r>
    </w:p>
    <w:p>
      <w:pPr>
        <w:pageBreakBefore w:val="0"/>
        <w:numPr>
          <w:ilvl w:val="0"/>
          <w:numId w:val="0"/>
        </w:numPr>
        <w:kinsoku/>
        <w:wordWrap/>
        <w:overflowPunct/>
        <w:topLinePunct w:val="0"/>
        <w:bidi w:val="0"/>
        <w:snapToGrid w:val="0"/>
        <w:spacing w:line="360" w:lineRule="exac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rPr>
        <w:t>联系方式</w:t>
      </w:r>
    </w:p>
    <w:p>
      <w:pPr>
        <w:pageBreakBefore w:val="0"/>
        <w:numPr>
          <w:ilvl w:val="0"/>
          <w:numId w:val="0"/>
        </w:numPr>
        <w:kinsoku/>
        <w:wordWrap/>
        <w:overflowPunct/>
        <w:topLinePunct w:val="0"/>
        <w:bidi w:val="0"/>
        <w:snapToGrid w:val="0"/>
        <w:spacing w:line="3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 标 人：吉林省高速公路集团有限公司</w:t>
      </w:r>
    </w:p>
    <w:p>
      <w:pPr>
        <w:pageBreakBefore w:val="0"/>
        <w:numPr>
          <w:ilvl w:val="0"/>
          <w:numId w:val="0"/>
        </w:numPr>
        <w:kinsoku/>
        <w:wordWrap/>
        <w:overflowPunct/>
        <w:topLinePunct w:val="0"/>
        <w:bidi w:val="0"/>
        <w:snapToGrid w:val="0"/>
        <w:spacing w:line="3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地　　址：吉林省长春市南关区人民大街11511号</w:t>
      </w:r>
    </w:p>
    <w:p>
      <w:pPr>
        <w:pageBreakBefore w:val="0"/>
        <w:numPr>
          <w:ilvl w:val="0"/>
          <w:numId w:val="0"/>
        </w:numPr>
        <w:kinsoku/>
        <w:wordWrap/>
        <w:overflowPunct/>
        <w:topLinePunct w:val="0"/>
        <w:bidi w:val="0"/>
        <w:snapToGrid w:val="0"/>
        <w:spacing w:line="3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邮政编码：130028</w:t>
      </w:r>
    </w:p>
    <w:p>
      <w:pPr>
        <w:pageBreakBefore w:val="0"/>
        <w:numPr>
          <w:ilvl w:val="0"/>
          <w:numId w:val="0"/>
        </w:numPr>
        <w:kinsoku/>
        <w:wordWrap/>
        <w:overflowPunct/>
        <w:topLinePunct w:val="0"/>
        <w:bidi w:val="0"/>
        <w:snapToGrid w:val="0"/>
        <w:spacing w:line="3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联 系 人：于忠宏</w:t>
      </w:r>
    </w:p>
    <w:p>
      <w:pPr>
        <w:pageBreakBefore w:val="0"/>
        <w:numPr>
          <w:ilvl w:val="0"/>
          <w:numId w:val="0"/>
        </w:numPr>
        <w:kinsoku/>
        <w:wordWrap/>
        <w:overflowPunct/>
        <w:topLinePunct w:val="0"/>
        <w:bidi w:val="0"/>
        <w:snapToGrid w:val="0"/>
        <w:spacing w:line="3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电    话：0431-85254020</w:t>
      </w:r>
    </w:p>
    <w:p>
      <w:pPr>
        <w:pageBreakBefore w:val="0"/>
        <w:numPr>
          <w:ilvl w:val="0"/>
          <w:numId w:val="0"/>
        </w:numPr>
        <w:kinsoku/>
        <w:wordWrap/>
        <w:overflowPunct/>
        <w:topLinePunct w:val="0"/>
        <w:bidi w:val="0"/>
        <w:snapToGrid w:val="0"/>
        <w:spacing w:line="3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招标代理机构：国信招标集团股份有限公司</w:t>
      </w:r>
    </w:p>
    <w:p>
      <w:pPr>
        <w:pageBreakBefore w:val="0"/>
        <w:numPr>
          <w:ilvl w:val="0"/>
          <w:numId w:val="0"/>
        </w:numPr>
        <w:kinsoku/>
        <w:wordWrap/>
        <w:overflowPunct/>
        <w:topLinePunct w:val="0"/>
        <w:bidi w:val="0"/>
        <w:snapToGrid w:val="0"/>
        <w:spacing w:line="3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执行机构：国信招标集团股份有限公司吉林省分公司</w:t>
      </w:r>
    </w:p>
    <w:p>
      <w:pPr>
        <w:pageBreakBefore w:val="0"/>
        <w:numPr>
          <w:ilvl w:val="0"/>
          <w:numId w:val="0"/>
        </w:numPr>
        <w:kinsoku/>
        <w:wordWrap/>
        <w:overflowPunct/>
        <w:topLinePunct w:val="0"/>
        <w:bidi w:val="0"/>
        <w:snapToGrid w:val="0"/>
        <w:spacing w:line="3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地址：长春市净月旅游开发区生态大街3777号明宇广场A4栋32层招标部</w:t>
      </w:r>
    </w:p>
    <w:p>
      <w:pPr>
        <w:pageBreakBefore w:val="0"/>
        <w:numPr>
          <w:ilvl w:val="0"/>
          <w:numId w:val="0"/>
        </w:numPr>
        <w:kinsoku/>
        <w:wordWrap/>
        <w:overflowPunct/>
        <w:topLinePunct w:val="0"/>
        <w:bidi w:val="0"/>
        <w:snapToGrid w:val="0"/>
        <w:spacing w:line="3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联系人：张娉婷、王建</w:t>
      </w:r>
    </w:p>
    <w:p>
      <w:pPr>
        <w:pageBreakBefore w:val="0"/>
        <w:numPr>
          <w:ilvl w:val="0"/>
          <w:numId w:val="0"/>
        </w:numPr>
        <w:kinsoku/>
        <w:wordWrap/>
        <w:overflowPunct/>
        <w:topLinePunct w:val="0"/>
        <w:bidi w:val="0"/>
        <w:snapToGrid w:val="0"/>
        <w:spacing w:line="3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电话：0431-81852896</w:t>
      </w:r>
    </w:p>
    <w:p>
      <w:pPr>
        <w:pageBreakBefore w:val="0"/>
        <w:numPr>
          <w:ilvl w:val="0"/>
          <w:numId w:val="0"/>
        </w:numPr>
        <w:kinsoku/>
        <w:wordWrap/>
        <w:overflowPunct/>
        <w:topLinePunct w:val="0"/>
        <w:bidi w:val="0"/>
        <w:snapToGrid w:val="0"/>
        <w:spacing w:line="360" w:lineRule="exact"/>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color w:val="auto"/>
          <w:sz w:val="21"/>
          <w:szCs w:val="21"/>
          <w:highlight w:val="none"/>
        </w:rPr>
        <w:t>邮箱：2232574732@qq.com</w:t>
      </w:r>
    </w:p>
    <w:p>
      <w:pPr>
        <w:pageBreakBefore w:val="0"/>
        <w:numPr>
          <w:ilvl w:val="0"/>
          <w:numId w:val="0"/>
        </w:numPr>
        <w:kinsoku/>
        <w:wordWrap/>
        <w:overflowPunct/>
        <w:topLinePunct w:val="0"/>
        <w:bidi w:val="0"/>
        <w:snapToGrid w:val="0"/>
        <w:spacing w:line="360" w:lineRule="exact"/>
        <w:rPr>
          <w:rFonts w:hint="eastAsia" w:ascii="宋体" w:hAnsi="宋体" w:eastAsia="宋体" w:cs="宋体"/>
          <w:b w:val="0"/>
          <w:bCs w:val="0"/>
          <w:sz w:val="21"/>
          <w:szCs w:val="21"/>
          <w:highlight w:val="none"/>
        </w:rPr>
      </w:pPr>
    </w:p>
    <w:p>
      <w:pPr>
        <w:pageBreakBefore w:val="0"/>
        <w:kinsoku/>
        <w:wordWrap/>
        <w:overflowPunct/>
        <w:topLinePunct w:val="0"/>
        <w:bidi w:val="0"/>
        <w:snapToGrid w:val="0"/>
        <w:spacing w:line="360" w:lineRule="exact"/>
        <w:jc w:val="right"/>
        <w:rPr>
          <w:rFonts w:hint="eastAsia" w:ascii="宋体" w:hAnsi="宋体" w:eastAsia="宋体" w:cs="宋体"/>
          <w:b w:val="0"/>
          <w:bCs w:val="0"/>
          <w:sz w:val="21"/>
          <w:szCs w:val="21"/>
          <w:highlight w:val="none"/>
        </w:rPr>
      </w:pPr>
    </w:p>
    <w:p>
      <w:pPr>
        <w:pageBreakBefore w:val="0"/>
        <w:kinsoku/>
        <w:wordWrap/>
        <w:overflowPunct/>
        <w:topLinePunct w:val="0"/>
        <w:bidi w:val="0"/>
        <w:snapToGrid w:val="0"/>
        <w:spacing w:line="360" w:lineRule="exact"/>
        <w:jc w:val="right"/>
        <w:rPr>
          <w:rFonts w:hint="eastAsia" w:ascii="宋体" w:hAnsi="宋体" w:eastAsia="宋体" w:cs="宋体"/>
          <w:b w:val="0"/>
          <w:bCs w:val="0"/>
          <w:sz w:val="21"/>
          <w:szCs w:val="21"/>
          <w:highlight w:val="none"/>
        </w:rPr>
      </w:pPr>
    </w:p>
    <w:bookmarkEnd w:id="0"/>
    <w:bookmarkEnd w:id="1"/>
    <w:p>
      <w:pPr>
        <w:pageBreakBefore w:val="0"/>
        <w:kinsoku/>
        <w:wordWrap/>
        <w:overflowPunct/>
        <w:topLinePunct w:val="0"/>
        <w:bidi w:val="0"/>
        <w:snapToGrid w:val="0"/>
        <w:spacing w:line="360" w:lineRule="exact"/>
        <w:jc w:val="right"/>
        <w:rPr>
          <w:rFonts w:hint="eastAsia" w:ascii="宋体" w:hAnsi="宋体" w:eastAsia="宋体" w:cs="宋体"/>
          <w:b w:val="0"/>
          <w:bCs w:val="0"/>
          <w:sz w:val="21"/>
          <w:szCs w:val="21"/>
          <w:highlight w:val="none"/>
        </w:rPr>
      </w:pPr>
    </w:p>
    <w:sectPr>
      <w:footnotePr>
        <w:numFmt w:val="decimalEnclosedCircleChinese"/>
        <w:numRestart w:val="eachPage"/>
      </w:footnote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Miriam Mono CLM"/>
    <w:panose1 w:val="02040503050406030204"/>
    <w:charset w:val="00"/>
    <w:family w:val="roman"/>
    <w:pitch w:val="default"/>
    <w:sig w:usb0="00000000" w:usb1="00000000" w:usb2="00000000" w:usb3="00000000" w:csb0="2000019F" w:csb1="00000000"/>
  </w:font>
  <w:font w:name="Arial Rounded MT Bold">
    <w:panose1 w:val="020F0704030504030204"/>
    <w:charset w:val="00"/>
    <w:family w:val="auto"/>
    <w:pitch w:val="default"/>
    <w:sig w:usb0="00000003" w:usb1="00000000" w:usb2="00000000" w:usb3="00000000" w:csb0="20000001" w:csb1="00000000"/>
  </w:font>
  <w:font w:name="Miriam Mono CLM">
    <w:panose1 w:val="02000503000000000000"/>
    <w:charset w:val="00"/>
    <w:family w:val="auto"/>
    <w:pitch w:val="default"/>
    <w:sig w:usb0="80000803" w:usb1="50002802" w:usb2="00000000" w:usb3="00000000" w:csb0="00000020" w:csb1="00000000"/>
  </w:font>
  <w:font w:name="MS Sans Serif">
    <w:altName w:val="Aria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1"/>
      </w:pPr>
      <w:r>
        <w:rPr>
          <w:rStyle w:val="19"/>
        </w:rPr>
        <w:footnoteRef/>
      </w:r>
      <w:r>
        <w:rPr>
          <w:rFonts w:hint="eastAsia"/>
          <w:b/>
          <w:lang w:val="en-US"/>
        </w:rPr>
        <w:t>本表中投标人自有人员</w:t>
      </w:r>
      <w:r>
        <w:rPr>
          <w:rFonts w:hint="eastAsia"/>
          <w:lang w:val="en-US"/>
        </w:rPr>
        <w:t>指投标人为其缴纳社会保险（指养老保险）的人员，</w:t>
      </w:r>
      <w:r>
        <w:rPr>
          <w:lang w:val="en-US"/>
        </w:rPr>
        <w:t>参保截止日期应在申请截止时间前3个月内</w:t>
      </w:r>
      <w:r>
        <w:rPr>
          <w:rFonts w:hint="eastAsia"/>
          <w:lang w:val="en-US"/>
        </w:rPr>
        <w:t>。</w:t>
      </w:r>
    </w:p>
  </w:footnote>
  <w:footnote w:id="1">
    <w:p>
      <w:pPr>
        <w:pStyle w:val="11"/>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A5A81"/>
    <w:multiLevelType w:val="singleLevel"/>
    <w:tmpl w:val="C94A5A81"/>
    <w:lvl w:ilvl="0" w:tentative="0">
      <w:start w:val="3"/>
      <w:numFmt w:val="decimal"/>
      <w:suff w:val="nothing"/>
      <w:lvlText w:val="%1）"/>
      <w:lvlJc w:val="left"/>
    </w:lvl>
  </w:abstractNum>
  <w:abstractNum w:abstractNumId="1">
    <w:nsid w:val="34A26185"/>
    <w:multiLevelType w:val="multilevel"/>
    <w:tmpl w:val="34A2618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D050ADF"/>
    <w:multiLevelType w:val="multilevel"/>
    <w:tmpl w:val="7D050ADF"/>
    <w:lvl w:ilvl="0" w:tentative="0">
      <w:start w:val="1"/>
      <w:numFmt w:val="decimal"/>
      <w:suff w:val="nothing"/>
      <w:lvlText w:val="（%1）"/>
      <w:lvlJc w:val="left"/>
      <w:pPr>
        <w:ind w:left="142"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976577"/>
    <w:rsid w:val="0005335B"/>
    <w:rsid w:val="001B2F15"/>
    <w:rsid w:val="001E7FD4"/>
    <w:rsid w:val="0021703D"/>
    <w:rsid w:val="002252DC"/>
    <w:rsid w:val="00231F0D"/>
    <w:rsid w:val="00233745"/>
    <w:rsid w:val="00282745"/>
    <w:rsid w:val="002B7B92"/>
    <w:rsid w:val="002D768F"/>
    <w:rsid w:val="002E465D"/>
    <w:rsid w:val="003B019A"/>
    <w:rsid w:val="004C5613"/>
    <w:rsid w:val="004F05E3"/>
    <w:rsid w:val="00502E88"/>
    <w:rsid w:val="00532828"/>
    <w:rsid w:val="005514D3"/>
    <w:rsid w:val="005972CD"/>
    <w:rsid w:val="005B2A43"/>
    <w:rsid w:val="005C21E4"/>
    <w:rsid w:val="005D37F2"/>
    <w:rsid w:val="00641857"/>
    <w:rsid w:val="006C38E4"/>
    <w:rsid w:val="007118D4"/>
    <w:rsid w:val="00791974"/>
    <w:rsid w:val="00812F23"/>
    <w:rsid w:val="00861859"/>
    <w:rsid w:val="00871362"/>
    <w:rsid w:val="008746CD"/>
    <w:rsid w:val="00916D20"/>
    <w:rsid w:val="00923518"/>
    <w:rsid w:val="00976577"/>
    <w:rsid w:val="009C3EDE"/>
    <w:rsid w:val="009E021E"/>
    <w:rsid w:val="00A7342F"/>
    <w:rsid w:val="00A806E0"/>
    <w:rsid w:val="00AE752B"/>
    <w:rsid w:val="00B06859"/>
    <w:rsid w:val="00B608ED"/>
    <w:rsid w:val="00B834AC"/>
    <w:rsid w:val="00B94549"/>
    <w:rsid w:val="00BD06B8"/>
    <w:rsid w:val="00BE0A41"/>
    <w:rsid w:val="00C55B37"/>
    <w:rsid w:val="00D94845"/>
    <w:rsid w:val="00E2099B"/>
    <w:rsid w:val="00E34D0C"/>
    <w:rsid w:val="00E87CC6"/>
    <w:rsid w:val="00EE2448"/>
    <w:rsid w:val="00F66AB9"/>
    <w:rsid w:val="0BAD6041"/>
    <w:rsid w:val="0E4E4614"/>
    <w:rsid w:val="17BD58E8"/>
    <w:rsid w:val="234D3A9E"/>
    <w:rsid w:val="255E1D76"/>
    <w:rsid w:val="2A412370"/>
    <w:rsid w:val="2ADD1B61"/>
    <w:rsid w:val="2B2D3677"/>
    <w:rsid w:val="2B7F4518"/>
    <w:rsid w:val="2D507A58"/>
    <w:rsid w:val="2E3013F8"/>
    <w:rsid w:val="365B52C2"/>
    <w:rsid w:val="36FB4B70"/>
    <w:rsid w:val="39B75D73"/>
    <w:rsid w:val="3A9245FF"/>
    <w:rsid w:val="465D2588"/>
    <w:rsid w:val="4867249E"/>
    <w:rsid w:val="4A55428B"/>
    <w:rsid w:val="4CDA1B40"/>
    <w:rsid w:val="50A20A2A"/>
    <w:rsid w:val="56C90FDE"/>
    <w:rsid w:val="5E006468"/>
    <w:rsid w:val="6A685578"/>
    <w:rsid w:val="72384C87"/>
    <w:rsid w:val="7B324843"/>
    <w:rsid w:val="7D561B59"/>
    <w:rsid w:val="7F5A6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rFonts w:ascii="Calibri" w:hAnsi="Calibri"/>
      <w:b/>
      <w:bCs/>
      <w:kern w:val="44"/>
      <w:sz w:val="44"/>
      <w:szCs w:val="44"/>
    </w:rPr>
  </w:style>
  <w:style w:type="paragraph" w:styleId="2">
    <w:name w:val="heading 2"/>
    <w:basedOn w:val="1"/>
    <w:next w:val="3"/>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qFormat/>
    <w:uiPriority w:val="99"/>
    <w:pPr>
      <w:keepNext/>
      <w:keepLines/>
      <w:spacing w:before="260" w:after="260" w:line="416" w:lineRule="auto"/>
      <w:outlineLvl w:val="2"/>
    </w:pPr>
    <w:rPr>
      <w:rFonts w:ascii="Calibri" w:hAnsi="Calibri"/>
      <w:b/>
      <w:bCs/>
      <w:kern w:val="0"/>
      <w:sz w:val="32"/>
      <w:szCs w:val="32"/>
    </w:rPr>
  </w:style>
  <w:style w:type="paragraph" w:styleId="6">
    <w:name w:val="heading 4"/>
    <w:basedOn w:val="1"/>
    <w:next w:val="1"/>
    <w:link w:val="2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7">
    <w:name w:val="annotation text"/>
    <w:basedOn w:val="1"/>
    <w:link w:val="30"/>
    <w:qFormat/>
    <w:uiPriority w:val="0"/>
    <w:pPr>
      <w:jc w:val="left"/>
    </w:pPr>
    <w:rPr>
      <w:rFonts w:ascii="Calibri" w:hAnsi="Calibri"/>
      <w:szCs w:val="22"/>
    </w:rPr>
  </w:style>
  <w:style w:type="paragraph" w:styleId="8">
    <w:name w:val="Balloon Text"/>
    <w:basedOn w:val="1"/>
    <w:link w:val="24"/>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1"/>
    <w:unhideWhenUsed/>
    <w:qFormat/>
    <w:uiPriority w:val="0"/>
    <w:pPr>
      <w:snapToGrid w:val="0"/>
      <w:jc w:val="left"/>
    </w:pPr>
    <w:rPr>
      <w:rFonts w:ascii="Calibri" w:hAnsi="Calibri"/>
      <w:kern w:val="0"/>
      <w:sz w:val="18"/>
      <w:szCs w:val="18"/>
    </w:rPr>
  </w:style>
  <w:style w:type="paragraph" w:styleId="12">
    <w:name w:val="Body Text Indent 3"/>
    <w:basedOn w:val="1"/>
    <w:link w:val="20"/>
    <w:qFormat/>
    <w:uiPriority w:val="0"/>
    <w:pPr>
      <w:spacing w:after="120"/>
      <w:ind w:left="420" w:leftChars="200"/>
    </w:pPr>
    <w:rPr>
      <w:sz w:val="16"/>
      <w:szCs w:val="16"/>
    </w:rPr>
  </w:style>
  <w:style w:type="paragraph" w:styleId="13">
    <w:name w:val="Normal (Web)"/>
    <w:basedOn w:val="1"/>
    <w:unhideWhenUsed/>
    <w:qFormat/>
    <w:uiPriority w:val="0"/>
    <w:pPr>
      <w:widowControl/>
      <w:spacing w:before="100" w:beforeAutospacing="1" w:after="100" w:afterAutospacing="1" w:line="320" w:lineRule="atLeast"/>
      <w:jc w:val="left"/>
    </w:pPr>
    <w:rPr>
      <w:rFonts w:ascii="宋体" w:hAnsi="宋体"/>
      <w:kern w:val="0"/>
      <w:sz w:val="18"/>
      <w:szCs w:val="18"/>
    </w:rPr>
  </w:style>
  <w:style w:type="paragraph" w:styleId="14">
    <w:name w:val="Title"/>
    <w:basedOn w:val="1"/>
    <w:next w:val="1"/>
    <w:link w:val="23"/>
    <w:qFormat/>
    <w:uiPriority w:val="0"/>
    <w:pPr>
      <w:spacing w:before="240" w:after="60"/>
      <w:jc w:val="center"/>
      <w:outlineLvl w:val="0"/>
    </w:pPr>
    <w:rPr>
      <w:rFonts w:ascii="Cambria" w:hAnsi="Cambria"/>
      <w:b/>
      <w:bCs/>
      <w:sz w:val="32"/>
      <w:szCs w:val="32"/>
    </w:rPr>
  </w:style>
  <w:style w:type="table" w:styleId="16">
    <w:name w:val="Table Grid"/>
    <w:basedOn w:val="1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unhideWhenUsed/>
    <w:qFormat/>
    <w:uiPriority w:val="99"/>
    <w:rPr>
      <w:color w:val="0000FF"/>
      <w:u w:val="single"/>
    </w:rPr>
  </w:style>
  <w:style w:type="character" w:styleId="19">
    <w:name w:val="footnote reference"/>
    <w:qFormat/>
    <w:uiPriority w:val="0"/>
    <w:rPr>
      <w:vertAlign w:val="superscript"/>
    </w:rPr>
  </w:style>
  <w:style w:type="character" w:customStyle="1" w:styleId="20">
    <w:name w:val="正文文本缩进 3 Char"/>
    <w:basedOn w:val="17"/>
    <w:link w:val="12"/>
    <w:qFormat/>
    <w:uiPriority w:val="0"/>
    <w:rPr>
      <w:rFonts w:ascii="Times New Roman" w:hAnsi="Times New Roman" w:eastAsia="宋体" w:cs="Times New Roman"/>
      <w:sz w:val="16"/>
      <w:szCs w:val="16"/>
    </w:rPr>
  </w:style>
  <w:style w:type="character" w:customStyle="1" w:styleId="21">
    <w:name w:val="脚注文本 Char"/>
    <w:basedOn w:val="17"/>
    <w:link w:val="11"/>
    <w:qFormat/>
    <w:uiPriority w:val="0"/>
    <w:rPr>
      <w:rFonts w:ascii="Calibri" w:hAnsi="Calibri" w:eastAsia="宋体" w:cs="Times New Roman"/>
      <w:kern w:val="0"/>
      <w:sz w:val="18"/>
      <w:szCs w:val="18"/>
    </w:rPr>
  </w:style>
  <w:style w:type="character" w:customStyle="1" w:styleId="22">
    <w:name w:val="页眉 Char"/>
    <w:basedOn w:val="17"/>
    <w:link w:val="10"/>
    <w:qFormat/>
    <w:uiPriority w:val="99"/>
    <w:rPr>
      <w:rFonts w:ascii="Times New Roman" w:hAnsi="Times New Roman" w:eastAsia="宋体" w:cs="Times New Roman"/>
      <w:sz w:val="18"/>
      <w:szCs w:val="18"/>
    </w:rPr>
  </w:style>
  <w:style w:type="character" w:customStyle="1" w:styleId="23">
    <w:name w:val="标题 Char"/>
    <w:basedOn w:val="17"/>
    <w:link w:val="14"/>
    <w:qFormat/>
    <w:uiPriority w:val="0"/>
    <w:rPr>
      <w:rFonts w:ascii="Cambria" w:hAnsi="Cambria" w:eastAsia="宋体" w:cs="Times New Roman"/>
      <w:b/>
      <w:bCs/>
      <w:sz w:val="32"/>
      <w:szCs w:val="32"/>
    </w:rPr>
  </w:style>
  <w:style w:type="character" w:customStyle="1" w:styleId="24">
    <w:name w:val="批注框文本 Char"/>
    <w:basedOn w:val="17"/>
    <w:link w:val="8"/>
    <w:semiHidden/>
    <w:qFormat/>
    <w:uiPriority w:val="99"/>
    <w:rPr>
      <w:rFonts w:ascii="Times New Roman" w:hAnsi="Times New Roman" w:eastAsia="宋体" w:cs="Times New Roman"/>
      <w:sz w:val="18"/>
      <w:szCs w:val="18"/>
    </w:rPr>
  </w:style>
  <w:style w:type="character" w:customStyle="1" w:styleId="25">
    <w:name w:val="页脚 Char"/>
    <w:basedOn w:val="17"/>
    <w:link w:val="9"/>
    <w:qFormat/>
    <w:uiPriority w:val="99"/>
    <w:rPr>
      <w:rFonts w:ascii="Times New Roman" w:hAnsi="Times New Roman" w:eastAsia="宋体" w:cs="Times New Roman"/>
      <w:sz w:val="18"/>
      <w:szCs w:val="18"/>
    </w:rPr>
  </w:style>
  <w:style w:type="character" w:customStyle="1" w:styleId="26">
    <w:name w:val="标题 1 Char"/>
    <w:basedOn w:val="17"/>
    <w:link w:val="4"/>
    <w:qFormat/>
    <w:uiPriority w:val="9"/>
    <w:rPr>
      <w:rFonts w:ascii="Calibri" w:hAnsi="Calibri" w:eastAsia="宋体" w:cs="Times New Roman"/>
      <w:b/>
      <w:bCs/>
      <w:kern w:val="44"/>
      <w:sz w:val="44"/>
      <w:szCs w:val="44"/>
    </w:rPr>
  </w:style>
  <w:style w:type="character" w:customStyle="1" w:styleId="27">
    <w:name w:val="标题 3 Char"/>
    <w:basedOn w:val="17"/>
    <w:link w:val="5"/>
    <w:qFormat/>
    <w:uiPriority w:val="99"/>
    <w:rPr>
      <w:rFonts w:ascii="Calibri" w:hAnsi="Calibri" w:eastAsia="宋体" w:cs="Times New Roman"/>
      <w:b/>
      <w:bCs/>
      <w:kern w:val="0"/>
      <w:sz w:val="32"/>
      <w:szCs w:val="32"/>
    </w:rPr>
  </w:style>
  <w:style w:type="character" w:customStyle="1" w:styleId="28">
    <w:name w:val="标题 2 Char"/>
    <w:basedOn w:val="17"/>
    <w:link w:val="2"/>
    <w:semiHidden/>
    <w:qFormat/>
    <w:uiPriority w:val="9"/>
    <w:rPr>
      <w:rFonts w:asciiTheme="majorHAnsi" w:hAnsiTheme="majorHAnsi" w:eastAsiaTheme="majorEastAsia" w:cstheme="majorBidi"/>
      <w:b/>
      <w:bCs/>
      <w:sz w:val="32"/>
      <w:szCs w:val="32"/>
    </w:rPr>
  </w:style>
  <w:style w:type="character" w:customStyle="1" w:styleId="29">
    <w:name w:val="标题 4 Char"/>
    <w:basedOn w:val="17"/>
    <w:link w:val="6"/>
    <w:semiHidden/>
    <w:qFormat/>
    <w:uiPriority w:val="9"/>
    <w:rPr>
      <w:rFonts w:asciiTheme="majorHAnsi" w:hAnsiTheme="majorHAnsi" w:eastAsiaTheme="majorEastAsia" w:cstheme="majorBidi"/>
      <w:b/>
      <w:bCs/>
      <w:sz w:val="28"/>
      <w:szCs w:val="28"/>
    </w:rPr>
  </w:style>
  <w:style w:type="character" w:customStyle="1" w:styleId="30">
    <w:name w:val="批注文字 Char"/>
    <w:basedOn w:val="17"/>
    <w:link w:val="7"/>
    <w:qFormat/>
    <w:uiPriority w:val="0"/>
    <w:rPr>
      <w:rFonts w:ascii="Calibri" w:hAnsi="Calibri" w:eastAsia="宋体" w:cs="Times New Roman"/>
    </w:rPr>
  </w:style>
  <w:style w:type="paragraph" w:customStyle="1" w:styleId="31">
    <w:name w:val="Table Paragraph"/>
    <w:basedOn w:val="1"/>
    <w:qFormat/>
    <w:uiPriority w:val="99"/>
    <w:pPr>
      <w:autoSpaceDE w:val="0"/>
      <w:autoSpaceDN w:val="0"/>
      <w:jc w:val="left"/>
    </w:pPr>
    <w:rPr>
      <w:rFonts w:ascii="宋体" w:hAnsi="宋体" w:cs="宋体"/>
      <w:kern w:val="0"/>
      <w:sz w:val="22"/>
      <w:szCs w:val="22"/>
      <w:lang w:val="zh-CN" w:bidi="zh-CN"/>
    </w:rPr>
  </w:style>
  <w:style w:type="paragraph" w:customStyle="1" w:styleId="32">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文本 (2)"/>
    <w:basedOn w:val="1"/>
    <w:qFormat/>
    <w:uiPriority w:val="0"/>
    <w:pPr>
      <w:shd w:val="clear" w:color="auto" w:fill="FFFFFF"/>
      <w:spacing w:before="300" w:line="439" w:lineRule="exact"/>
      <w:jc w:val="distribute"/>
    </w:pPr>
    <w:rPr>
      <w:rFonts w:ascii="宋体" w:hAnsi="宋体"/>
      <w:kern w:val="0"/>
      <w:sz w:val="22"/>
      <w:szCs w:val="22"/>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95994B-1DCD-4FE7-9366-FFE67A0888A1}">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815</Words>
  <Characters>4651</Characters>
  <Lines>38</Lines>
  <Paragraphs>10</Paragraphs>
  <TotalTime>8</TotalTime>
  <ScaleCrop>false</ScaleCrop>
  <LinksUpToDate>false</LinksUpToDate>
  <CharactersWithSpaces>5456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2018-05-08T11:13:00Z</dcterms:created>
  <dc:creator>Administrator</dc:creator>
  <cp:lastModifiedBy>张</cp:lastModifiedBy>
  <dcterms:modified xsi:type="dcterms:W3CDTF">2021-04-19T08:48:08Z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B4831ED20F964451896ACAD56CF91635</vt:lpwstr>
  </property>
</Properties>
</file>