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44"/>
          <w:sz w:val="28"/>
          <w:szCs w:val="28"/>
          <w:highlight w:val="none"/>
          <w:lang w:val="en-US" w:eastAsia="zh-CN" w:bidi="ar-SA"/>
        </w:rPr>
      </w:pPr>
      <w:r>
        <w:rPr>
          <w:rFonts w:hint="eastAsia" w:ascii="宋体" w:hAnsi="宋体" w:eastAsia="宋体" w:cs="宋体"/>
          <w:b/>
          <w:bCs/>
          <w:color w:val="000000"/>
          <w:kern w:val="44"/>
          <w:sz w:val="28"/>
          <w:szCs w:val="28"/>
          <w:highlight w:val="none"/>
          <w:lang w:val="en-US" w:eastAsia="zh-CN" w:bidi="ar-SA"/>
        </w:rPr>
        <w:t>吉林省路桥工程（集团）有限公司2021年试验仪器设备采购</w:t>
      </w:r>
    </w:p>
    <w:p>
      <w:pPr>
        <w:jc w:val="center"/>
        <w:rPr>
          <w:rFonts w:hint="eastAsia" w:ascii="宋体" w:hAnsi="宋体" w:eastAsia="宋体" w:cs="宋体"/>
          <w:b/>
          <w:bCs/>
          <w:color w:val="000000"/>
          <w:kern w:val="44"/>
          <w:sz w:val="28"/>
          <w:szCs w:val="28"/>
          <w:highlight w:val="none"/>
          <w:lang w:val="en-US" w:eastAsia="zh-CN" w:bidi="ar-SA"/>
        </w:rPr>
      </w:pPr>
    </w:p>
    <w:p>
      <w:pPr>
        <w:jc w:val="center"/>
        <w:rPr>
          <w:rFonts w:hint="eastAsia" w:ascii="宋体" w:hAnsi="宋体" w:eastAsia="宋体" w:cs="宋体"/>
          <w:b/>
          <w:bCs/>
          <w:color w:val="000000"/>
          <w:kern w:val="44"/>
          <w:sz w:val="28"/>
          <w:szCs w:val="28"/>
          <w:highlight w:val="none"/>
          <w:lang w:val="en-US" w:eastAsia="zh-CN" w:bidi="ar-SA"/>
        </w:rPr>
      </w:pPr>
      <w:r>
        <w:rPr>
          <w:rFonts w:hint="eastAsia" w:ascii="宋体" w:hAnsi="宋体" w:eastAsia="宋体" w:cs="宋体"/>
          <w:b/>
          <w:bCs/>
          <w:color w:val="000000"/>
          <w:kern w:val="44"/>
          <w:sz w:val="28"/>
          <w:szCs w:val="28"/>
          <w:highlight w:val="none"/>
          <w:lang w:val="en-US" w:eastAsia="zh-CN" w:bidi="ar-SA"/>
        </w:rPr>
        <w:t>招标文件关键内容信息公开</w:t>
      </w:r>
    </w:p>
    <w:p>
      <w:pPr>
        <w:pStyle w:val="5"/>
        <w:spacing w:before="240" w:beforeLines="100" w:after="0" w:line="360" w:lineRule="auto"/>
        <w:rPr>
          <w:rFonts w:hint="eastAsia" w:ascii="宋体" w:hAnsi="宋体" w:cs="宋体"/>
          <w:color w:val="000000"/>
          <w:kern w:val="44"/>
          <w:highlight w:val="none"/>
        </w:rPr>
      </w:pPr>
      <w:r>
        <w:rPr>
          <w:rFonts w:hint="eastAsia" w:ascii="宋体" w:hAnsi="宋体" w:cs="宋体"/>
          <w:color w:val="000000"/>
          <w:kern w:val="44"/>
          <w:highlight w:val="none"/>
        </w:rPr>
        <w:t>1.招标条件</w:t>
      </w:r>
    </w:p>
    <w:p>
      <w:pPr>
        <w:spacing w:line="400" w:lineRule="exact"/>
        <w:ind w:firstLine="315" w:firstLineChars="150"/>
        <w:rPr>
          <w:rFonts w:hint="eastAsia" w:ascii="宋体" w:hAnsi="宋体" w:cs="宋体"/>
          <w:color w:val="000000"/>
          <w:sz w:val="21"/>
          <w:szCs w:val="21"/>
          <w:highlight w:val="none"/>
        </w:rPr>
      </w:pPr>
      <w:r>
        <w:rPr>
          <w:rFonts w:hint="eastAsia" w:ascii="宋体" w:hAnsi="宋体" w:cs="宋体"/>
          <w:bCs/>
          <w:color w:val="000000"/>
          <w:sz w:val="21"/>
          <w:szCs w:val="21"/>
          <w:highlight w:val="none"/>
          <w:lang w:eastAsia="zh-CN"/>
        </w:rPr>
        <w:t>吉林省路桥工程（集团）有限公司2021年试验仪器设备采购</w:t>
      </w:r>
      <w:r>
        <w:rPr>
          <w:rFonts w:hint="eastAsia" w:ascii="宋体" w:hAnsi="宋体" w:cs="宋体"/>
          <w:color w:val="000000"/>
          <w:sz w:val="21"/>
          <w:szCs w:val="21"/>
          <w:highlight w:val="none"/>
        </w:rPr>
        <w:t>已得到批准，资金来自招标人自筹，现进行公开招标。</w:t>
      </w:r>
    </w:p>
    <w:p>
      <w:pPr>
        <w:pStyle w:val="5"/>
        <w:spacing w:before="240" w:beforeLines="100" w:after="0" w:line="360" w:lineRule="auto"/>
        <w:rPr>
          <w:rFonts w:hint="eastAsia" w:ascii="宋体" w:hAnsi="宋体" w:eastAsia="宋体" w:cs="宋体"/>
          <w:color w:val="000000"/>
          <w:kern w:val="44"/>
          <w:highlight w:val="none"/>
          <w:lang w:val="en-US" w:eastAsia="zh-CN"/>
        </w:rPr>
      </w:pPr>
      <w:bookmarkStart w:id="0" w:name="_Toc359047599"/>
      <w:bookmarkStart w:id="1" w:name="_Toc359047735"/>
      <w:bookmarkStart w:id="2" w:name="_Toc359047679"/>
      <w:r>
        <w:rPr>
          <w:rFonts w:hint="eastAsia" w:ascii="宋体" w:hAnsi="宋体" w:cs="宋体"/>
          <w:color w:val="000000"/>
          <w:kern w:val="44"/>
          <w:highlight w:val="none"/>
        </w:rPr>
        <w:t>2.项目概况与招标</w:t>
      </w:r>
      <w:bookmarkEnd w:id="0"/>
      <w:bookmarkEnd w:id="1"/>
      <w:bookmarkEnd w:id="2"/>
      <w:r>
        <w:rPr>
          <w:rFonts w:hint="eastAsia" w:ascii="宋体" w:hAnsi="宋体" w:cs="宋体"/>
          <w:color w:val="000000"/>
          <w:kern w:val="44"/>
          <w:highlight w:val="none"/>
        </w:rPr>
        <w:t>范围</w:t>
      </w:r>
    </w:p>
    <w:p>
      <w:pPr>
        <w:spacing w:line="400" w:lineRule="exact"/>
        <w:ind w:firstLine="315" w:firstLineChars="150"/>
        <w:rPr>
          <w:rFonts w:hint="eastAsia" w:ascii="宋体" w:hAnsi="宋体" w:cs="宋体"/>
          <w:color w:val="000000"/>
          <w:sz w:val="21"/>
          <w:szCs w:val="21"/>
          <w:highlight w:val="none"/>
        </w:rPr>
      </w:pPr>
      <w:r>
        <w:rPr>
          <w:rFonts w:hint="eastAsia" w:ascii="宋体" w:hAnsi="宋体" w:cs="宋体"/>
          <w:color w:val="000000"/>
          <w:sz w:val="21"/>
          <w:szCs w:val="21"/>
          <w:highlight w:val="none"/>
        </w:rPr>
        <w:t>2.1合同包划分：本次招标共划分为</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个合同包，</w:t>
      </w:r>
      <w:r>
        <w:rPr>
          <w:rFonts w:hint="eastAsia" w:ascii="宋体" w:hAnsi="宋体" w:cs="宋体"/>
          <w:color w:val="000000"/>
          <w:sz w:val="21"/>
          <w:szCs w:val="21"/>
          <w:highlight w:val="none"/>
          <w:lang w:val="en-US" w:eastAsia="zh-CN"/>
        </w:rPr>
        <w:t>即01合同包，仪器设备</w:t>
      </w:r>
      <w:r>
        <w:rPr>
          <w:rFonts w:hint="eastAsia" w:ascii="宋体" w:hAnsi="宋体" w:cs="宋体"/>
          <w:color w:val="000000"/>
          <w:sz w:val="21"/>
          <w:szCs w:val="21"/>
          <w:highlight w:val="none"/>
        </w:rPr>
        <w:t>具体如下：</w:t>
      </w:r>
    </w:p>
    <w:tbl>
      <w:tblPr>
        <w:tblStyle w:val="16"/>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849"/>
        <w:gridCol w:w="622"/>
        <w:gridCol w:w="1364"/>
        <w:gridCol w:w="1800"/>
        <w:gridCol w:w="1527"/>
        <w:gridCol w:w="72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blHeader/>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序号</w:t>
            </w:r>
          </w:p>
        </w:tc>
        <w:tc>
          <w:tcPr>
            <w:tcW w:w="1849"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仪器设备名称</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单位</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val="en-US" w:eastAsia="zh-CN" w:bidi="ar"/>
              </w:rPr>
              <w:t>规格</w:t>
            </w:r>
          </w:p>
        </w:tc>
        <w:tc>
          <w:tcPr>
            <w:tcW w:w="180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测量范围</w:t>
            </w:r>
          </w:p>
        </w:tc>
        <w:tc>
          <w:tcPr>
            <w:tcW w:w="1527"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准确度等级/最大允许误差/测量不确定度</w:t>
            </w:r>
          </w:p>
        </w:tc>
        <w:tc>
          <w:tcPr>
            <w:tcW w:w="723"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数量</w:t>
            </w:r>
          </w:p>
        </w:tc>
        <w:tc>
          <w:tcPr>
            <w:tcW w:w="1077" w:type="dxa"/>
            <w:shd w:val="clear" w:color="auto" w:fill="FFFFFF"/>
            <w:noWrap w:val="0"/>
            <w:tcMar>
              <w:top w:w="15" w:type="dxa"/>
              <w:left w:w="15" w:type="dxa"/>
              <w:right w:w="15" w:type="dxa"/>
            </w:tcMar>
            <w:vAlign w:val="center"/>
          </w:tcPr>
          <w:p>
            <w:pPr>
              <w:widowControl/>
              <w:spacing w:line="32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kern w:val="0"/>
                <w:sz w:val="21"/>
                <w:szCs w:val="21"/>
                <w:highlight w:val="none"/>
                <w:lang w:bidi="ar"/>
              </w:rPr>
              <w:t>单位最高限价（不含增值税）(元)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32" w:type="dxa"/>
            <w:gridSpan w:val="8"/>
            <w:shd w:val="clear" w:color="auto" w:fill="FFFFFF"/>
            <w:noWrap w:val="0"/>
            <w:tcMar>
              <w:top w:w="15" w:type="dxa"/>
              <w:left w:w="15" w:type="dxa"/>
              <w:right w:w="15" w:type="dxa"/>
            </w:tcMar>
            <w:vAlign w:val="center"/>
          </w:tcPr>
          <w:p>
            <w:pPr>
              <w:widowControl/>
              <w:spacing w:line="280" w:lineRule="exact"/>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val="en-US" w:eastAsia="zh-CN" w:bidi="ar"/>
              </w:rPr>
              <w:t>一</w:t>
            </w:r>
            <w:r>
              <w:rPr>
                <w:rFonts w:hint="eastAsia" w:ascii="宋体" w:hAnsi="宋体" w:eastAsia="宋体" w:cs="宋体"/>
                <w:bCs/>
                <w:color w:val="000000"/>
                <w:kern w:val="0"/>
                <w:sz w:val="21"/>
                <w:szCs w:val="21"/>
                <w:highlight w:val="none"/>
                <w:lang w:bidi="ar"/>
              </w:rPr>
              <w:t>、集料试验检测仪器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标准筛</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color w:val="000000"/>
                <w:kern w:val="0"/>
                <w:sz w:val="21"/>
                <w:szCs w:val="21"/>
                <w:highlight w:val="none"/>
                <w:lang w:bidi="ar"/>
              </w:rPr>
              <w:t>台</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Ф300mm、</w:t>
            </w:r>
            <w:r>
              <w:rPr>
                <w:rFonts w:hint="eastAsia" w:ascii="宋体" w:hAnsi="宋体" w:eastAsia="宋体" w:cs="宋体"/>
                <w:bCs/>
                <w:i w:val="0"/>
                <w:color w:val="000000"/>
                <w:kern w:val="0"/>
                <w:sz w:val="21"/>
                <w:szCs w:val="21"/>
                <w:highlight w:val="none"/>
                <w:u w:val="none"/>
                <w:lang w:val="en-US" w:eastAsia="zh-CN" w:bidi="ar"/>
              </w:rPr>
              <w:br w:type="textWrapping"/>
            </w:r>
            <w:r>
              <w:rPr>
                <w:rFonts w:hint="eastAsia" w:ascii="宋体" w:hAnsi="宋体" w:eastAsia="宋体" w:cs="宋体"/>
                <w:bCs/>
                <w:i w:val="0"/>
                <w:color w:val="000000"/>
                <w:kern w:val="0"/>
                <w:sz w:val="21"/>
                <w:szCs w:val="21"/>
                <w:highlight w:val="none"/>
                <w:u w:val="none"/>
                <w:lang w:val="en-US" w:eastAsia="zh-CN" w:bidi="ar"/>
              </w:rPr>
              <w:t>0.075-75mm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2</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容积筒</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color w:val="000000"/>
                <w:kern w:val="0"/>
                <w:sz w:val="21"/>
                <w:szCs w:val="21"/>
                <w:highlight w:val="none"/>
                <w:lang w:bidi="ar"/>
              </w:rPr>
              <w:t>套</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1-50L</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3</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红外线电热鼓风干燥箱</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color w:val="000000"/>
                <w:kern w:val="0"/>
                <w:sz w:val="21"/>
                <w:szCs w:val="21"/>
                <w:highlight w:val="none"/>
                <w:lang w:bidi="ar"/>
              </w:rPr>
              <w:t>台</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101-3A</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室温-300℃</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4</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电子游标卡尺</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eastAsia="zh-CN" w:bidi="ar"/>
              </w:rPr>
            </w:pPr>
            <w:r>
              <w:rPr>
                <w:rFonts w:hint="eastAsia" w:ascii="宋体" w:hAnsi="宋体" w:eastAsia="宋体" w:cs="宋体"/>
                <w:bCs/>
                <w:color w:val="000000"/>
                <w:kern w:val="0"/>
                <w:sz w:val="21"/>
                <w:szCs w:val="21"/>
                <w:highlight w:val="none"/>
                <w:lang w:val="en-US" w:eastAsia="zh-CN" w:bidi="ar"/>
              </w:rPr>
              <w:t>把</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200mm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0.01mm</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5</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量筒</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eastAsia="zh-CN" w:bidi="ar"/>
              </w:rPr>
            </w:pPr>
            <w:r>
              <w:rPr>
                <w:rFonts w:hint="eastAsia" w:ascii="宋体" w:hAnsi="宋体" w:eastAsia="宋体" w:cs="宋体"/>
                <w:bCs/>
                <w:color w:val="000000"/>
                <w:kern w:val="0"/>
                <w:sz w:val="21"/>
                <w:szCs w:val="21"/>
                <w:highlight w:val="none"/>
                <w:lang w:val="en-US" w:eastAsia="zh-CN" w:bidi="ar"/>
              </w:rPr>
              <w:t>个</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1000ml</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1ml</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4</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6</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磨耗试验机</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eastAsia="zh-CN" w:bidi="ar"/>
              </w:rPr>
            </w:pPr>
            <w:r>
              <w:rPr>
                <w:rFonts w:hint="eastAsia" w:ascii="宋体" w:hAnsi="宋体" w:eastAsia="宋体" w:cs="宋体"/>
                <w:bCs/>
                <w:color w:val="000000"/>
                <w:kern w:val="0"/>
                <w:sz w:val="21"/>
                <w:szCs w:val="21"/>
                <w:highlight w:val="none"/>
                <w:lang w:val="en-US" w:eastAsia="zh-CN" w:bidi="ar"/>
              </w:rPr>
              <w:t>台</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MH-Ⅱ</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30-33转/分</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1转</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7</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烧杯</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eastAsia="zh-CN" w:bidi="ar"/>
              </w:rPr>
            </w:pPr>
            <w:r>
              <w:rPr>
                <w:rFonts w:hint="eastAsia" w:ascii="宋体" w:hAnsi="宋体" w:eastAsia="宋体" w:cs="宋体"/>
                <w:bCs/>
                <w:color w:val="000000"/>
                <w:kern w:val="0"/>
                <w:sz w:val="21"/>
                <w:szCs w:val="21"/>
                <w:highlight w:val="none"/>
                <w:lang w:val="en-US" w:eastAsia="zh-CN" w:bidi="ar"/>
              </w:rPr>
              <w:t>个</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500ml</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5ml</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4</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8</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自动式砂当量试验仪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color w:val="000000"/>
                <w:kern w:val="0"/>
                <w:sz w:val="21"/>
                <w:szCs w:val="21"/>
                <w:highlight w:val="none"/>
                <w:lang w:bidi="ar"/>
              </w:rPr>
              <w:t>台</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XJL-2型</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振幅203</w:t>
            </w:r>
            <w:r>
              <w:rPr>
                <w:rFonts w:hint="eastAsia" w:ascii="宋体" w:hAnsi="宋体" w:eastAsia="宋体" w:cs="宋体"/>
                <w:bCs/>
                <w:i w:val="0"/>
                <w:color w:val="000000"/>
                <w:kern w:val="0"/>
                <w:sz w:val="21"/>
                <w:szCs w:val="21"/>
                <w:highlight w:val="none"/>
                <w:u w:val="none"/>
                <w:lang w:val="en-US" w:eastAsia="zh-CN" w:bidi="ar"/>
              </w:rPr>
              <w:br w:type="textWrapping"/>
            </w:r>
            <w:r>
              <w:rPr>
                <w:rFonts w:hint="eastAsia" w:ascii="宋体" w:hAnsi="宋体" w:eastAsia="宋体" w:cs="宋体"/>
                <w:bCs/>
                <w:i w:val="0"/>
                <w:color w:val="000000"/>
                <w:kern w:val="0"/>
                <w:sz w:val="21"/>
                <w:szCs w:val="21"/>
                <w:highlight w:val="none"/>
                <w:u w:val="none"/>
                <w:lang w:val="en-US" w:eastAsia="zh-CN" w:bidi="ar"/>
              </w:rPr>
              <w:t>频率180次/分</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1.0mm</w:t>
            </w:r>
            <w:r>
              <w:rPr>
                <w:rFonts w:hint="eastAsia" w:ascii="宋体" w:hAnsi="宋体" w:eastAsia="宋体" w:cs="宋体"/>
                <w:bCs/>
                <w:i w:val="0"/>
                <w:color w:val="000000"/>
                <w:kern w:val="0"/>
                <w:sz w:val="21"/>
                <w:szCs w:val="21"/>
                <w:highlight w:val="none"/>
                <w:u w:val="none"/>
                <w:lang w:val="en-US" w:eastAsia="zh-CN" w:bidi="ar"/>
              </w:rPr>
              <w:br w:type="textWrapping"/>
            </w:r>
            <w:r>
              <w:rPr>
                <w:rFonts w:hint="eastAsia" w:ascii="宋体" w:hAnsi="宋体" w:eastAsia="宋体" w:cs="宋体"/>
                <w:bCs/>
                <w:i w:val="0"/>
                <w:color w:val="000000"/>
                <w:kern w:val="0"/>
                <w:sz w:val="21"/>
                <w:szCs w:val="21"/>
                <w:highlight w:val="none"/>
                <w:u w:val="none"/>
                <w:lang w:val="en-US" w:eastAsia="zh-CN" w:bidi="ar"/>
              </w:rPr>
              <w:t>2次/分</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9</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钢板尺</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eastAsia="zh-CN" w:bidi="ar"/>
              </w:rPr>
            </w:pPr>
            <w:r>
              <w:rPr>
                <w:rFonts w:hint="eastAsia" w:ascii="宋体" w:hAnsi="宋体" w:eastAsia="宋体" w:cs="宋体"/>
                <w:bCs/>
                <w:color w:val="000000"/>
                <w:kern w:val="0"/>
                <w:sz w:val="21"/>
                <w:szCs w:val="21"/>
                <w:highlight w:val="none"/>
                <w:lang w:val="en-US" w:eastAsia="zh-CN" w:bidi="ar"/>
              </w:rPr>
              <w:t>个</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30cm</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1mm</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10</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李氏密度瓶</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color w:val="000000"/>
                <w:kern w:val="0"/>
                <w:sz w:val="21"/>
                <w:szCs w:val="21"/>
                <w:highlight w:val="none"/>
                <w:lang w:bidi="ar"/>
              </w:rPr>
              <w:t>个</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250ml</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2级</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4</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11</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细集料棱角性试验仪（流动时间）</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eastAsia="zh-CN" w:bidi="ar"/>
              </w:rPr>
            </w:pPr>
            <w:r>
              <w:rPr>
                <w:rFonts w:hint="eastAsia" w:ascii="宋体" w:hAnsi="宋体" w:eastAsia="宋体" w:cs="宋体"/>
                <w:bCs/>
                <w:color w:val="000000"/>
                <w:kern w:val="0"/>
                <w:sz w:val="21"/>
                <w:szCs w:val="21"/>
                <w:highlight w:val="none"/>
                <w:lang w:val="en-US" w:eastAsia="zh-CN" w:bidi="ar"/>
              </w:rPr>
              <w:t>台</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漏斗口直经12.7mm±0.3</w:t>
            </w:r>
          </w:p>
        </w:tc>
        <w:tc>
          <w:tcPr>
            <w:tcW w:w="1527" w:type="dxa"/>
            <w:shd w:val="clear" w:color="auto" w:fill="FFFFFF"/>
            <w:noWrap w:val="0"/>
            <w:tcMar>
              <w:top w:w="15" w:type="dxa"/>
              <w:left w:w="15" w:type="dxa"/>
              <w:right w:w="15" w:type="dxa"/>
            </w:tcMar>
            <w:vAlign w:val="center"/>
          </w:tcPr>
          <w:p>
            <w:pPr>
              <w:spacing w:line="280" w:lineRule="exact"/>
              <w:jc w:val="center"/>
              <w:textAlignment w:val="center"/>
              <w:rPr>
                <w:rFonts w:hint="eastAsia" w:ascii="宋体" w:hAnsi="宋体" w:eastAsia="宋体" w:cs="宋体"/>
                <w:bCs/>
                <w:color w:val="000000"/>
                <w:kern w:val="0"/>
                <w:sz w:val="21"/>
                <w:szCs w:val="21"/>
                <w:highlight w:val="none"/>
                <w:lang w:bidi="ar"/>
              </w:rPr>
            </w:pP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12</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蒸发皿</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color w:val="000000"/>
                <w:kern w:val="0"/>
                <w:sz w:val="21"/>
                <w:szCs w:val="21"/>
                <w:highlight w:val="none"/>
                <w:lang w:bidi="ar"/>
              </w:rPr>
              <w:t>个</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30ml</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2</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13</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细集料亚甲蓝试验装置</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eastAsia="zh-CN" w:bidi="ar"/>
              </w:rPr>
            </w:pPr>
            <w:r>
              <w:rPr>
                <w:rFonts w:hint="eastAsia" w:ascii="宋体" w:hAnsi="宋体" w:eastAsia="宋体" w:cs="宋体"/>
                <w:bCs/>
                <w:color w:val="000000"/>
                <w:kern w:val="0"/>
                <w:sz w:val="21"/>
                <w:szCs w:val="21"/>
                <w:highlight w:val="none"/>
                <w:lang w:val="en-US" w:eastAsia="zh-CN" w:bidi="ar"/>
              </w:rPr>
              <w:t>台</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14</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静水天平</w:t>
            </w:r>
          </w:p>
        </w:tc>
        <w:tc>
          <w:tcPr>
            <w:tcW w:w="622"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台</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0-5000g</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0.1g</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15</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电子天平</w:t>
            </w:r>
          </w:p>
        </w:tc>
        <w:tc>
          <w:tcPr>
            <w:tcW w:w="622"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台</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0-2000g</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0.1g</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16</w:t>
            </w:r>
          </w:p>
        </w:tc>
        <w:tc>
          <w:tcPr>
            <w:tcW w:w="1849"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标准恒温水浴</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val="en-US" w:eastAsia="zh-CN" w:bidi="ar"/>
              </w:rPr>
              <w:t>台</w:t>
            </w:r>
          </w:p>
        </w:tc>
        <w:tc>
          <w:tcPr>
            <w:tcW w:w="1364"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kern w:val="0"/>
                <w:sz w:val="21"/>
                <w:szCs w:val="21"/>
                <w:highlight w:val="none"/>
                <w:lang w:val="en-US" w:eastAsia="zh-CN" w:bidi="ar"/>
              </w:rPr>
            </w:pPr>
            <w:r>
              <w:rPr>
                <w:rFonts w:hint="eastAsia" w:ascii="宋体" w:hAnsi="宋体" w:eastAsia="宋体" w:cs="宋体"/>
                <w:bCs/>
                <w:color w:val="000000"/>
                <w:kern w:val="0"/>
                <w:sz w:val="21"/>
                <w:szCs w:val="21"/>
                <w:highlight w:val="none"/>
                <w:lang w:bidi="ar"/>
              </w:rPr>
              <w:t>HH-420</w:t>
            </w:r>
          </w:p>
        </w:tc>
        <w:tc>
          <w:tcPr>
            <w:tcW w:w="1800"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i w:val="0"/>
                <w:color w:val="000000"/>
                <w:kern w:val="0"/>
                <w:sz w:val="21"/>
                <w:szCs w:val="21"/>
                <w:highlight w:val="none"/>
                <w:u w:val="none"/>
                <w:lang w:val="en-US" w:eastAsia="zh-CN" w:bidi="ar"/>
              </w:rPr>
            </w:pPr>
            <w:r>
              <w:rPr>
                <w:rFonts w:hint="eastAsia" w:ascii="宋体" w:hAnsi="宋体" w:eastAsia="宋体" w:cs="宋体"/>
                <w:bCs/>
                <w:i w:val="0"/>
                <w:color w:val="000000"/>
                <w:kern w:val="0"/>
                <w:sz w:val="21"/>
                <w:szCs w:val="21"/>
                <w:highlight w:val="none"/>
                <w:u w:val="none"/>
                <w:lang w:val="en-US" w:eastAsia="zh-CN" w:bidi="ar"/>
              </w:rPr>
              <w:t>+5-65℃</w:t>
            </w:r>
          </w:p>
        </w:tc>
        <w:tc>
          <w:tcPr>
            <w:tcW w:w="152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0.1℃</w:t>
            </w:r>
          </w:p>
        </w:tc>
        <w:tc>
          <w:tcPr>
            <w:tcW w:w="723"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i w:val="0"/>
                <w:color w:val="000000"/>
                <w:kern w:val="0"/>
                <w:sz w:val="21"/>
                <w:szCs w:val="21"/>
                <w:highlight w:val="none"/>
                <w:u w:val="none"/>
                <w:lang w:val="en-US" w:eastAsia="zh-CN" w:bidi="ar"/>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32" w:type="dxa"/>
            <w:gridSpan w:val="8"/>
            <w:shd w:val="clear" w:color="auto" w:fill="FFFFFF"/>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bCs/>
                <w:color w:val="000000"/>
                <w:kern w:val="0"/>
                <w:sz w:val="21"/>
                <w:szCs w:val="21"/>
                <w:highlight w:val="none"/>
                <w:lang w:bidi="ar"/>
              </w:rPr>
            </w:pPr>
            <w:r>
              <w:rPr>
                <w:rFonts w:hint="eastAsia" w:ascii="宋体" w:hAnsi="宋体" w:eastAsia="宋体" w:cs="宋体"/>
                <w:bCs/>
                <w:color w:val="000000"/>
                <w:kern w:val="0"/>
                <w:sz w:val="21"/>
                <w:szCs w:val="21"/>
                <w:highlight w:val="none"/>
                <w:lang w:val="en-US" w:eastAsia="zh-CN" w:bidi="ar"/>
              </w:rPr>
              <w:t>二</w:t>
            </w:r>
            <w:r>
              <w:rPr>
                <w:rFonts w:hint="eastAsia" w:ascii="宋体" w:hAnsi="宋体" w:eastAsia="宋体" w:cs="宋体"/>
                <w:bCs/>
                <w:color w:val="000000"/>
                <w:kern w:val="0"/>
                <w:sz w:val="21"/>
                <w:szCs w:val="21"/>
                <w:highlight w:val="none"/>
                <w:lang w:bidi="ar"/>
              </w:rPr>
              <w:t>、</w:t>
            </w:r>
            <w:r>
              <w:rPr>
                <w:rFonts w:hint="eastAsia" w:ascii="宋体" w:hAnsi="宋体" w:eastAsia="宋体" w:cs="宋体"/>
                <w:bCs/>
                <w:color w:val="000000"/>
                <w:kern w:val="0"/>
                <w:sz w:val="21"/>
                <w:szCs w:val="21"/>
                <w:highlight w:val="none"/>
                <w:lang w:val="en-US" w:eastAsia="zh-CN" w:bidi="ar"/>
              </w:rPr>
              <w:t>沥青</w:t>
            </w:r>
            <w:r>
              <w:rPr>
                <w:rFonts w:hint="eastAsia" w:ascii="宋体" w:hAnsi="宋体" w:eastAsia="宋体" w:cs="宋体"/>
                <w:bCs/>
                <w:color w:val="000000"/>
                <w:kern w:val="0"/>
                <w:sz w:val="21"/>
                <w:szCs w:val="21"/>
                <w:highlight w:val="none"/>
                <w:lang w:bidi="ar"/>
              </w:rPr>
              <w:t>试验检测仪器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沥青比重瓶</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个</w:t>
            </w:r>
          </w:p>
        </w:tc>
        <w:tc>
          <w:tcPr>
            <w:tcW w:w="1364" w:type="dxa"/>
            <w:shd w:val="clear" w:color="auto" w:fill="FFFFFF"/>
            <w:noWrap w:val="0"/>
            <w:tcMar>
              <w:top w:w="15" w:type="dxa"/>
              <w:left w:w="15" w:type="dxa"/>
              <w:right w:w="15" w:type="dxa"/>
            </w:tcMar>
            <w:vAlign w:val="top"/>
          </w:tcPr>
          <w:p>
            <w:pPr>
              <w:widowControl/>
              <w:jc w:val="center"/>
              <w:textAlignment w:val="center"/>
              <w:rPr>
                <w:rFonts w:hint="eastAsia" w:ascii="宋体" w:hAnsi="宋体" w:eastAsia="宋体" w:cs="宋体"/>
                <w:color w:val="000000"/>
                <w:kern w:val="0"/>
                <w:sz w:val="21"/>
                <w:szCs w:val="21"/>
                <w:lang w:val="en-US" w:eastAsia="zh-CN" w:bidi="ar"/>
              </w:rPr>
            </w:pP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30ml</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2</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高低温恒温水浴</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HWY-30</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5-70℃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7522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3</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沥青针入度测定仪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SZR-8</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40mm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0.01mm</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4</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延度仪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LYY-9B（液晶）</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1.5m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0-40℃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±0.1℃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5</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沥青软化点试验仪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SYD-2806F</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0-90℃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0.3℃</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4159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6</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沥青旋转薄膜烘箱</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82型</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250℃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7</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沥青动力粘度试验仪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SYD-0620</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100℃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±0.03℃</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8</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真空泵</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6*10</w:t>
            </w:r>
            <w:r>
              <w:rPr>
                <w:rFonts w:hint="eastAsia" w:ascii="宋体" w:hAnsi="宋体" w:eastAsia="宋体" w:cs="宋体"/>
                <w:i w:val="0"/>
                <w:color w:val="000000"/>
                <w:kern w:val="0"/>
                <w:sz w:val="21"/>
                <w:szCs w:val="21"/>
                <w:u w:val="none"/>
                <w:vertAlign w:val="superscript"/>
                <w:lang w:val="en-US" w:eastAsia="zh-CN" w:bidi="ar"/>
              </w:rPr>
              <w:t>-2</w:t>
            </w:r>
            <w:r>
              <w:rPr>
                <w:rFonts w:hint="eastAsia" w:ascii="宋体" w:hAnsi="宋体" w:eastAsia="宋体" w:cs="宋体"/>
                <w:i w:val="0"/>
                <w:color w:val="000000"/>
                <w:kern w:val="0"/>
                <w:sz w:val="21"/>
                <w:szCs w:val="21"/>
                <w:u w:val="none"/>
                <w:lang w:val="en-US" w:eastAsia="zh-CN" w:bidi="ar"/>
              </w:rPr>
              <w:t>Pa</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9</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调温电子炉</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2000w</w:t>
            </w:r>
          </w:p>
        </w:tc>
        <w:tc>
          <w:tcPr>
            <w:tcW w:w="1527" w:type="dxa"/>
            <w:shd w:val="clear" w:color="auto" w:fill="FFFFFF"/>
            <w:noWrap w:val="0"/>
            <w:tcMar>
              <w:top w:w="15" w:type="dxa"/>
              <w:left w:w="15" w:type="dxa"/>
              <w:right w:w="15" w:type="dxa"/>
            </w:tcMar>
            <w:vAlign w:val="center"/>
          </w:tcPr>
          <w:p>
            <w:pPr>
              <w:jc w:val="center"/>
              <w:rPr>
                <w:rFonts w:hint="eastAsia" w:ascii="宋体" w:hAnsi="宋体" w:eastAsia="宋体" w:cs="宋体"/>
                <w:bCs/>
                <w:color w:val="000000"/>
                <w:sz w:val="21"/>
                <w:szCs w:val="21"/>
                <w:highlight w:val="none"/>
              </w:rPr>
            </w:pP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10</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电热恒温鼓风干燥箱</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101-3A</w:t>
            </w:r>
          </w:p>
          <w:p>
            <w:pPr>
              <w:widowControl/>
              <w:jc w:val="center"/>
              <w:textAlignment w:val="center"/>
              <w:rPr>
                <w:rFonts w:hint="eastAsia" w:ascii="宋体" w:hAnsi="宋体" w:eastAsia="宋体" w:cs="宋体"/>
                <w:color w:val="000000"/>
                <w:kern w:val="0"/>
                <w:sz w:val="21"/>
                <w:szCs w:val="21"/>
                <w:lang w:val="en-US" w:eastAsia="zh-CN" w:bidi="ar"/>
              </w:rPr>
            </w:pP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室温-300℃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4407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11</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低温试验箱</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DX-40-150</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highlight w:val="none"/>
                <w:u w:val="none"/>
                <w:lang w:val="en-US" w:eastAsia="zh-CN" w:bidi="ar"/>
              </w:rPr>
              <w:t>-40℃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12</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沥青标准粘度试验仪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HWD-40</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100℃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4071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13</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乳化沥青微粒离子电荷试验装置</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套</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sz w:val="21"/>
                <w:szCs w:val="21"/>
              </w:rPr>
              <w:t>SYD-0621</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定时时间3min</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定时精度0.1s</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14</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乳化沥青存储稳定性试验仪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SDWD-Ⅰ</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250ml</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15</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电子天平</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SYD-0656</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0-2000g</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0.1g</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32" w:type="dxa"/>
            <w:gridSpan w:val="8"/>
            <w:shd w:val="clear" w:color="auto" w:fill="FFFFFF"/>
            <w:noWrap w:val="0"/>
            <w:tcMar>
              <w:top w:w="15" w:type="dxa"/>
              <w:left w:w="15" w:type="dxa"/>
              <w:right w:w="15" w:type="dxa"/>
            </w:tcMar>
            <w:vAlign w:val="center"/>
          </w:tcPr>
          <w:p>
            <w:pPr>
              <w:widowControl/>
              <w:spacing w:line="280" w:lineRule="exact"/>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kern w:val="0"/>
                <w:sz w:val="21"/>
                <w:szCs w:val="21"/>
                <w:highlight w:val="none"/>
                <w:lang w:bidi="ar"/>
              </w:rPr>
              <w:t>三、</w:t>
            </w:r>
            <w:r>
              <w:rPr>
                <w:rFonts w:hint="eastAsia" w:ascii="宋体" w:hAnsi="宋体" w:eastAsia="宋体" w:cs="宋体"/>
                <w:bCs/>
                <w:color w:val="000000"/>
                <w:kern w:val="0"/>
                <w:sz w:val="21"/>
                <w:szCs w:val="21"/>
                <w:highlight w:val="none"/>
                <w:lang w:val="en-US" w:eastAsia="zh-CN" w:bidi="ar"/>
              </w:rPr>
              <w:t>沥青混合料试验检测仪器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沥青混合料自动拌合机</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LBH-20</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室温-250℃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±3℃</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2</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马歇尔试模</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个</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直经101.6mm</w:t>
            </w:r>
          </w:p>
        </w:tc>
        <w:tc>
          <w:tcPr>
            <w:tcW w:w="1527" w:type="dxa"/>
            <w:shd w:val="clear" w:color="auto" w:fill="FFFFFF"/>
            <w:noWrap w:val="0"/>
            <w:tcMar>
              <w:top w:w="15" w:type="dxa"/>
              <w:left w:w="15" w:type="dxa"/>
              <w:right w:w="15" w:type="dxa"/>
            </w:tcMar>
            <w:vAlign w:val="center"/>
          </w:tcPr>
          <w:p>
            <w:pPr>
              <w:jc w:val="center"/>
              <w:rPr>
                <w:rFonts w:hint="eastAsia" w:ascii="宋体" w:hAnsi="宋体" w:eastAsia="宋体" w:cs="宋体"/>
                <w:bCs/>
                <w:color w:val="000000"/>
                <w:sz w:val="21"/>
                <w:szCs w:val="21"/>
                <w:highlight w:val="none"/>
              </w:rPr>
            </w:pP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9</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3</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电热鼓风干燥箱</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101-4B</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室温-300℃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7434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4</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电子天平</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PTT-B10000</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10000g</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0.1g</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5</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电子秤</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ACS-30</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30Kg</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5g</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6</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低温溢流水槽</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HYYL-11</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10-40℃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7</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自动马歇尔试件击实仪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MDJ-II型（两用）</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4.56kg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10.210kg</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0.40%</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8</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液压脱模器</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YTM-B</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250mm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6195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9</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马歇尔稳定度试验仪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LWD-5C</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50KN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0.01mm</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10</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恒温水浴</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CF-B</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室温-100℃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11</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离心</w:t>
            </w:r>
            <w:r>
              <w:rPr>
                <w:rFonts w:hint="eastAsia" w:ascii="宋体" w:hAnsi="宋体" w:cs="宋体"/>
                <w:i w:val="0"/>
                <w:color w:val="000000"/>
                <w:kern w:val="0"/>
                <w:sz w:val="21"/>
                <w:szCs w:val="21"/>
                <w:u w:val="none"/>
                <w:lang w:val="en-US" w:eastAsia="zh-CN" w:bidi="ar"/>
              </w:rPr>
              <w:t>式</w:t>
            </w:r>
            <w:r>
              <w:rPr>
                <w:rFonts w:hint="eastAsia" w:ascii="宋体" w:hAnsi="宋体" w:eastAsia="宋体" w:cs="宋体"/>
                <w:i w:val="0"/>
                <w:color w:val="000000"/>
                <w:kern w:val="0"/>
                <w:sz w:val="21"/>
                <w:szCs w:val="21"/>
                <w:u w:val="none"/>
                <w:lang w:val="en-US" w:eastAsia="zh-CN" w:bidi="ar"/>
              </w:rPr>
              <w:t>矿粉收集仪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jc w:val="center"/>
              <w:rPr>
                <w:rFonts w:hint="eastAsia" w:ascii="宋体" w:hAnsi="宋体" w:eastAsia="宋体" w:cs="宋体"/>
                <w:bCs/>
                <w:color w:val="000000"/>
                <w:kern w:val="0"/>
                <w:sz w:val="21"/>
                <w:szCs w:val="21"/>
                <w:lang w:val="en-US" w:eastAsia="zh-CN" w:bidi="ar"/>
              </w:rPr>
            </w:pPr>
          </w:p>
        </w:tc>
        <w:tc>
          <w:tcPr>
            <w:tcW w:w="1800" w:type="dxa"/>
            <w:shd w:val="clear" w:color="auto" w:fill="FFFFFF"/>
            <w:noWrap w:val="0"/>
            <w:tcMar>
              <w:top w:w="15" w:type="dxa"/>
              <w:left w:w="15" w:type="dxa"/>
              <w:right w:w="15" w:type="dxa"/>
            </w:tcMar>
            <w:vAlign w:val="center"/>
          </w:tcPr>
          <w:p>
            <w:pPr>
              <w:jc w:val="center"/>
              <w:rPr>
                <w:rFonts w:hint="eastAsia" w:ascii="宋体" w:hAnsi="宋体" w:eastAsia="宋体" w:cs="宋体"/>
                <w:bCs/>
                <w:color w:val="000000"/>
                <w:kern w:val="0"/>
                <w:sz w:val="21"/>
                <w:szCs w:val="21"/>
                <w:highlight w:val="none"/>
                <w:lang w:bidi="ar"/>
              </w:rPr>
            </w:pPr>
          </w:p>
        </w:tc>
        <w:tc>
          <w:tcPr>
            <w:tcW w:w="1527" w:type="dxa"/>
            <w:shd w:val="clear" w:color="auto" w:fill="FFFFFF"/>
            <w:noWrap w:val="0"/>
            <w:tcMar>
              <w:top w:w="15" w:type="dxa"/>
              <w:left w:w="15" w:type="dxa"/>
              <w:right w:w="15" w:type="dxa"/>
            </w:tcMar>
            <w:vAlign w:val="center"/>
          </w:tcPr>
          <w:p>
            <w:pPr>
              <w:jc w:val="center"/>
              <w:rPr>
                <w:rFonts w:hint="eastAsia" w:ascii="宋体" w:hAnsi="宋体" w:eastAsia="宋体" w:cs="宋体"/>
                <w:bCs/>
                <w:color w:val="000000"/>
                <w:sz w:val="21"/>
                <w:szCs w:val="21"/>
                <w:highlight w:val="none"/>
              </w:rPr>
            </w:pP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12</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混合料离心式快速抽提仪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DLL-5(3.0)</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3000r/min</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10r/min</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13</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沥青混合料理论最大密度仪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HDXM-21</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999.9Kp</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0.1Kp</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14</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液压式车辙试样成型机</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HYCX-1</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20-200℃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15</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自动车辙试验仪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HYCZ-5</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0-30mm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小于±0.005mm</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24779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16</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燃烧炉</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bookmarkStart w:id="37" w:name="_GoBack"/>
            <w:bookmarkEnd w:id="37"/>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自动数显；燃烧室最高工作温度600℃；天平量程10Kg</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天平精度0.1kg</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22124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17</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路表温度计</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个</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TM6801B</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-50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1300℃</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0.1℃</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18</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yellow"/>
              </w:rPr>
            </w:pPr>
            <w:r>
              <w:rPr>
                <w:rFonts w:hint="eastAsia" w:ascii="宋体" w:hAnsi="宋体" w:eastAsia="宋体" w:cs="宋体"/>
                <w:i w:val="0"/>
                <w:color w:val="000000"/>
                <w:kern w:val="0"/>
                <w:sz w:val="21"/>
                <w:szCs w:val="21"/>
                <w:u w:val="none"/>
                <w:lang w:val="en-US" w:eastAsia="zh-CN" w:bidi="ar"/>
              </w:rPr>
              <w:t>三米直尺</w:t>
            </w:r>
          </w:p>
        </w:tc>
        <w:tc>
          <w:tcPr>
            <w:tcW w:w="622" w:type="dxa"/>
            <w:shd w:val="clear" w:color="auto" w:fill="auto"/>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把</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3</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15mm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0.5mm</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19</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yellow"/>
              </w:rPr>
            </w:pPr>
            <w:r>
              <w:rPr>
                <w:rFonts w:hint="eastAsia" w:ascii="宋体" w:hAnsi="宋体" w:eastAsia="宋体" w:cs="宋体"/>
                <w:i w:val="0"/>
                <w:color w:val="000000"/>
                <w:kern w:val="0"/>
                <w:sz w:val="21"/>
                <w:szCs w:val="21"/>
                <w:u w:val="none"/>
                <w:lang w:val="en-US" w:eastAsia="zh-CN" w:bidi="ar"/>
              </w:rPr>
              <w:t>路面构造深度测定仪</w:t>
            </w:r>
          </w:p>
        </w:tc>
        <w:tc>
          <w:tcPr>
            <w:tcW w:w="622" w:type="dxa"/>
            <w:shd w:val="clear" w:color="auto" w:fill="auto"/>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GZ2016</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500mm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1mm</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20</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yellow"/>
              </w:rPr>
            </w:pPr>
            <w:r>
              <w:rPr>
                <w:rFonts w:hint="eastAsia" w:ascii="宋体" w:hAnsi="宋体" w:eastAsia="宋体" w:cs="宋体"/>
                <w:i w:val="0"/>
                <w:color w:val="000000"/>
                <w:kern w:val="0"/>
                <w:sz w:val="21"/>
                <w:szCs w:val="21"/>
                <w:u w:val="none"/>
                <w:lang w:val="en-US" w:eastAsia="zh-CN" w:bidi="ar"/>
              </w:rPr>
              <w:t>摆式摩擦系数测定仪</w:t>
            </w:r>
          </w:p>
        </w:tc>
        <w:tc>
          <w:tcPr>
            <w:tcW w:w="622" w:type="dxa"/>
            <w:shd w:val="clear" w:color="auto" w:fill="auto"/>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rPr>
              <w:t>BM-</w:t>
            </w:r>
            <w:r>
              <w:rPr>
                <w:rFonts w:hint="eastAsia" w:ascii="宋体" w:hAnsi="宋体" w:eastAsia="宋体" w:cs="宋体"/>
                <w:color w:val="000000"/>
                <w:sz w:val="21"/>
                <w:szCs w:val="21"/>
                <w:highlight w:val="none"/>
                <w:lang w:eastAsia="zh-CN"/>
              </w:rPr>
              <w:t>Ⅲ</w:t>
            </w:r>
            <w:r>
              <w:rPr>
                <w:rFonts w:hint="eastAsia" w:ascii="宋体" w:hAnsi="宋体" w:eastAsia="宋体" w:cs="宋体"/>
                <w:color w:val="000000"/>
                <w:sz w:val="21"/>
                <w:szCs w:val="21"/>
                <w:highlight w:val="none"/>
              </w:rPr>
              <w:t>型</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摆动力矩615000</w:t>
            </w:r>
            <w:r>
              <w:rPr>
                <w:rFonts w:hint="eastAsia" w:ascii="宋体" w:hAnsi="宋体" w:cs="宋体"/>
                <w:i w:val="0"/>
                <w:color w:val="000000"/>
                <w:kern w:val="0"/>
                <w:sz w:val="21"/>
                <w:szCs w:val="21"/>
                <w:highlight w:val="none"/>
                <w:u w:val="none"/>
                <w:lang w:val="en-US" w:eastAsia="zh-CN" w:bidi="ar"/>
              </w:rPr>
              <w:t>g·</w:t>
            </w:r>
            <w:r>
              <w:rPr>
                <w:rFonts w:hint="eastAsia" w:ascii="宋体" w:hAnsi="宋体" w:eastAsia="宋体" w:cs="宋体"/>
                <w:i w:val="0"/>
                <w:color w:val="000000"/>
                <w:kern w:val="0"/>
                <w:sz w:val="21"/>
                <w:szCs w:val="21"/>
                <w:highlight w:val="none"/>
                <w:u w:val="none"/>
                <w:lang w:val="en-US" w:eastAsia="zh-CN" w:bidi="ar"/>
              </w:rPr>
              <w:t>mm</w:t>
            </w:r>
          </w:p>
          <w:p>
            <w:pPr>
              <w:keepNext w:val="0"/>
              <w:keepLines w:val="0"/>
              <w:widowControl/>
              <w:suppressLineNumbers w:val="0"/>
              <w:jc w:val="center"/>
              <w:textAlignment w:val="center"/>
              <w:rPr>
                <w:rFonts w:hint="default" w:ascii="宋体" w:hAnsi="宋体" w:eastAsia="宋体" w:cs="宋体"/>
                <w:bCs/>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
              </w:rPr>
              <w:t>摆重心矩410±5mm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Cs/>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
              </w:rPr>
              <w:t>摆动停止次数不少于70次</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21</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yellow"/>
              </w:rPr>
            </w:pPr>
            <w:r>
              <w:rPr>
                <w:rFonts w:hint="eastAsia" w:ascii="宋体" w:hAnsi="宋体" w:eastAsia="宋体" w:cs="宋体"/>
                <w:i w:val="0"/>
                <w:color w:val="000000"/>
                <w:kern w:val="0"/>
                <w:sz w:val="21"/>
                <w:szCs w:val="21"/>
                <w:u w:val="none"/>
                <w:lang w:val="en-US" w:eastAsia="zh-CN" w:bidi="ar"/>
              </w:rPr>
              <w:t>沥青路面渗水试验仪</w:t>
            </w:r>
          </w:p>
        </w:tc>
        <w:tc>
          <w:tcPr>
            <w:tcW w:w="622" w:type="dxa"/>
            <w:shd w:val="clear" w:color="auto" w:fill="auto"/>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rPr>
              <w:t>HDSS-II</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量筒容积600ml</w:t>
            </w:r>
          </w:p>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渗水面积标准环内径150mm</w:t>
            </w:r>
          </w:p>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配重块：2块，每个5kg</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Cs/>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
              </w:rPr>
              <w:t>分辨率2ml</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22</w:t>
            </w:r>
          </w:p>
        </w:tc>
        <w:tc>
          <w:tcPr>
            <w:tcW w:w="1849"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yellow"/>
              </w:rPr>
            </w:pPr>
            <w:r>
              <w:rPr>
                <w:rFonts w:hint="eastAsia" w:ascii="宋体" w:hAnsi="宋体" w:eastAsia="宋体" w:cs="宋体"/>
                <w:i w:val="0"/>
                <w:color w:val="000000"/>
                <w:kern w:val="0"/>
                <w:sz w:val="21"/>
                <w:szCs w:val="21"/>
                <w:u w:val="none"/>
                <w:lang w:val="en-US" w:eastAsia="zh-CN" w:bidi="ar"/>
              </w:rPr>
              <w:t>公路连续式八轮平整度仪</w:t>
            </w:r>
          </w:p>
        </w:tc>
        <w:tc>
          <w:tcPr>
            <w:tcW w:w="622" w:type="dxa"/>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台</w:t>
            </w:r>
          </w:p>
        </w:tc>
        <w:tc>
          <w:tcPr>
            <w:tcW w:w="1364" w:type="dxa"/>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LXBP-6</w:t>
            </w:r>
          </w:p>
        </w:tc>
        <w:tc>
          <w:tcPr>
            <w:tcW w:w="180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50mm</w:t>
            </w:r>
          </w:p>
        </w:tc>
        <w:tc>
          <w:tcPr>
            <w:tcW w:w="152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0.3％F.S</w:t>
            </w:r>
          </w:p>
        </w:tc>
        <w:tc>
          <w:tcPr>
            <w:tcW w:w="723"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1</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i w:val="0"/>
                <w:color w:val="000000"/>
                <w:kern w:val="0"/>
                <w:sz w:val="21"/>
                <w:szCs w:val="21"/>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5" w:type="dxa"/>
            <w:gridSpan w:val="7"/>
            <w:shd w:val="clear" w:color="auto" w:fill="FFFFFF"/>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lang w:bidi="ar"/>
              </w:rPr>
              <w:t>01合同包最高限价（不含增值税）（元）</w:t>
            </w:r>
          </w:p>
        </w:tc>
        <w:tc>
          <w:tcPr>
            <w:tcW w:w="1077"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235626</w:t>
            </w:r>
          </w:p>
        </w:tc>
      </w:tr>
    </w:tbl>
    <w:p>
      <w:pPr>
        <w:spacing w:line="440" w:lineRule="exact"/>
        <w:ind w:firstLine="420" w:firstLineChars="200"/>
        <w:jc w:val="left"/>
        <w:rPr>
          <w:rFonts w:hint="eastAsia" w:ascii="宋体" w:hAnsi="宋体"/>
          <w:sz w:val="21"/>
          <w:szCs w:val="21"/>
          <w:highlight w:val="none"/>
        </w:rPr>
      </w:pPr>
      <w:r>
        <w:rPr>
          <w:rFonts w:hint="eastAsia" w:ascii="宋体" w:hAnsi="宋体"/>
          <w:sz w:val="21"/>
          <w:szCs w:val="21"/>
          <w:highlight w:val="none"/>
          <w:lang w:val="en-US" w:eastAsia="zh-CN"/>
        </w:rPr>
        <w:t>2.2</w:t>
      </w:r>
      <w:r>
        <w:rPr>
          <w:rFonts w:hint="eastAsia" w:ascii="宋体" w:hAnsi="宋体"/>
          <w:sz w:val="21"/>
          <w:szCs w:val="21"/>
          <w:highlight w:val="none"/>
        </w:rPr>
        <w:t>供货地点：吉</w:t>
      </w:r>
      <w:r>
        <w:rPr>
          <w:rFonts w:hint="eastAsia" w:ascii="宋体" w:hAnsi="宋体"/>
          <w:color w:val="auto"/>
          <w:sz w:val="21"/>
          <w:szCs w:val="21"/>
          <w:highlight w:val="none"/>
        </w:rPr>
        <w:t>林省</w:t>
      </w:r>
      <w:r>
        <w:rPr>
          <w:rFonts w:hint="eastAsia" w:ascii="宋体" w:hAnsi="宋体"/>
          <w:sz w:val="21"/>
          <w:szCs w:val="21"/>
          <w:highlight w:val="none"/>
          <w:lang w:val="en-US" w:eastAsia="zh-CN"/>
        </w:rPr>
        <w:t>磐石市明城镇</w:t>
      </w:r>
      <w:r>
        <w:rPr>
          <w:rFonts w:hint="eastAsia" w:ascii="宋体" w:hAnsi="宋体"/>
          <w:sz w:val="21"/>
          <w:szCs w:val="21"/>
          <w:highlight w:val="none"/>
        </w:rPr>
        <w:t>，具体交货地点以</w:t>
      </w:r>
      <w:r>
        <w:rPr>
          <w:rFonts w:hint="eastAsia" w:ascii="宋体" w:hAnsi="宋体"/>
          <w:sz w:val="21"/>
          <w:szCs w:val="21"/>
          <w:highlight w:val="none"/>
          <w:lang w:val="en-US" w:eastAsia="zh-CN"/>
        </w:rPr>
        <w:t>招标</w:t>
      </w:r>
      <w:r>
        <w:rPr>
          <w:rFonts w:hint="eastAsia" w:ascii="宋体" w:hAnsi="宋体"/>
          <w:sz w:val="21"/>
          <w:szCs w:val="21"/>
          <w:highlight w:val="none"/>
        </w:rPr>
        <w:t>人要求为准。</w:t>
      </w:r>
    </w:p>
    <w:p>
      <w:pPr>
        <w:spacing w:line="440" w:lineRule="exact"/>
        <w:ind w:firstLine="420" w:firstLineChars="200"/>
        <w:jc w:val="left"/>
        <w:rPr>
          <w:rFonts w:hint="eastAsia" w:ascii="宋体" w:hAnsi="宋体"/>
          <w:sz w:val="21"/>
          <w:szCs w:val="21"/>
          <w:highlight w:val="none"/>
        </w:rPr>
      </w:pPr>
      <w:r>
        <w:rPr>
          <w:rFonts w:hint="eastAsia" w:ascii="宋体" w:hAnsi="宋体"/>
          <w:sz w:val="21"/>
          <w:szCs w:val="21"/>
          <w:highlight w:val="none"/>
          <w:lang w:val="en-US" w:eastAsia="zh-CN"/>
        </w:rPr>
        <w:t>2.3</w:t>
      </w:r>
      <w:r>
        <w:rPr>
          <w:rFonts w:hint="eastAsia" w:ascii="宋体" w:hAnsi="宋体"/>
          <w:sz w:val="21"/>
          <w:szCs w:val="21"/>
          <w:highlight w:val="none"/>
        </w:rPr>
        <w:t>供货周期：202</w:t>
      </w:r>
      <w:r>
        <w:rPr>
          <w:rFonts w:hint="eastAsia" w:ascii="宋体" w:hAnsi="宋体"/>
          <w:sz w:val="21"/>
          <w:szCs w:val="21"/>
          <w:highlight w:val="none"/>
          <w:lang w:val="en-US" w:eastAsia="zh-CN"/>
        </w:rPr>
        <w:t>1</w:t>
      </w:r>
      <w:r>
        <w:rPr>
          <w:rFonts w:hint="eastAsia" w:ascii="宋体" w:hAnsi="宋体"/>
          <w:sz w:val="21"/>
          <w:szCs w:val="21"/>
          <w:highlight w:val="none"/>
        </w:rPr>
        <w:t>年</w:t>
      </w:r>
      <w:r>
        <w:rPr>
          <w:rFonts w:hint="eastAsia" w:ascii="宋体" w:hAnsi="宋体"/>
          <w:sz w:val="21"/>
          <w:szCs w:val="21"/>
          <w:highlight w:val="none"/>
          <w:lang w:val="en-US" w:eastAsia="zh-CN"/>
        </w:rPr>
        <w:t>4</w:t>
      </w:r>
      <w:r>
        <w:rPr>
          <w:rFonts w:hint="eastAsia" w:ascii="宋体" w:hAnsi="宋体"/>
          <w:sz w:val="21"/>
          <w:szCs w:val="21"/>
          <w:highlight w:val="none"/>
          <w:u w:val="none"/>
        </w:rPr>
        <w:t>月</w:t>
      </w:r>
      <w:r>
        <w:rPr>
          <w:rFonts w:hint="eastAsia" w:ascii="宋体" w:hAnsi="宋体"/>
          <w:sz w:val="21"/>
          <w:szCs w:val="21"/>
          <w:highlight w:val="none"/>
          <w:u w:val="none"/>
          <w:lang w:val="en-US" w:eastAsia="zh-CN"/>
        </w:rPr>
        <w:t>8</w:t>
      </w:r>
      <w:r>
        <w:rPr>
          <w:rFonts w:hint="eastAsia" w:ascii="宋体" w:hAnsi="宋体"/>
          <w:sz w:val="21"/>
          <w:szCs w:val="21"/>
          <w:highlight w:val="none"/>
          <w:u w:val="none"/>
        </w:rPr>
        <w:t>日前开始供货，202</w:t>
      </w:r>
      <w:r>
        <w:rPr>
          <w:rFonts w:hint="eastAsia" w:ascii="宋体" w:hAnsi="宋体"/>
          <w:sz w:val="21"/>
          <w:szCs w:val="21"/>
          <w:highlight w:val="none"/>
          <w:u w:val="none"/>
          <w:lang w:val="en-US" w:eastAsia="zh-CN"/>
        </w:rPr>
        <w:t>1</w:t>
      </w:r>
      <w:r>
        <w:rPr>
          <w:rFonts w:hint="eastAsia" w:ascii="宋体" w:hAnsi="宋体"/>
          <w:sz w:val="21"/>
          <w:szCs w:val="21"/>
          <w:highlight w:val="none"/>
          <w:u w:val="none"/>
        </w:rPr>
        <w:t>年</w:t>
      </w:r>
      <w:r>
        <w:rPr>
          <w:rFonts w:hint="eastAsia" w:ascii="宋体" w:hAnsi="宋体"/>
          <w:sz w:val="21"/>
          <w:szCs w:val="21"/>
          <w:highlight w:val="none"/>
          <w:u w:val="none"/>
          <w:lang w:val="en-US" w:eastAsia="zh-CN"/>
        </w:rPr>
        <w:t>4</w:t>
      </w:r>
      <w:r>
        <w:rPr>
          <w:rFonts w:hint="eastAsia" w:ascii="宋体" w:hAnsi="宋体"/>
          <w:sz w:val="21"/>
          <w:szCs w:val="21"/>
          <w:highlight w:val="none"/>
          <w:u w:val="none"/>
        </w:rPr>
        <w:t>月</w:t>
      </w:r>
      <w:r>
        <w:rPr>
          <w:rFonts w:hint="eastAsia" w:ascii="宋体" w:hAnsi="宋体"/>
          <w:sz w:val="21"/>
          <w:szCs w:val="21"/>
          <w:highlight w:val="none"/>
          <w:u w:val="none"/>
          <w:lang w:val="en-US" w:eastAsia="zh-CN"/>
        </w:rPr>
        <w:t>10</w:t>
      </w:r>
      <w:r>
        <w:rPr>
          <w:rFonts w:hint="eastAsia" w:ascii="宋体" w:hAnsi="宋体"/>
          <w:sz w:val="21"/>
          <w:szCs w:val="21"/>
          <w:highlight w:val="none"/>
        </w:rPr>
        <w:t>日前安装调试完毕。</w:t>
      </w:r>
    </w:p>
    <w:p>
      <w:pPr>
        <w:pStyle w:val="5"/>
        <w:spacing w:before="240" w:beforeLines="100" w:after="0" w:line="360" w:lineRule="auto"/>
        <w:rPr>
          <w:rFonts w:hint="eastAsia" w:ascii="宋体" w:hAnsi="宋体" w:cs="宋体"/>
          <w:color w:val="000000"/>
          <w:kern w:val="44"/>
          <w:highlight w:val="none"/>
        </w:rPr>
      </w:pPr>
      <w:bookmarkStart w:id="3" w:name="_Toc359047600"/>
      <w:bookmarkStart w:id="4" w:name="_Toc359047680"/>
      <w:bookmarkStart w:id="5" w:name="_Toc359047736"/>
      <w:r>
        <w:rPr>
          <w:rFonts w:hint="eastAsia" w:ascii="宋体" w:hAnsi="宋体" w:cs="宋体"/>
          <w:color w:val="000000"/>
          <w:kern w:val="44"/>
          <w:highlight w:val="none"/>
        </w:rPr>
        <w:t>3.投标人资格要求</w:t>
      </w:r>
      <w:bookmarkEnd w:id="3"/>
      <w:bookmarkEnd w:id="4"/>
      <w:bookmarkEnd w:id="5"/>
    </w:p>
    <w:p>
      <w:pPr>
        <w:spacing w:line="400" w:lineRule="exact"/>
        <w:ind w:firstLine="315" w:firstLineChars="150"/>
        <w:rPr>
          <w:rFonts w:hint="eastAsia" w:ascii="宋体" w:hAnsi="宋体" w:cs="宋体"/>
          <w:color w:val="000000"/>
          <w:sz w:val="21"/>
          <w:szCs w:val="21"/>
          <w:highlight w:val="none"/>
        </w:rPr>
      </w:pPr>
      <w:r>
        <w:rPr>
          <w:rFonts w:hint="eastAsia" w:ascii="宋体" w:hAnsi="宋体" w:cs="宋体"/>
          <w:color w:val="000000"/>
          <w:sz w:val="21"/>
          <w:szCs w:val="21"/>
          <w:highlight w:val="none"/>
        </w:rPr>
        <w:t>3.1</w:t>
      </w:r>
      <w:r>
        <w:rPr>
          <w:rFonts w:hint="eastAsia" w:ascii="宋体" w:hAnsi="宋体"/>
          <w:sz w:val="21"/>
          <w:szCs w:val="21"/>
          <w:highlight w:val="none"/>
        </w:rPr>
        <w:t>本次招标要求</w:t>
      </w:r>
      <w:r>
        <w:rPr>
          <w:rFonts w:ascii="宋体" w:hAnsi="宋体"/>
          <w:sz w:val="21"/>
          <w:szCs w:val="21"/>
          <w:highlight w:val="none"/>
        </w:rPr>
        <w:t>供应商</w:t>
      </w:r>
      <w:r>
        <w:rPr>
          <w:rFonts w:hint="eastAsia" w:ascii="宋体" w:hAnsi="宋体"/>
          <w:sz w:val="21"/>
          <w:szCs w:val="21"/>
          <w:highlight w:val="none"/>
        </w:rPr>
        <w:t>为中华人民共和国境内具备独立法人资格的企业或事业单位，为仪器设备的制造商或代理商或经销商，具有与本次招标仪器设备相应的供货能力</w:t>
      </w:r>
      <w:r>
        <w:rPr>
          <w:rFonts w:hint="eastAsia" w:ascii="宋体" w:hAnsi="宋体" w:cs="宋体"/>
          <w:color w:val="000000"/>
          <w:sz w:val="21"/>
          <w:szCs w:val="21"/>
          <w:highlight w:val="none"/>
        </w:rPr>
        <w:t>。</w:t>
      </w:r>
    </w:p>
    <w:p>
      <w:pPr>
        <w:spacing w:line="400" w:lineRule="exact"/>
        <w:ind w:firstLine="315" w:firstLineChars="150"/>
        <w:rPr>
          <w:rFonts w:hint="eastAsia" w:ascii="宋体" w:hAnsi="宋体" w:cs="宋体"/>
          <w:color w:val="000000"/>
          <w:sz w:val="21"/>
          <w:szCs w:val="21"/>
          <w:highlight w:val="none"/>
        </w:rPr>
      </w:pPr>
      <w:r>
        <w:rPr>
          <w:rFonts w:hint="eastAsia" w:ascii="宋体" w:hAnsi="宋体" w:cs="宋体"/>
          <w:color w:val="000000"/>
          <w:sz w:val="21"/>
          <w:szCs w:val="21"/>
          <w:highlight w:val="none"/>
        </w:rPr>
        <w:t>3.2 本次招标不接受联合体投标。</w:t>
      </w:r>
    </w:p>
    <w:p>
      <w:pPr>
        <w:rPr>
          <w:rFonts w:hint="eastAsia" w:ascii="宋体" w:hAnsi="宋体" w:cs="宋体"/>
          <w:color w:val="000000"/>
          <w:kern w:val="44"/>
          <w:sz w:val="21"/>
          <w:szCs w:val="21"/>
          <w:highlight w:val="none"/>
        </w:rPr>
      </w:pPr>
      <w:r>
        <w:rPr>
          <w:rFonts w:hint="eastAsia" w:ascii="宋体" w:hAnsi="宋体" w:cs="宋体"/>
          <w:color w:val="000000"/>
          <w:kern w:val="44"/>
          <w:sz w:val="21"/>
          <w:szCs w:val="21"/>
          <w:highlight w:val="none"/>
        </w:rPr>
        <w:br w:type="page"/>
      </w:r>
    </w:p>
    <w:p>
      <w:pPr>
        <w:pStyle w:val="5"/>
        <w:spacing w:before="240" w:beforeLines="100" w:after="0" w:line="360" w:lineRule="auto"/>
        <w:rPr>
          <w:rFonts w:ascii="宋体" w:hAnsi="宋体" w:cs="宋体"/>
          <w:color w:val="000000"/>
          <w:kern w:val="44"/>
          <w:highlight w:val="none"/>
        </w:rPr>
      </w:pPr>
      <w:r>
        <w:rPr>
          <w:rFonts w:hint="eastAsia" w:ascii="宋体" w:hAnsi="宋体" w:cs="宋体"/>
          <w:color w:val="000000"/>
          <w:kern w:val="44"/>
          <w:highlight w:val="none"/>
        </w:rPr>
        <w:t>4. 评标办法（综合评估法）</w:t>
      </w:r>
    </w:p>
    <w:p>
      <w:pPr>
        <w:pStyle w:val="4"/>
        <w:spacing w:after="0" w:line="415" w:lineRule="auto"/>
        <w:rPr>
          <w:rFonts w:ascii="宋体" w:hAnsi="宋体" w:cs="宋体"/>
          <w:color w:val="000000"/>
          <w:highlight w:val="none"/>
          <w:lang w:val="zh-CN"/>
        </w:rPr>
      </w:pPr>
      <w:bookmarkStart w:id="6" w:name="_Toc23545"/>
      <w:bookmarkStart w:id="7" w:name="_Toc179632618"/>
      <w:bookmarkStart w:id="8" w:name="_Toc152042377"/>
      <w:bookmarkStart w:id="9" w:name="_Toc152045600"/>
      <w:bookmarkStart w:id="10" w:name="_Toc144974567"/>
      <w:r>
        <w:rPr>
          <w:rFonts w:hint="eastAsia" w:ascii="宋体" w:hAnsi="宋体" w:cs="宋体"/>
          <w:color w:val="000000"/>
          <w:sz w:val="28"/>
          <w:szCs w:val="28"/>
          <w:highlight w:val="none"/>
          <w:lang w:val="zh-CN"/>
        </w:rPr>
        <w:t>评标办法前附表</w:t>
      </w:r>
      <w:bookmarkEnd w:id="6"/>
    </w:p>
    <w:p>
      <w:pPr>
        <w:snapToGrid w:val="0"/>
        <w:jc w:val="center"/>
        <w:rPr>
          <w:rFonts w:ascii="宋体" w:hAnsi="宋体" w:cs="宋体"/>
          <w:b/>
          <w:color w:val="000000"/>
          <w:szCs w:val="21"/>
          <w:highlight w:val="none"/>
        </w:rPr>
        <w:sectPr>
          <w:pgSz w:w="11906" w:h="16838"/>
          <w:pgMar w:top="1418" w:right="1701" w:bottom="1588" w:left="1701" w:header="851" w:footer="992" w:gutter="0"/>
          <w:cols w:space="720" w:num="1"/>
          <w:docGrid w:linePitch="312" w:charSpace="0"/>
        </w:sectPr>
      </w:pPr>
    </w:p>
    <w:tbl>
      <w:tblPr>
        <w:tblStyle w:val="16"/>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64"/>
        <w:gridCol w:w="2476"/>
        <w:gridCol w:w="5221"/>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47" w:hRule="atLeast"/>
          <w:jc w:val="center"/>
        </w:trPr>
        <w:tc>
          <w:tcPr>
            <w:tcW w:w="2537" w:type="dxa"/>
            <w:gridSpan w:val="2"/>
            <w:noWrap w:val="0"/>
            <w:vAlign w:val="center"/>
          </w:tcPr>
          <w:p>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476" w:type="dxa"/>
            <w:noWrap w:val="0"/>
            <w:vAlign w:val="center"/>
          </w:tcPr>
          <w:p>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评审因素</w:t>
            </w:r>
          </w:p>
        </w:tc>
        <w:tc>
          <w:tcPr>
            <w:tcW w:w="5221" w:type="dxa"/>
            <w:noWrap w:val="0"/>
            <w:vAlign w:val="center"/>
          </w:tcPr>
          <w:p>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804" w:hRule="atLeast"/>
          <w:jc w:val="center"/>
        </w:trPr>
        <w:tc>
          <w:tcPr>
            <w:tcW w:w="873"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1664"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评标方法</w:t>
            </w: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中标候选人排序方法</w:t>
            </w:r>
          </w:p>
        </w:tc>
        <w:tc>
          <w:tcPr>
            <w:tcW w:w="5221" w:type="dxa"/>
            <w:noWrap w:val="0"/>
            <w:vAlign w:val="top"/>
          </w:tcPr>
          <w:p>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技术得分高的优先；如果技术得分也相等，由评标委员会投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4" w:hRule="atLeast"/>
          <w:jc w:val="center"/>
        </w:trPr>
        <w:tc>
          <w:tcPr>
            <w:tcW w:w="873" w:type="dxa"/>
            <w:vMerge w:val="restart"/>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2.1.1</w:t>
            </w:r>
          </w:p>
        </w:tc>
        <w:tc>
          <w:tcPr>
            <w:tcW w:w="1664" w:type="dxa"/>
            <w:vMerge w:val="restart"/>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形式评审标准</w:t>
            </w: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投标人名称</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与营业执照（事业单位法人证书）一致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7"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投标函签字盖章</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有法定代表人</w:t>
            </w:r>
            <w:bookmarkStart w:id="11" w:name="_Toc361508643"/>
            <w:bookmarkStart w:id="12" w:name="_Toc144974551"/>
            <w:bookmarkStart w:id="13" w:name="_Toc247514008"/>
            <w:bookmarkStart w:id="14" w:name="_Toc369531574"/>
            <w:bookmarkStart w:id="15" w:name="_Toc6546"/>
            <w:bookmarkStart w:id="16" w:name="_Toc300835005"/>
            <w:bookmarkStart w:id="17" w:name="_Toc384308269"/>
            <w:bookmarkStart w:id="18" w:name="_Toc352691530"/>
            <w:bookmarkStart w:id="19" w:name="_Toc152042361"/>
            <w:bookmarkStart w:id="20" w:name="_Toc152045584"/>
            <w:bookmarkStart w:id="21" w:name="_Toc247527609"/>
            <w:r>
              <w:rPr>
                <w:rFonts w:hint="eastAsia" w:ascii="宋体" w:hAnsi="宋体" w:cs="宋体"/>
                <w:color w:val="000000"/>
                <w:szCs w:val="21"/>
                <w:highlight w:val="none"/>
              </w:rPr>
              <w:t>或其委托</w:t>
            </w:r>
            <w:bookmarkEnd w:id="11"/>
            <w:bookmarkEnd w:id="12"/>
            <w:bookmarkEnd w:id="13"/>
            <w:bookmarkEnd w:id="14"/>
            <w:bookmarkEnd w:id="15"/>
            <w:bookmarkEnd w:id="16"/>
            <w:bookmarkEnd w:id="17"/>
            <w:bookmarkEnd w:id="18"/>
            <w:bookmarkEnd w:id="19"/>
            <w:bookmarkEnd w:id="20"/>
            <w:bookmarkEnd w:id="21"/>
            <w:r>
              <w:rPr>
                <w:rFonts w:hint="eastAsia" w:ascii="宋体" w:hAnsi="宋体" w:cs="宋体"/>
                <w:color w:val="000000"/>
                <w:szCs w:val="21"/>
                <w:highlight w:val="none"/>
              </w:rPr>
              <w:t>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53"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投标文件格式</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7"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联合体投标人</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未以联合体形式投标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93"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ascii="宋体" w:hAnsi="宋体"/>
                <w:color w:val="000000"/>
                <w:szCs w:val="21"/>
                <w:highlight w:val="none"/>
              </w:rPr>
            </w:pPr>
            <w:r>
              <w:rPr>
                <w:rFonts w:ascii="宋体" w:hAnsi="宋体"/>
                <w:color w:val="000000"/>
                <w:szCs w:val="21"/>
                <w:highlight w:val="none"/>
              </w:rPr>
              <w:t>备选投标方案</w:t>
            </w:r>
          </w:p>
        </w:tc>
        <w:tc>
          <w:tcPr>
            <w:tcW w:w="5221" w:type="dxa"/>
            <w:noWrap w:val="0"/>
            <w:vAlign w:val="center"/>
          </w:tcPr>
          <w:p>
            <w:pPr>
              <w:snapToGrid w:val="0"/>
              <w:rPr>
                <w:rFonts w:ascii="宋体" w:hAnsi="宋体"/>
                <w:color w:val="000000"/>
                <w:szCs w:val="21"/>
                <w:highlight w:val="none"/>
              </w:rPr>
            </w:pPr>
            <w:r>
              <w:rPr>
                <w:rFonts w:ascii="宋体" w:hAnsi="宋体"/>
                <w:color w:val="000000"/>
                <w:szCs w:val="21"/>
                <w:highlight w:val="none"/>
              </w:rPr>
              <w:t>除招标文件明确允许提交备选投标方案外，投标人不得提交备选投标方案</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70" w:hRule="atLeast"/>
          <w:jc w:val="center"/>
        </w:trPr>
        <w:tc>
          <w:tcPr>
            <w:tcW w:w="873" w:type="dxa"/>
            <w:vMerge w:val="restart"/>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2.1.2</w:t>
            </w:r>
          </w:p>
        </w:tc>
        <w:tc>
          <w:tcPr>
            <w:tcW w:w="1664" w:type="dxa"/>
            <w:vMerge w:val="restart"/>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资格评审标准</w:t>
            </w: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营业执照（事业单位法人证书）和组织机构代码证</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符合第二章“投标人须知”第3.5.1项规定，具备有效的营业执照（事业单位法人证书）和组织机构代码证。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9" w:hRule="atLeast"/>
          <w:jc w:val="center"/>
        </w:trPr>
        <w:tc>
          <w:tcPr>
            <w:tcW w:w="873" w:type="dxa"/>
            <w:vMerge w:val="continue"/>
            <w:noWrap w:val="0"/>
            <w:vAlign w:val="center"/>
          </w:tcPr>
          <w:p>
            <w:pPr>
              <w:snapToGrid w:val="0"/>
              <w:jc w:val="center"/>
              <w:rPr>
                <w:rFonts w:hint="eastAsia" w:ascii="宋体" w:hAnsi="宋体" w:cs="宋体"/>
                <w:color w:val="000000"/>
                <w:szCs w:val="21"/>
                <w:highlight w:val="none"/>
              </w:rPr>
            </w:pPr>
          </w:p>
        </w:tc>
        <w:tc>
          <w:tcPr>
            <w:tcW w:w="1664" w:type="dxa"/>
            <w:vMerge w:val="continue"/>
            <w:noWrap w:val="0"/>
            <w:vAlign w:val="center"/>
          </w:tcPr>
          <w:p>
            <w:pPr>
              <w:snapToGrid w:val="0"/>
              <w:jc w:val="center"/>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其他要求</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7"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不存在禁止投标的情形</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3" w:hRule="atLeast"/>
          <w:jc w:val="center"/>
        </w:trPr>
        <w:tc>
          <w:tcPr>
            <w:tcW w:w="873" w:type="dxa"/>
            <w:vMerge w:val="restart"/>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2.1.3</w:t>
            </w:r>
          </w:p>
        </w:tc>
        <w:tc>
          <w:tcPr>
            <w:tcW w:w="1664" w:type="dxa"/>
            <w:vMerge w:val="restart"/>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响应性评审标准</w:t>
            </w: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投标报价</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9" w:hRule="atLeast"/>
          <w:jc w:val="center"/>
        </w:trPr>
        <w:tc>
          <w:tcPr>
            <w:tcW w:w="873" w:type="dxa"/>
            <w:vMerge w:val="continue"/>
            <w:noWrap w:val="0"/>
            <w:vAlign w:val="center"/>
          </w:tcPr>
          <w:p>
            <w:pPr>
              <w:snapToGrid w:val="0"/>
              <w:jc w:val="center"/>
              <w:rPr>
                <w:rFonts w:hint="eastAsia" w:ascii="宋体" w:hAnsi="宋体" w:cs="宋体"/>
                <w:color w:val="000000"/>
                <w:szCs w:val="21"/>
                <w:highlight w:val="none"/>
              </w:rPr>
            </w:pPr>
          </w:p>
        </w:tc>
        <w:tc>
          <w:tcPr>
            <w:tcW w:w="1664" w:type="dxa"/>
            <w:vMerge w:val="continue"/>
            <w:noWrap w:val="0"/>
            <w:vAlign w:val="center"/>
          </w:tcPr>
          <w:p>
            <w:pPr>
              <w:snapToGrid w:val="0"/>
              <w:jc w:val="center"/>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投标内容</w:t>
            </w:r>
          </w:p>
        </w:tc>
        <w:tc>
          <w:tcPr>
            <w:tcW w:w="5221" w:type="dxa"/>
            <w:noWrap w:val="0"/>
            <w:vAlign w:val="center"/>
          </w:tcPr>
          <w:p>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1" w:hRule="atLeast"/>
          <w:jc w:val="center"/>
        </w:trPr>
        <w:tc>
          <w:tcPr>
            <w:tcW w:w="873" w:type="dxa"/>
            <w:vMerge w:val="continue"/>
            <w:noWrap w:val="0"/>
            <w:vAlign w:val="center"/>
          </w:tcPr>
          <w:p>
            <w:pPr>
              <w:snapToGrid w:val="0"/>
              <w:jc w:val="center"/>
              <w:rPr>
                <w:rFonts w:hint="eastAsia" w:ascii="宋体" w:hAnsi="宋体" w:cs="宋体"/>
                <w:color w:val="000000"/>
                <w:szCs w:val="21"/>
                <w:highlight w:val="none"/>
              </w:rPr>
            </w:pPr>
          </w:p>
        </w:tc>
        <w:tc>
          <w:tcPr>
            <w:tcW w:w="1664" w:type="dxa"/>
            <w:vMerge w:val="continue"/>
            <w:noWrap w:val="0"/>
            <w:vAlign w:val="center"/>
          </w:tcPr>
          <w:p>
            <w:pPr>
              <w:snapToGrid w:val="0"/>
              <w:jc w:val="center"/>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交货期</w:t>
            </w:r>
          </w:p>
        </w:tc>
        <w:tc>
          <w:tcPr>
            <w:tcW w:w="5221" w:type="dxa"/>
            <w:noWrap w:val="0"/>
            <w:vAlign w:val="center"/>
          </w:tcPr>
          <w:p>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31" w:hRule="atLeast"/>
          <w:jc w:val="center"/>
        </w:trPr>
        <w:tc>
          <w:tcPr>
            <w:tcW w:w="873" w:type="dxa"/>
            <w:vMerge w:val="continue"/>
            <w:noWrap w:val="0"/>
            <w:vAlign w:val="center"/>
          </w:tcPr>
          <w:p>
            <w:pPr>
              <w:snapToGrid w:val="0"/>
              <w:jc w:val="center"/>
              <w:rPr>
                <w:rFonts w:hint="eastAsia" w:ascii="宋体" w:hAnsi="宋体" w:cs="宋体"/>
                <w:color w:val="000000"/>
                <w:szCs w:val="21"/>
                <w:highlight w:val="none"/>
              </w:rPr>
            </w:pPr>
          </w:p>
        </w:tc>
        <w:tc>
          <w:tcPr>
            <w:tcW w:w="1664" w:type="dxa"/>
            <w:vMerge w:val="continue"/>
            <w:noWrap w:val="0"/>
            <w:vAlign w:val="center"/>
          </w:tcPr>
          <w:p>
            <w:pPr>
              <w:snapToGrid w:val="0"/>
              <w:jc w:val="center"/>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交货地点</w:t>
            </w:r>
          </w:p>
        </w:tc>
        <w:tc>
          <w:tcPr>
            <w:tcW w:w="5221" w:type="dxa"/>
            <w:noWrap w:val="0"/>
            <w:vAlign w:val="center"/>
          </w:tcPr>
          <w:p>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10" w:hRule="atLeast"/>
          <w:jc w:val="center"/>
        </w:trPr>
        <w:tc>
          <w:tcPr>
            <w:tcW w:w="873" w:type="dxa"/>
            <w:vMerge w:val="continue"/>
            <w:noWrap w:val="0"/>
            <w:vAlign w:val="center"/>
          </w:tcPr>
          <w:p>
            <w:pPr>
              <w:snapToGrid w:val="0"/>
              <w:jc w:val="center"/>
              <w:rPr>
                <w:rFonts w:hint="eastAsia" w:ascii="宋体" w:hAnsi="宋体" w:cs="宋体"/>
                <w:color w:val="000000"/>
                <w:szCs w:val="21"/>
                <w:highlight w:val="none"/>
              </w:rPr>
            </w:pPr>
          </w:p>
        </w:tc>
        <w:tc>
          <w:tcPr>
            <w:tcW w:w="1664" w:type="dxa"/>
            <w:vMerge w:val="continue"/>
            <w:noWrap w:val="0"/>
            <w:vAlign w:val="center"/>
          </w:tcPr>
          <w:p>
            <w:pPr>
              <w:snapToGrid w:val="0"/>
              <w:jc w:val="center"/>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szCs w:val="21"/>
                <w:highlight w:val="none"/>
              </w:rPr>
              <w:t>技术性能指标</w:t>
            </w:r>
          </w:p>
        </w:tc>
        <w:tc>
          <w:tcPr>
            <w:tcW w:w="5221" w:type="dxa"/>
            <w:noWrap w:val="0"/>
            <w:vAlign w:val="center"/>
          </w:tcPr>
          <w:p>
            <w:pPr>
              <w:snapToGrid w:val="0"/>
              <w:jc w:val="left"/>
              <w:rPr>
                <w:rFonts w:hint="eastAsia" w:ascii="宋体" w:hAnsi="宋体" w:cs="宋体"/>
                <w:color w:val="000000"/>
                <w:szCs w:val="21"/>
                <w:highlight w:val="none"/>
              </w:rPr>
            </w:pPr>
            <w:r>
              <w:rPr>
                <w:rFonts w:hint="eastAsia" w:ascii="宋体" w:hAnsi="宋体" w:cs="宋体"/>
                <w:szCs w:val="21"/>
                <w:highlight w:val="none"/>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7"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投标有效期</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09"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投标保证金</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符合第二章“投标人须知”第3.4.1款规定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10"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权利义务</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74"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szCs w:val="21"/>
                <w:highlight w:val="none"/>
              </w:rPr>
              <w:t>投标设备及技术服务和质保期服务</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szCs w:val="21"/>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67" w:hRule="atLeast"/>
          <w:jc w:val="center"/>
        </w:trPr>
        <w:tc>
          <w:tcPr>
            <w:tcW w:w="873" w:type="dxa"/>
            <w:vMerge w:val="continue"/>
            <w:noWrap w:val="0"/>
            <w:vAlign w:val="center"/>
          </w:tcPr>
          <w:p>
            <w:pPr>
              <w:snapToGrid w:val="0"/>
              <w:rPr>
                <w:rFonts w:hint="eastAsia" w:ascii="宋体" w:hAnsi="宋体" w:cs="宋体"/>
                <w:color w:val="000000"/>
                <w:szCs w:val="21"/>
                <w:highlight w:val="none"/>
              </w:rPr>
            </w:pPr>
          </w:p>
        </w:tc>
        <w:tc>
          <w:tcPr>
            <w:tcW w:w="1664" w:type="dxa"/>
            <w:vMerge w:val="continue"/>
            <w:noWrap w:val="0"/>
            <w:vAlign w:val="center"/>
          </w:tcPr>
          <w:p>
            <w:pPr>
              <w:snapToGrid w:val="0"/>
              <w:rPr>
                <w:rFonts w:hint="eastAsia" w:ascii="宋体" w:hAnsi="宋体" w:cs="宋体"/>
                <w:color w:val="000000"/>
                <w:szCs w:val="21"/>
                <w:highlight w:val="none"/>
              </w:rPr>
            </w:pP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技术支持资料</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87" w:hRule="atLeast"/>
          <w:jc w:val="center"/>
        </w:trPr>
        <w:tc>
          <w:tcPr>
            <w:tcW w:w="2537" w:type="dxa"/>
            <w:gridSpan w:val="2"/>
            <w:noWrap w:val="0"/>
            <w:vAlign w:val="center"/>
          </w:tcPr>
          <w:p>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476" w:type="dxa"/>
            <w:noWrap w:val="0"/>
            <w:vAlign w:val="center"/>
          </w:tcPr>
          <w:p>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条款内容</w:t>
            </w:r>
          </w:p>
        </w:tc>
        <w:tc>
          <w:tcPr>
            <w:tcW w:w="5221" w:type="dxa"/>
            <w:noWrap w:val="0"/>
            <w:vAlign w:val="center"/>
          </w:tcPr>
          <w:p>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7" w:hRule="atLeast"/>
          <w:jc w:val="center"/>
        </w:trPr>
        <w:tc>
          <w:tcPr>
            <w:tcW w:w="2537" w:type="dxa"/>
            <w:gridSpan w:val="2"/>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2.2.1</w:t>
            </w: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分值构成</w:t>
            </w:r>
          </w:p>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(总分100分)</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商务部分：15 分</w:t>
            </w:r>
          </w:p>
          <w:p>
            <w:pPr>
              <w:snapToGrid w:val="0"/>
              <w:rPr>
                <w:rFonts w:hint="eastAsia" w:ascii="宋体" w:hAnsi="宋体" w:cs="宋体"/>
                <w:color w:val="000000"/>
                <w:szCs w:val="21"/>
                <w:highlight w:val="none"/>
              </w:rPr>
            </w:pPr>
            <w:r>
              <w:rPr>
                <w:rFonts w:hint="eastAsia" w:ascii="宋体" w:hAnsi="宋体" w:cs="宋体"/>
                <w:color w:val="000000"/>
                <w:szCs w:val="21"/>
                <w:highlight w:val="none"/>
              </w:rPr>
              <w:t>技术部分：55 分</w:t>
            </w:r>
          </w:p>
          <w:p>
            <w:pPr>
              <w:snapToGrid w:val="0"/>
              <w:rPr>
                <w:rFonts w:hint="eastAsia" w:ascii="宋体" w:hAnsi="宋体" w:cs="宋体"/>
                <w:color w:val="000000"/>
                <w:szCs w:val="21"/>
                <w:highlight w:val="none"/>
              </w:rPr>
            </w:pPr>
            <w:r>
              <w:rPr>
                <w:rFonts w:hint="eastAsia" w:ascii="宋体" w:hAnsi="宋体" w:cs="宋体"/>
                <w:color w:val="000000"/>
                <w:szCs w:val="21"/>
                <w:highlight w:val="none"/>
              </w:rPr>
              <w:t>投标报价：30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7" w:hRule="atLeast"/>
          <w:jc w:val="center"/>
        </w:trPr>
        <w:tc>
          <w:tcPr>
            <w:tcW w:w="2537" w:type="dxa"/>
            <w:gridSpan w:val="2"/>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2.2.2</w:t>
            </w:r>
          </w:p>
        </w:tc>
        <w:tc>
          <w:tcPr>
            <w:tcW w:w="2476" w:type="dxa"/>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评标基准价计算方法</w:t>
            </w:r>
          </w:p>
        </w:tc>
        <w:tc>
          <w:tcPr>
            <w:tcW w:w="5221" w:type="dxa"/>
            <w:noWrap w:val="0"/>
            <w:vAlign w:val="center"/>
          </w:tcPr>
          <w:p>
            <w:pPr>
              <w:snapToGrid w:val="0"/>
              <w:rPr>
                <w:rFonts w:hint="eastAsia" w:ascii="宋体" w:hAnsi="宋体" w:cs="宋体"/>
                <w:color w:val="000000"/>
                <w:szCs w:val="21"/>
                <w:highlight w:val="none"/>
              </w:rPr>
            </w:pPr>
            <w:r>
              <w:rPr>
                <w:rFonts w:hint="eastAsia" w:ascii="宋体" w:hAnsi="宋体" w:cs="宋体"/>
                <w:color w:val="000000"/>
                <w:szCs w:val="21"/>
                <w:highlight w:val="none"/>
              </w:rPr>
              <w:t>评标基准价的计算：</w:t>
            </w:r>
          </w:p>
          <w:p>
            <w:pPr>
              <w:snapToGrid w:val="0"/>
              <w:rPr>
                <w:rFonts w:ascii="宋体" w:hAnsi="宋体" w:cs="宋体"/>
                <w:color w:val="000000"/>
                <w:szCs w:val="21"/>
                <w:highlight w:val="none"/>
              </w:rPr>
            </w:pPr>
            <w:r>
              <w:rPr>
                <w:rFonts w:hint="eastAsia" w:ascii="宋体" w:hAnsi="宋体" w:cs="宋体"/>
                <w:color w:val="000000"/>
                <w:szCs w:val="21"/>
                <w:highlight w:val="none"/>
              </w:rPr>
              <w:t>（1）评标价的确定：</w:t>
            </w:r>
          </w:p>
          <w:p>
            <w:pPr>
              <w:snapToGrid w:val="0"/>
              <w:rPr>
                <w:rFonts w:ascii="宋体" w:hAnsi="宋体" w:cs="宋体"/>
                <w:color w:val="000000"/>
                <w:szCs w:val="21"/>
                <w:highlight w:val="none"/>
              </w:rPr>
            </w:pPr>
            <w:r>
              <w:rPr>
                <w:rFonts w:hint="eastAsia" w:ascii="宋体" w:hAnsi="宋体" w:cs="宋体"/>
                <w:color w:val="000000"/>
                <w:szCs w:val="21"/>
                <w:highlight w:val="none"/>
              </w:rPr>
              <w:t>评标价=投标函文字报价</w:t>
            </w:r>
          </w:p>
          <w:p>
            <w:pPr>
              <w:snapToGrid w:val="0"/>
              <w:rPr>
                <w:rFonts w:hint="eastAsia" w:ascii="宋体" w:hAnsi="宋体" w:cs="宋体"/>
                <w:color w:val="000000"/>
                <w:szCs w:val="21"/>
                <w:highlight w:val="none"/>
              </w:rPr>
            </w:pPr>
            <w:r>
              <w:rPr>
                <w:rFonts w:hint="eastAsia" w:ascii="宋体" w:hAnsi="宋体" w:cs="宋体"/>
                <w:color w:val="000000"/>
                <w:szCs w:val="21"/>
                <w:highlight w:val="none"/>
              </w:rPr>
              <w:t>（2）评标价平均值的确定：</w:t>
            </w:r>
          </w:p>
          <w:p>
            <w:pPr>
              <w:snapToGrid w:val="0"/>
              <w:rPr>
                <w:rFonts w:ascii="宋体" w:hAnsi="宋体" w:cs="宋体"/>
                <w:color w:val="000000"/>
                <w:szCs w:val="21"/>
                <w:highlight w:val="none"/>
              </w:rPr>
            </w:pPr>
            <w:r>
              <w:rPr>
                <w:rFonts w:hint="eastAsia" w:ascii="宋体" w:hAnsi="宋体" w:cs="宋体"/>
                <w:color w:val="000000"/>
                <w:szCs w:val="21"/>
                <w:highlight w:val="none"/>
              </w:rPr>
              <w:t>以所有通过初步评审的投标人评标价去掉一个最高值和一个最低值后的算术平均值即为评标价平均值（如果通过初步评审的投标人数量少于5家时，则计算评标价平均值时不去掉最高值和最低值）。</w:t>
            </w:r>
          </w:p>
          <w:p>
            <w:pPr>
              <w:snapToGrid w:val="0"/>
              <w:rPr>
                <w:rFonts w:ascii="宋体" w:hAnsi="宋体" w:cs="宋体"/>
                <w:color w:val="000000"/>
                <w:szCs w:val="21"/>
                <w:highlight w:val="none"/>
              </w:rPr>
            </w:pPr>
            <w:r>
              <w:rPr>
                <w:rFonts w:hint="eastAsia" w:ascii="宋体" w:hAnsi="宋体" w:cs="宋体"/>
                <w:color w:val="000000"/>
                <w:szCs w:val="21"/>
                <w:highlight w:val="none"/>
              </w:rPr>
              <w:t>（3）评标基准价的确定：</w:t>
            </w:r>
          </w:p>
          <w:p>
            <w:pPr>
              <w:snapToGrid w:val="0"/>
              <w:rPr>
                <w:rFonts w:hint="eastAsia" w:ascii="宋体" w:hAnsi="宋体" w:cs="宋体"/>
                <w:color w:val="000000"/>
                <w:szCs w:val="21"/>
                <w:highlight w:val="none"/>
              </w:rPr>
            </w:pPr>
            <w:r>
              <w:rPr>
                <w:rFonts w:hint="eastAsia" w:ascii="宋体" w:hAnsi="宋体" w:cs="宋体"/>
                <w:color w:val="000000"/>
                <w:szCs w:val="21"/>
                <w:highlight w:val="none"/>
              </w:rPr>
              <w:t>将评标价平均值直接作为评标基准价。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26" w:hRule="atLeast"/>
          <w:jc w:val="center"/>
        </w:trPr>
        <w:tc>
          <w:tcPr>
            <w:tcW w:w="2537" w:type="dxa"/>
            <w:gridSpan w:val="2"/>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2.2.3</w:t>
            </w:r>
          </w:p>
        </w:tc>
        <w:tc>
          <w:tcPr>
            <w:tcW w:w="2476" w:type="dxa"/>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投标报价的偏差率</w:t>
            </w:r>
          </w:p>
          <w:p>
            <w:pPr>
              <w:snapToGrid w:val="0"/>
              <w:jc w:val="center"/>
              <w:rPr>
                <w:rFonts w:hint="eastAsia" w:ascii="宋体" w:hAnsi="宋体" w:cs="宋体"/>
                <w:color w:val="000000"/>
                <w:szCs w:val="21"/>
                <w:highlight w:val="none"/>
              </w:rPr>
            </w:pPr>
            <w:r>
              <w:rPr>
                <w:rFonts w:hint="eastAsia" w:ascii="宋体" w:hAnsi="宋体" w:cs="宋体"/>
                <w:szCs w:val="21"/>
                <w:highlight w:val="none"/>
              </w:rPr>
              <w:t>计算公式</w:t>
            </w:r>
          </w:p>
        </w:tc>
        <w:tc>
          <w:tcPr>
            <w:tcW w:w="5221" w:type="dxa"/>
            <w:noWrap w:val="0"/>
            <w:vAlign w:val="center"/>
          </w:tcPr>
          <w:p>
            <w:pPr>
              <w:spacing w:line="320" w:lineRule="exact"/>
              <w:jc w:val="left"/>
              <w:rPr>
                <w:rFonts w:hint="eastAsia" w:ascii="宋体" w:hAnsi="宋体"/>
                <w:szCs w:val="21"/>
                <w:highlight w:val="none"/>
              </w:rPr>
            </w:pPr>
            <w:r>
              <w:rPr>
                <w:rFonts w:hint="eastAsia" w:ascii="宋体" w:hAnsi="宋体"/>
                <w:szCs w:val="21"/>
                <w:highlight w:val="none"/>
              </w:rPr>
              <w:t>偏差率=100%×（投标人评标价-评标基准价）/评标基准价</w:t>
            </w:r>
          </w:p>
          <w:p>
            <w:pPr>
              <w:snapToGrid w:val="0"/>
              <w:rPr>
                <w:rFonts w:hint="eastAsia" w:ascii="宋体" w:hAnsi="宋体" w:cs="宋体"/>
                <w:color w:val="000000"/>
                <w:szCs w:val="21"/>
                <w:highlight w:val="none"/>
              </w:rPr>
            </w:pPr>
            <w:r>
              <w:rPr>
                <w:rFonts w:hint="eastAsia" w:ascii="宋体" w:hAnsi="宋体"/>
                <w:szCs w:val="21"/>
                <w:highlight w:val="none"/>
              </w:rPr>
              <w:t>偏差率保留2位小数，例如：**.**%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37" w:type="dxa"/>
            <w:gridSpan w:val="2"/>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评分因素</w:t>
            </w:r>
            <w:r>
              <w:rPr>
                <w:rStyle w:val="20"/>
                <w:rFonts w:ascii="宋体" w:hAnsi="宋体"/>
                <w:b/>
                <w:color w:val="000000"/>
                <w:sz w:val="24"/>
                <w:highlight w:val="none"/>
              </w:rPr>
              <w:footnoteReference w:id="0"/>
            </w:r>
          </w:p>
        </w:tc>
        <w:tc>
          <w:tcPr>
            <w:tcW w:w="52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000000"/>
                <w:szCs w:val="21"/>
                <w:highlight w:val="none"/>
              </w:rPr>
            </w:pPr>
            <w:r>
              <w:rPr>
                <w:rFonts w:hint="eastAsia" w:ascii="宋体" w:hAnsi="宋体" w:cs="宋体"/>
                <w:b/>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873" w:type="dxa"/>
            <w:tcBorders>
              <w:top w:val="single" w:color="auto" w:sz="4" w:space="0"/>
              <w:right w:val="single" w:color="auto" w:sz="4" w:space="0"/>
            </w:tcBorders>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2.2.4（1）</w:t>
            </w:r>
          </w:p>
        </w:tc>
        <w:tc>
          <w:tcPr>
            <w:tcW w:w="1664" w:type="dxa"/>
            <w:tcBorders>
              <w:top w:val="single" w:color="auto" w:sz="4" w:space="0"/>
              <w:right w:val="single" w:color="auto" w:sz="4" w:space="0"/>
            </w:tcBorders>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商务评分标准（15分）</w:t>
            </w:r>
          </w:p>
        </w:tc>
        <w:tc>
          <w:tcPr>
            <w:tcW w:w="2476" w:type="dxa"/>
            <w:tcBorders>
              <w:top w:val="single" w:color="auto" w:sz="4" w:space="0"/>
              <w:left w:val="single" w:color="auto" w:sz="4" w:space="0"/>
              <w:right w:val="single" w:color="auto" w:sz="4" w:space="0"/>
            </w:tcBorders>
            <w:noWrap w:val="0"/>
            <w:vAlign w:val="center"/>
          </w:tcPr>
          <w:p>
            <w:pPr>
              <w:spacing w:before="56"/>
              <w:ind w:left="-4" w:leftChars="-2" w:right="-20" w:firstLine="33" w:firstLineChars="16"/>
              <w:jc w:val="center"/>
              <w:rPr>
                <w:rFonts w:hint="eastAsia" w:ascii="宋体" w:hAnsi="宋体" w:cs="宋体"/>
                <w:color w:val="000000"/>
                <w:szCs w:val="21"/>
                <w:highlight w:val="none"/>
              </w:rPr>
            </w:pPr>
            <w:r>
              <w:rPr>
                <w:rFonts w:hint="eastAsia" w:ascii="宋体" w:hAnsi="宋体" w:cs="宋体"/>
                <w:color w:val="000000"/>
                <w:szCs w:val="21"/>
                <w:highlight w:val="none"/>
              </w:rPr>
              <w:t>仪器设备的市场评价（15分）</w:t>
            </w:r>
          </w:p>
        </w:tc>
        <w:tc>
          <w:tcPr>
            <w:tcW w:w="52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Cs w:val="21"/>
                <w:highlight w:val="none"/>
              </w:rPr>
            </w:pPr>
            <w:r>
              <w:rPr>
                <w:rFonts w:hint="eastAsia" w:ascii="宋体" w:hAnsi="宋体" w:cs="宋体"/>
                <w:color w:val="000000"/>
                <w:highlight w:val="none"/>
              </w:rPr>
              <w:t>市场评价一般得9分，市场评价较好得10～12分，市场评价优良得13～15分。</w:t>
            </w:r>
          </w:p>
        </w:tc>
        <w:bookmarkStart w:id="22" w:name="_Toc12369"/>
        <w:bookmarkStart w:id="23" w:name="_Toc352691532"/>
        <w:bookmarkStart w:id="24" w:name="_Toc384308271"/>
        <w:bookmarkStart w:id="25" w:name="_Toc361508645"/>
        <w:bookmarkStart w:id="26" w:name="_Toc247527611"/>
        <w:bookmarkStart w:id="27" w:name="_Toc152045586"/>
        <w:bookmarkStart w:id="28" w:name="_Toc369531576"/>
        <w:bookmarkStart w:id="29" w:name="_Toc300835007"/>
        <w:bookmarkStart w:id="30" w:name="_Toc144974553"/>
        <w:bookmarkStart w:id="31" w:name="_Toc152042363"/>
        <w:bookmarkStart w:id="32" w:name="_Toc247514010"/>
      </w:tr>
      <w:bookmarkEnd w:id="22"/>
      <w:bookmarkEnd w:id="23"/>
      <w:bookmarkEnd w:id="24"/>
      <w:bookmarkEnd w:id="25"/>
      <w:bookmarkEnd w:id="26"/>
      <w:bookmarkEnd w:id="27"/>
      <w:bookmarkEnd w:id="28"/>
      <w:bookmarkEnd w:id="29"/>
      <w:bookmarkEnd w:id="30"/>
      <w:bookmarkEnd w:id="31"/>
      <w:bookmarkEnd w:id="3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873" w:type="dxa"/>
            <w:vMerge w:val="restart"/>
            <w:tcBorders>
              <w:top w:val="single" w:color="000000" w:sz="4" w:space="0"/>
              <w:right w:val="single" w:color="auto" w:sz="4" w:space="0"/>
            </w:tcBorders>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2.2.4（2）</w:t>
            </w:r>
          </w:p>
        </w:tc>
        <w:tc>
          <w:tcPr>
            <w:tcW w:w="1664" w:type="dxa"/>
            <w:vMerge w:val="restart"/>
            <w:tcBorders>
              <w:top w:val="single" w:color="000000" w:sz="4" w:space="0"/>
              <w:right w:val="single" w:color="auto" w:sz="4" w:space="0"/>
            </w:tcBorders>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技术评分标准（55分）</w:t>
            </w:r>
          </w:p>
        </w:tc>
        <w:tc>
          <w:tcPr>
            <w:tcW w:w="2476" w:type="dxa"/>
            <w:tcBorders>
              <w:top w:val="single" w:color="auto" w:sz="4" w:space="0"/>
              <w:left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对仪器设备的技术指标评价（15分）</w:t>
            </w:r>
          </w:p>
        </w:tc>
        <w:tc>
          <w:tcPr>
            <w:tcW w:w="52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Cs w:val="21"/>
                <w:highlight w:val="none"/>
              </w:rPr>
            </w:pPr>
            <w:r>
              <w:rPr>
                <w:rFonts w:hint="eastAsia" w:ascii="宋体" w:hAnsi="宋体"/>
                <w:szCs w:val="21"/>
                <w:highlight w:val="none"/>
              </w:rPr>
              <w:t>能够满足本次招标技术性能指标的，得9分，能够较好满足本次招标技术性能指标的，得10～12分，能够充分满足本次招标技术性能指标的，得13～15分。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873" w:type="dxa"/>
            <w:vMerge w:val="continue"/>
            <w:tcBorders>
              <w:right w:val="single" w:color="auto" w:sz="4" w:space="0"/>
            </w:tcBorders>
            <w:noWrap w:val="0"/>
            <w:vAlign w:val="center"/>
          </w:tcPr>
          <w:p>
            <w:pPr>
              <w:snapToGrid w:val="0"/>
              <w:jc w:val="center"/>
              <w:rPr>
                <w:rFonts w:hint="eastAsia" w:ascii="宋体" w:hAnsi="宋体" w:cs="宋体"/>
                <w:color w:val="000000"/>
                <w:szCs w:val="21"/>
                <w:highlight w:val="none"/>
              </w:rPr>
            </w:pPr>
          </w:p>
        </w:tc>
        <w:tc>
          <w:tcPr>
            <w:tcW w:w="1664" w:type="dxa"/>
            <w:vMerge w:val="continue"/>
            <w:tcBorders>
              <w:right w:val="single" w:color="auto" w:sz="4" w:space="0"/>
            </w:tcBorders>
            <w:noWrap w:val="0"/>
            <w:vAlign w:val="center"/>
          </w:tcPr>
          <w:p>
            <w:pPr>
              <w:snapToGrid w:val="0"/>
              <w:jc w:val="center"/>
              <w:rPr>
                <w:rFonts w:hint="eastAsia" w:ascii="宋体" w:hAnsi="宋体" w:cs="宋体"/>
                <w:color w:val="000000"/>
                <w:szCs w:val="21"/>
                <w:highlight w:val="none"/>
              </w:rPr>
            </w:pPr>
          </w:p>
        </w:tc>
        <w:tc>
          <w:tcPr>
            <w:tcW w:w="2476" w:type="dxa"/>
            <w:tcBorders>
              <w:top w:val="single" w:color="auto" w:sz="4" w:space="0"/>
              <w:left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对仪器设备的使用耐久性评价（20分）</w:t>
            </w:r>
          </w:p>
        </w:tc>
        <w:tc>
          <w:tcPr>
            <w:tcW w:w="52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highlight w:val="none"/>
              </w:rPr>
            </w:pPr>
            <w:r>
              <w:rPr>
                <w:rFonts w:hint="eastAsia" w:ascii="宋体" w:hAnsi="宋体"/>
                <w:szCs w:val="21"/>
                <w:highlight w:val="none"/>
              </w:rPr>
              <w:t>对仪器设备的使用耐久性进行评价，一般得12分，较好得13～16分，满意得17～20分。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873" w:type="dxa"/>
            <w:vMerge w:val="continue"/>
            <w:tcBorders>
              <w:right w:val="single" w:color="auto" w:sz="4" w:space="0"/>
            </w:tcBorders>
            <w:noWrap w:val="0"/>
            <w:vAlign w:val="center"/>
          </w:tcPr>
          <w:p>
            <w:pPr>
              <w:snapToGrid w:val="0"/>
              <w:jc w:val="center"/>
              <w:rPr>
                <w:rFonts w:hint="eastAsia" w:ascii="宋体" w:hAnsi="宋体" w:cs="宋体"/>
                <w:color w:val="000000"/>
                <w:szCs w:val="21"/>
                <w:highlight w:val="none"/>
              </w:rPr>
            </w:pPr>
          </w:p>
        </w:tc>
        <w:tc>
          <w:tcPr>
            <w:tcW w:w="1664" w:type="dxa"/>
            <w:vMerge w:val="continue"/>
            <w:tcBorders>
              <w:right w:val="single" w:color="auto" w:sz="4" w:space="0"/>
            </w:tcBorders>
            <w:noWrap w:val="0"/>
            <w:vAlign w:val="center"/>
          </w:tcPr>
          <w:p>
            <w:pPr>
              <w:snapToGrid w:val="0"/>
              <w:jc w:val="center"/>
              <w:rPr>
                <w:rFonts w:hint="eastAsia" w:ascii="宋体" w:hAnsi="宋体" w:cs="宋体"/>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对</w:t>
            </w:r>
            <w:r>
              <w:rPr>
                <w:rFonts w:hint="eastAsia" w:ascii="宋体" w:hAnsi="宋体"/>
                <w:szCs w:val="21"/>
                <w:highlight w:val="none"/>
                <w:lang w:val="en-US" w:eastAsia="zh-CN"/>
              </w:rPr>
              <w:t>技术</w:t>
            </w:r>
            <w:r>
              <w:rPr>
                <w:rFonts w:hint="eastAsia" w:ascii="宋体" w:hAnsi="宋体"/>
                <w:szCs w:val="21"/>
                <w:highlight w:val="none"/>
              </w:rPr>
              <w:t>服务和质保期服务方案的评价</w:t>
            </w:r>
          </w:p>
          <w:p>
            <w:pPr>
              <w:jc w:val="center"/>
              <w:rPr>
                <w:rFonts w:hint="eastAsia" w:ascii="宋体" w:hAnsi="宋体"/>
                <w:szCs w:val="21"/>
                <w:highlight w:val="none"/>
              </w:rPr>
            </w:pPr>
            <w:r>
              <w:rPr>
                <w:rFonts w:hint="eastAsia" w:ascii="宋体" w:hAnsi="宋体"/>
                <w:szCs w:val="21"/>
                <w:highlight w:val="none"/>
              </w:rPr>
              <w:t>（15分）</w:t>
            </w:r>
          </w:p>
        </w:tc>
        <w:tc>
          <w:tcPr>
            <w:tcW w:w="52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Cs w:val="21"/>
                <w:highlight w:val="none"/>
              </w:rPr>
            </w:pPr>
            <w:r>
              <w:rPr>
                <w:rFonts w:hint="eastAsia" w:ascii="宋体" w:hAnsi="宋体"/>
                <w:szCs w:val="21"/>
                <w:highlight w:val="none"/>
                <w:lang w:val="en-US" w:eastAsia="zh-CN"/>
              </w:rPr>
              <w:t>技术</w:t>
            </w:r>
            <w:r>
              <w:rPr>
                <w:rFonts w:hint="eastAsia" w:ascii="宋体" w:hAnsi="宋体"/>
                <w:szCs w:val="21"/>
                <w:highlight w:val="none"/>
              </w:rPr>
              <w:t>服务和质保期服务方案一般得9分，较好得10～12分，满意得13～15分。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873" w:type="dxa"/>
            <w:vMerge w:val="continue"/>
            <w:tcBorders>
              <w:right w:val="single" w:color="auto" w:sz="4" w:space="0"/>
            </w:tcBorders>
            <w:noWrap w:val="0"/>
            <w:vAlign w:val="center"/>
          </w:tcPr>
          <w:p>
            <w:pPr>
              <w:snapToGrid w:val="0"/>
              <w:jc w:val="center"/>
              <w:rPr>
                <w:rFonts w:hint="eastAsia" w:ascii="宋体" w:hAnsi="宋体" w:cs="宋体"/>
                <w:color w:val="000000"/>
                <w:szCs w:val="21"/>
                <w:highlight w:val="none"/>
              </w:rPr>
            </w:pPr>
          </w:p>
        </w:tc>
        <w:tc>
          <w:tcPr>
            <w:tcW w:w="1664" w:type="dxa"/>
            <w:vMerge w:val="continue"/>
            <w:tcBorders>
              <w:right w:val="single" w:color="auto" w:sz="4" w:space="0"/>
            </w:tcBorders>
            <w:noWrap w:val="0"/>
            <w:vAlign w:val="center"/>
          </w:tcPr>
          <w:p>
            <w:pPr>
              <w:snapToGrid w:val="0"/>
              <w:jc w:val="center"/>
              <w:rPr>
                <w:rFonts w:hint="eastAsia" w:ascii="宋体" w:hAnsi="宋体" w:cs="宋体"/>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r>
              <w:rPr>
                <w:rFonts w:hint="eastAsia" w:ascii="宋体" w:hAnsi="宋体"/>
                <w:szCs w:val="21"/>
                <w:highlight w:val="none"/>
              </w:rPr>
              <w:t>质量保证期（5分）</w:t>
            </w:r>
          </w:p>
        </w:tc>
        <w:tc>
          <w:tcPr>
            <w:tcW w:w="52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Cs w:val="21"/>
                <w:highlight w:val="none"/>
              </w:rPr>
            </w:pPr>
            <w:r>
              <w:rPr>
                <w:rFonts w:hint="eastAsia" w:ascii="宋体" w:hAnsi="宋体"/>
                <w:szCs w:val="21"/>
                <w:highlight w:val="none"/>
              </w:rPr>
              <w:t>质量保证期1年得3分，每增加1年加1分，最多加2分</w:t>
            </w:r>
          </w:p>
          <w:p>
            <w:pPr>
              <w:jc w:val="left"/>
              <w:rPr>
                <w:rFonts w:ascii="宋体" w:hAnsi="宋体"/>
                <w:szCs w:val="21"/>
                <w:highlight w:val="none"/>
              </w:rPr>
            </w:pPr>
            <w:r>
              <w:rPr>
                <w:rFonts w:hint="eastAsia" w:ascii="宋体" w:hAnsi="宋体"/>
                <w:szCs w:val="21"/>
                <w:highlight w:val="none"/>
              </w:rPr>
              <w:t>注：质量保证期以投标函中填报的时间为准。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73"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2.2.4（3）</w:t>
            </w:r>
          </w:p>
        </w:tc>
        <w:tc>
          <w:tcPr>
            <w:tcW w:w="1664"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投标报价评分标准（30分）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投标报价（30分）</w:t>
            </w:r>
          </w:p>
        </w:tc>
        <w:tc>
          <w:tcPr>
            <w:tcW w:w="5237"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宋体" w:hAnsi="宋体" w:cs="宋体"/>
                <w:kern w:val="0"/>
                <w:szCs w:val="21"/>
                <w:highlight w:val="none"/>
              </w:rPr>
            </w:pPr>
            <w:r>
              <w:rPr>
                <w:rFonts w:hint="eastAsia" w:ascii="宋体" w:hAnsi="宋体" w:cs="宋体"/>
                <w:kern w:val="0"/>
                <w:szCs w:val="21"/>
                <w:highlight w:val="none"/>
              </w:rPr>
              <w:t>（1）如果投标人的评标价＞评标基准价，则评标价得分=30-偏差率×100×0.2；</w:t>
            </w:r>
          </w:p>
          <w:p>
            <w:pPr>
              <w:snapToGrid w:val="0"/>
              <w:jc w:val="left"/>
              <w:rPr>
                <w:rFonts w:hint="eastAsia" w:ascii="宋体" w:hAnsi="宋体" w:cs="宋体"/>
                <w:kern w:val="0"/>
                <w:szCs w:val="21"/>
                <w:highlight w:val="none"/>
              </w:rPr>
            </w:pPr>
            <w:r>
              <w:rPr>
                <w:rFonts w:hint="eastAsia" w:ascii="宋体" w:hAnsi="宋体" w:cs="宋体"/>
                <w:kern w:val="0"/>
                <w:szCs w:val="21"/>
                <w:highlight w:val="none"/>
              </w:rPr>
              <w:t>（2）如果投标人的评标价≤评标基准价，则评标价得分=30+偏差率×100×0.1</w:t>
            </w:r>
          </w:p>
          <w:p>
            <w:pPr>
              <w:snapToGrid w:val="0"/>
              <w:jc w:val="left"/>
              <w:rPr>
                <w:rFonts w:hint="eastAsia" w:ascii="宋体" w:hAnsi="宋体" w:cs="宋体"/>
                <w:color w:val="000000"/>
                <w:kern w:val="0"/>
                <w:szCs w:val="21"/>
                <w:highlight w:val="none"/>
              </w:rPr>
            </w:pPr>
            <w:r>
              <w:rPr>
                <w:rFonts w:hint="eastAsia" w:ascii="宋体" w:hAnsi="宋体" w:cs="宋体"/>
                <w:kern w:val="0"/>
                <w:szCs w:val="21"/>
                <w:highlight w:val="none"/>
              </w:rPr>
              <w:t>注：评标价得分最低得0分。</w:t>
            </w:r>
          </w:p>
        </w:tc>
      </w:tr>
    </w:tbl>
    <w:p>
      <w:pPr>
        <w:pStyle w:val="4"/>
        <w:rPr>
          <w:rFonts w:ascii="宋体" w:hAnsi="宋体" w:cs="宋体"/>
          <w:color w:val="000000"/>
          <w:sz w:val="24"/>
          <w:highlight w:val="none"/>
          <w:lang w:val="zh-CN"/>
        </w:rPr>
        <w:sectPr>
          <w:footnotePr>
            <w:numFmt w:val="decimalEnclosedCircleChinese"/>
            <w:numRestart w:val="eachSect"/>
          </w:footnotePr>
          <w:type w:val="continuous"/>
          <w:pgSz w:w="11906" w:h="16838"/>
          <w:pgMar w:top="1418" w:right="1701" w:bottom="1588" w:left="1701" w:header="851" w:footer="992" w:gutter="0"/>
          <w:cols w:space="720" w:num="1"/>
          <w:docGrid w:linePitch="312" w:charSpace="0"/>
        </w:sectPr>
      </w:pPr>
    </w:p>
    <w:p>
      <w:pPr>
        <w:pStyle w:val="5"/>
        <w:rPr>
          <w:rFonts w:hint="default" w:eastAsia="宋体"/>
          <w:color w:val="000000"/>
          <w:highlight w:val="none"/>
          <w:lang w:val="en-US" w:eastAsia="zh-CN"/>
        </w:rPr>
      </w:pPr>
      <w:bookmarkStart w:id="33" w:name="_Toc184635093"/>
      <w:bookmarkStart w:id="34" w:name="_Toc448495594"/>
      <w:r>
        <w:rPr>
          <w:rFonts w:hint="eastAsia"/>
          <w:color w:val="000000"/>
          <w:highlight w:val="none"/>
          <w:lang w:val="en-US" w:eastAsia="zh-CN"/>
        </w:rPr>
        <w:t>评标办法正文</w:t>
      </w:r>
    </w:p>
    <w:p>
      <w:pPr>
        <w:pStyle w:val="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1、评标方法</w:t>
      </w:r>
      <w:bookmarkEnd w:id="33"/>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5"/>
        <w:rPr>
          <w:rFonts w:hint="eastAsia" w:asciiTheme="minorEastAsia" w:hAnsiTheme="minorEastAsia" w:eastAsiaTheme="minorEastAsia" w:cstheme="minorEastAsia"/>
          <w:color w:val="000000"/>
          <w:sz w:val="24"/>
          <w:szCs w:val="24"/>
          <w:highlight w:val="none"/>
        </w:rPr>
      </w:pPr>
      <w:bookmarkStart w:id="35" w:name="_Toc184635094"/>
      <w:r>
        <w:rPr>
          <w:rFonts w:hint="eastAsia" w:asciiTheme="minorEastAsia" w:hAnsiTheme="minorEastAsia" w:eastAsiaTheme="minorEastAsia" w:cstheme="minorEastAsia"/>
          <w:color w:val="000000"/>
          <w:sz w:val="24"/>
          <w:szCs w:val="24"/>
          <w:highlight w:val="none"/>
        </w:rPr>
        <w:t>2、评审标准</w:t>
      </w:r>
      <w:bookmarkEnd w:id="35"/>
    </w:p>
    <w:p>
      <w:pPr>
        <w:pStyle w:val="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 初步评审标准</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2.1.1 形式评审标准：见评标办法前附表。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2.1.2 资格评审标准：见评标办法前附表。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2.1.3 响应性评审标准：见评标办法前附表。</w:t>
      </w:r>
    </w:p>
    <w:p>
      <w:pPr>
        <w:pStyle w:val="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 分值构成与评分标准</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2.2.1 分值构成</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(l）商务部分：见评标办法前附表；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(2）技术部分：见评标办法前附表；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(3）投标报价：见评标办法前附表；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(4）其他评分因素：见评标办法前附表。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2.2.2 评标基准价计算</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评标基准价计算方法：见评标办法前附表。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2.2.3 投标报价的偏差率计算</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投标报价的偏差率计算公式：见评标办法前附表。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2.2.4 评分标准</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(1）商务评分标准：见评标办法前附表；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(2）技术评分标准：见评标办法前附表；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(3）投标报价评分标准：见评标办法前附表；</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(4）其他因素评分标准：见评标办法前附表。</w:t>
      </w:r>
    </w:p>
    <w:p>
      <w:pPr>
        <w:pStyle w:val="5"/>
        <w:rPr>
          <w:rFonts w:hint="eastAsia" w:asciiTheme="minorEastAsia" w:hAnsiTheme="minorEastAsia" w:eastAsiaTheme="minorEastAsia" w:cstheme="minorEastAsia"/>
          <w:color w:val="000000"/>
          <w:sz w:val="24"/>
          <w:szCs w:val="24"/>
          <w:highlight w:val="none"/>
        </w:rPr>
      </w:pPr>
      <w:bookmarkStart w:id="36" w:name="_Toc184635095"/>
      <w:r>
        <w:rPr>
          <w:rFonts w:hint="eastAsia" w:asciiTheme="minorEastAsia" w:hAnsiTheme="minorEastAsia" w:eastAsiaTheme="minorEastAsia" w:cstheme="minorEastAsia"/>
          <w:color w:val="000000"/>
          <w:sz w:val="24"/>
          <w:szCs w:val="24"/>
          <w:highlight w:val="none"/>
        </w:rPr>
        <w:t>3、评标程序</w:t>
      </w:r>
      <w:bookmarkEnd w:id="36"/>
    </w:p>
    <w:p>
      <w:pPr>
        <w:pStyle w:val="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 初步评审</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3.1.1 评标委员会可以要求投标人提交第二章“投标人须知”规定的有关证明和证件的原件，以便核验。评标委员会依据本章第2.1 款规定的标准对投标文件进行初步评审。有一项不符合评审标准的，评标委员会应当否决其投标。</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3.1.2 投标人有以下情形之一的，评标委员会应当否决其投标：</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(l）投标文件没有对招标文件的实质性要求和条件作出响应，或者对招标文件的偏差超出招标文件规定的偏差范围或最高项数；</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(2）有串通投标、弄虚作假、行贿等违法行为。</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3.1.3 投标报价有算术错误及其他错误的，评标委员会按以下原则对投标报价进行修正，并要求投标人书面澄清确认。投标人拒不澄清确认的，评标委员会应当否决其投标：</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(1）投标文件中的大写金额与小写金额不一致的，以大写金额为准；</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(2）总价金额与单价金额不一致的，以单价金额为准，但单价金额小数点有明显错误的除外；</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(3）投标报价为各分项报价金额之和，投标报价与分项报价的合价不一致的，应以各分项合价累计数为准，修正投标报价；</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(4）如果分项报价中存在缺漏项，则视为缺漏项价格已包含在其他分项报价之中。</w:t>
      </w:r>
    </w:p>
    <w:p>
      <w:pPr>
        <w:pStyle w:val="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3.2 详细评审</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3.2.1 评标委员会按本章第2.2 款规定的量化因素和分值进行打分，并计算出综合评估得分。</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(1）按本章第2.2.4(1）目规定的评审因素和分值对商务部分计算出得分A ；</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(2）按本章第2.2.4(2）目规定的评审因素和分值对技术部分计算出得分B；</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(3）按本章第2.2.4(3）目规定的评审因素和分值对投标报价计算出得分C；</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(4）按本章第2.2.4(4）目规定的评审因素和分值对其他部分计算出得分D 。</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3.2.2 评分分值计算保留小数点后两位，小数点后第三位“四舍五入”。</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3.2.3 投标人得分＝A 十B 十C 十D 。</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3.3 投标文件的澄清</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3.3.2 澄清、说明和补正不得超出投标文件的范围且不得改变投标文件的实质性内容，并构成投标文件的组成部分。</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3.3.3 评标委员会对投标人提交的澄清、说明或补正有疑问的，可以要求投标人进一步澄清、说明或补正，直至满足评标委员会的要求。</w:t>
      </w:r>
    </w:p>
    <w:p>
      <w:pPr>
        <w:pStyle w:val="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3.4 评标结果</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3.4.1 除第二章“投标人须知”前附表授权直接确定中标人外，评标委员会按照得分由高到低的顺序推荐中标候选人，并标明排序。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3.4.2 评标委员会完成评标后，应当向招标人提交书面评标报告和中标候选人名单。</w:t>
      </w:r>
    </w:p>
    <w:p>
      <w:pPr>
        <w:pStyle w:val="5"/>
        <w:spacing w:before="240" w:beforeLines="100" w:after="0" w:line="360" w:lineRule="auto"/>
        <w:rPr>
          <w:rFonts w:hint="eastAsia" w:ascii="宋体" w:hAnsi="宋体" w:cs="宋体"/>
          <w:color w:val="000000"/>
          <w:kern w:val="44"/>
          <w:highlight w:val="none"/>
        </w:rPr>
      </w:pPr>
      <w:r>
        <w:rPr>
          <w:rFonts w:hint="eastAsia" w:ascii="宋体" w:hAnsi="宋体" w:cs="宋体"/>
          <w:color w:val="000000"/>
          <w:kern w:val="44"/>
          <w:highlight w:val="none"/>
        </w:rPr>
        <w:t>5.公开时间</w:t>
      </w:r>
    </w:p>
    <w:p>
      <w:pPr>
        <w:adjustRightInd w:val="0"/>
        <w:snapToGrid w:val="0"/>
        <w:ind w:firstLine="420" w:firstLineChars="200"/>
        <w:rPr>
          <w:rFonts w:ascii="宋体"/>
          <w:sz w:val="21"/>
          <w:szCs w:val="21"/>
          <w:highlight w:val="none"/>
        </w:rPr>
      </w:pPr>
      <w:r>
        <w:rPr>
          <w:rFonts w:hint="eastAsia" w:ascii="宋体" w:hAnsi="宋体"/>
          <w:sz w:val="21"/>
          <w:szCs w:val="21"/>
          <w:highlight w:val="none"/>
        </w:rPr>
        <w:t>本次招标文件关键内容信息公开时间至</w:t>
      </w:r>
      <w:r>
        <w:rPr>
          <w:rFonts w:hint="eastAsia" w:ascii="黑体" w:hAnsi="黑体" w:eastAsia="黑体"/>
          <w:b/>
          <w:sz w:val="21"/>
          <w:szCs w:val="21"/>
          <w:highlight w:val="none"/>
        </w:rPr>
        <w:t>202</w:t>
      </w:r>
      <w:r>
        <w:rPr>
          <w:rFonts w:hint="eastAsia" w:ascii="黑体" w:hAnsi="黑体" w:eastAsia="黑体"/>
          <w:b/>
          <w:sz w:val="21"/>
          <w:szCs w:val="21"/>
          <w:highlight w:val="none"/>
          <w:lang w:val="en-US" w:eastAsia="zh-CN"/>
        </w:rPr>
        <w:t>1</w:t>
      </w:r>
      <w:r>
        <w:rPr>
          <w:rFonts w:hint="eastAsia" w:ascii="黑体" w:hAnsi="黑体" w:eastAsia="黑体"/>
          <w:b/>
          <w:sz w:val="21"/>
          <w:szCs w:val="21"/>
          <w:highlight w:val="none"/>
        </w:rPr>
        <w:t>年</w:t>
      </w:r>
      <w:r>
        <w:rPr>
          <w:rFonts w:hint="eastAsia" w:ascii="黑体" w:hAnsi="黑体" w:eastAsia="黑体"/>
          <w:b/>
          <w:sz w:val="21"/>
          <w:szCs w:val="21"/>
          <w:highlight w:val="none"/>
          <w:lang w:val="en-US" w:eastAsia="zh-CN"/>
        </w:rPr>
        <w:t>3</w:t>
      </w:r>
      <w:r>
        <w:rPr>
          <w:rFonts w:hint="eastAsia" w:ascii="黑体" w:hAnsi="黑体" w:eastAsia="黑体"/>
          <w:b/>
          <w:sz w:val="21"/>
          <w:szCs w:val="21"/>
          <w:highlight w:val="none"/>
        </w:rPr>
        <w:t>月</w:t>
      </w:r>
      <w:r>
        <w:rPr>
          <w:rFonts w:hint="eastAsia" w:ascii="黑体" w:hAnsi="黑体" w:eastAsia="黑体"/>
          <w:b/>
          <w:sz w:val="21"/>
          <w:szCs w:val="21"/>
          <w:highlight w:val="none"/>
          <w:lang w:val="en-US" w:eastAsia="zh-CN"/>
        </w:rPr>
        <w:t>29</w:t>
      </w:r>
      <w:r>
        <w:rPr>
          <w:rFonts w:hint="eastAsia" w:ascii="黑体" w:hAnsi="黑体" w:eastAsia="黑体"/>
          <w:b/>
          <w:sz w:val="21"/>
          <w:szCs w:val="21"/>
          <w:highlight w:val="none"/>
        </w:rPr>
        <w:t>日24时00分</w:t>
      </w:r>
      <w:r>
        <w:rPr>
          <w:rFonts w:hint="eastAsia" w:ascii="宋体" w:hAnsi="宋体"/>
          <w:sz w:val="21"/>
          <w:szCs w:val="21"/>
          <w:highlight w:val="none"/>
        </w:rPr>
        <w:t>结束。</w:t>
      </w:r>
    </w:p>
    <w:p>
      <w:pPr>
        <w:pStyle w:val="5"/>
        <w:spacing w:before="240" w:beforeLines="100" w:after="0" w:line="360" w:lineRule="auto"/>
        <w:rPr>
          <w:rFonts w:hint="eastAsia" w:ascii="宋体" w:hAnsi="宋体" w:cs="宋体"/>
          <w:color w:val="000000"/>
          <w:kern w:val="44"/>
          <w:highlight w:val="none"/>
        </w:rPr>
      </w:pPr>
      <w:r>
        <w:rPr>
          <w:rFonts w:hint="eastAsia" w:ascii="宋体" w:hAnsi="宋体" w:cs="宋体"/>
          <w:color w:val="000000"/>
          <w:kern w:val="44"/>
          <w:highlight w:val="none"/>
        </w:rPr>
        <w:t>6.联系方式</w:t>
      </w:r>
    </w:p>
    <w:bookmarkEnd w:id="7"/>
    <w:bookmarkEnd w:id="8"/>
    <w:bookmarkEnd w:id="9"/>
    <w:bookmarkEnd w:id="10"/>
    <w:bookmarkEnd w:id="34"/>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招标人：吉林省路桥工程（集团）有限公司</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地  址：长春市经济技术开发区浦东路4488号</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邮政编码：130000</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olor w:val="000000"/>
          <w:sz w:val="21"/>
          <w:szCs w:val="21"/>
          <w:highlight w:val="none"/>
        </w:rPr>
      </w:pPr>
      <w:r>
        <w:rPr>
          <w:rFonts w:hint="eastAsia" w:ascii="宋体" w:hAnsi="宋体"/>
          <w:color w:val="000000"/>
          <w:sz w:val="21"/>
          <w:szCs w:val="21"/>
          <w:highlight w:val="none"/>
        </w:rPr>
        <w:t>联系人：栾兆彬</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电  话：</w:t>
      </w:r>
      <w:r>
        <w:rPr>
          <w:rFonts w:hint="eastAsia" w:ascii="宋体" w:hAnsi="宋体" w:cs="宋体"/>
          <w:sz w:val="21"/>
          <w:szCs w:val="21"/>
          <w:highlight w:val="none"/>
        </w:rPr>
        <w:t>0431-80834563</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招标代理机构：吉林省华洋工程咨询有限公司</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地  址：长春市朝阳区和光路16号</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邮政编码：130021</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联系人：李洪涛、梁新通</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孙静</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电  话：0431-85368866</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sz w:val="21"/>
          <w:szCs w:val="21"/>
          <w:highlight w:val="none"/>
        </w:rPr>
      </w:pPr>
      <w:r>
        <w:rPr>
          <w:rFonts w:hint="eastAsia" w:ascii="宋体" w:hAnsi="宋体"/>
          <w:sz w:val="21"/>
          <w:szCs w:val="21"/>
          <w:highlight w:val="none"/>
        </w:rPr>
        <w:t>电</w:t>
      </w:r>
      <w:r>
        <w:rPr>
          <w:rFonts w:ascii="宋体" w:hAnsi="宋体"/>
          <w:sz w:val="21"/>
          <w:szCs w:val="21"/>
          <w:highlight w:val="none"/>
        </w:rPr>
        <w:t>子邮箱</w:t>
      </w:r>
      <w:r>
        <w:rPr>
          <w:rFonts w:hint="eastAsia" w:ascii="宋体" w:hAnsi="宋体"/>
          <w:sz w:val="21"/>
          <w:szCs w:val="21"/>
          <w:highlight w:val="none"/>
        </w:rPr>
        <w:t>：</w:t>
      </w:r>
      <w:r>
        <w:rPr>
          <w:rFonts w:ascii="宋体" w:hAnsi="宋体"/>
          <w:sz w:val="21"/>
          <w:szCs w:val="21"/>
          <w:highlight w:val="none"/>
        </w:rPr>
        <w:t>3097839680@</w:t>
      </w:r>
      <w:r>
        <w:rPr>
          <w:rFonts w:hint="eastAsia" w:ascii="宋体" w:hAnsi="宋体"/>
          <w:sz w:val="21"/>
          <w:szCs w:val="21"/>
          <w:highlight w:val="none"/>
        </w:rPr>
        <w:t>qq</w:t>
      </w:r>
      <w:r>
        <w:rPr>
          <w:rFonts w:ascii="宋体" w:hAnsi="宋体"/>
          <w:sz w:val="21"/>
          <w:szCs w:val="21"/>
          <w:highlight w:val="none"/>
        </w:rPr>
        <w:t>.com</w:t>
      </w:r>
    </w:p>
    <w:sectPr>
      <w:footerReference r:id="rId4" w:type="default"/>
      <w:footnotePr>
        <w:numFmt w:val="decimalEnclosedCircleChinese"/>
        <w:numRestart w:val="eachPage"/>
      </w:footnote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modern"/>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rPr>
          <w:rFonts w:hint="eastAsia" w:ascii="楷体" w:hAnsi="楷体" w:eastAsia="楷体"/>
        </w:rPr>
      </w:pPr>
      <w:r>
        <w:rPr>
          <w:rStyle w:val="20"/>
          <w:rFonts w:ascii="楷体" w:hAnsi="楷体" w:eastAsia="楷体"/>
        </w:rPr>
        <w:footnoteRef/>
      </w:r>
      <w:r>
        <w:rPr>
          <w:rFonts w:hint="eastAsia" w:ascii="楷体" w:hAnsi="楷体" w:eastAsia="楷体"/>
        </w:rPr>
        <w:t>各评分因素（投标报价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6577"/>
    <w:rsid w:val="0000068B"/>
    <w:rsid w:val="000025CE"/>
    <w:rsid w:val="0005335B"/>
    <w:rsid w:val="000B0877"/>
    <w:rsid w:val="000C5C98"/>
    <w:rsid w:val="000E46B7"/>
    <w:rsid w:val="00121982"/>
    <w:rsid w:val="00151E90"/>
    <w:rsid w:val="0017388C"/>
    <w:rsid w:val="00194DCD"/>
    <w:rsid w:val="001A1B91"/>
    <w:rsid w:val="001D781F"/>
    <w:rsid w:val="001E716E"/>
    <w:rsid w:val="001E7FD4"/>
    <w:rsid w:val="001F476F"/>
    <w:rsid w:val="0021703D"/>
    <w:rsid w:val="002307B7"/>
    <w:rsid w:val="00231F0D"/>
    <w:rsid w:val="00233745"/>
    <w:rsid w:val="00236D33"/>
    <w:rsid w:val="002474C8"/>
    <w:rsid w:val="00282745"/>
    <w:rsid w:val="002B7B92"/>
    <w:rsid w:val="002E465D"/>
    <w:rsid w:val="002F0514"/>
    <w:rsid w:val="002F0941"/>
    <w:rsid w:val="0033374A"/>
    <w:rsid w:val="00361728"/>
    <w:rsid w:val="0038014A"/>
    <w:rsid w:val="003F6ABD"/>
    <w:rsid w:val="0044789E"/>
    <w:rsid w:val="004A7269"/>
    <w:rsid w:val="004C0D0A"/>
    <w:rsid w:val="004C5613"/>
    <w:rsid w:val="004F05E3"/>
    <w:rsid w:val="00502E88"/>
    <w:rsid w:val="0050503B"/>
    <w:rsid w:val="00522D04"/>
    <w:rsid w:val="00532828"/>
    <w:rsid w:val="00545386"/>
    <w:rsid w:val="005514D3"/>
    <w:rsid w:val="00553F27"/>
    <w:rsid w:val="00554116"/>
    <w:rsid w:val="00586DF1"/>
    <w:rsid w:val="00587A10"/>
    <w:rsid w:val="00592F23"/>
    <w:rsid w:val="00597118"/>
    <w:rsid w:val="005A2E50"/>
    <w:rsid w:val="005B10E4"/>
    <w:rsid w:val="005B2A43"/>
    <w:rsid w:val="005C21E4"/>
    <w:rsid w:val="005D37F2"/>
    <w:rsid w:val="005D3892"/>
    <w:rsid w:val="005D4872"/>
    <w:rsid w:val="005E187D"/>
    <w:rsid w:val="00634B9D"/>
    <w:rsid w:val="006C38E4"/>
    <w:rsid w:val="006C6596"/>
    <w:rsid w:val="007118D4"/>
    <w:rsid w:val="00752E43"/>
    <w:rsid w:val="00766366"/>
    <w:rsid w:val="00791974"/>
    <w:rsid w:val="007A4AED"/>
    <w:rsid w:val="007B005D"/>
    <w:rsid w:val="007B5D7C"/>
    <w:rsid w:val="007E0DBE"/>
    <w:rsid w:val="008347DA"/>
    <w:rsid w:val="008363DA"/>
    <w:rsid w:val="00861859"/>
    <w:rsid w:val="008746CD"/>
    <w:rsid w:val="00885E92"/>
    <w:rsid w:val="00895A85"/>
    <w:rsid w:val="008D0403"/>
    <w:rsid w:val="00916D20"/>
    <w:rsid w:val="00923518"/>
    <w:rsid w:val="009551B6"/>
    <w:rsid w:val="00976577"/>
    <w:rsid w:val="00980F27"/>
    <w:rsid w:val="009D7E0F"/>
    <w:rsid w:val="009E021E"/>
    <w:rsid w:val="009F3E9A"/>
    <w:rsid w:val="009F4894"/>
    <w:rsid w:val="00A12C9D"/>
    <w:rsid w:val="00AC4282"/>
    <w:rsid w:val="00AE752B"/>
    <w:rsid w:val="00B06859"/>
    <w:rsid w:val="00B22A19"/>
    <w:rsid w:val="00B41F1C"/>
    <w:rsid w:val="00B608ED"/>
    <w:rsid w:val="00B817CA"/>
    <w:rsid w:val="00B834AC"/>
    <w:rsid w:val="00B94549"/>
    <w:rsid w:val="00BD06B8"/>
    <w:rsid w:val="00BD5D01"/>
    <w:rsid w:val="00C000F5"/>
    <w:rsid w:val="00C10D04"/>
    <w:rsid w:val="00C91894"/>
    <w:rsid w:val="00CE304C"/>
    <w:rsid w:val="00CE6AB4"/>
    <w:rsid w:val="00D43098"/>
    <w:rsid w:val="00D74858"/>
    <w:rsid w:val="00D80124"/>
    <w:rsid w:val="00D94845"/>
    <w:rsid w:val="00DA11C3"/>
    <w:rsid w:val="00DC2312"/>
    <w:rsid w:val="00E0411B"/>
    <w:rsid w:val="00E062BA"/>
    <w:rsid w:val="00E11CD6"/>
    <w:rsid w:val="00E14C33"/>
    <w:rsid w:val="00E2099B"/>
    <w:rsid w:val="00EB1454"/>
    <w:rsid w:val="00EC6EB0"/>
    <w:rsid w:val="00EE2448"/>
    <w:rsid w:val="00EE4654"/>
    <w:rsid w:val="00F667FF"/>
    <w:rsid w:val="00F66AB9"/>
    <w:rsid w:val="00F91F26"/>
    <w:rsid w:val="00FA23E6"/>
    <w:rsid w:val="00FF10BD"/>
    <w:rsid w:val="08D938FE"/>
    <w:rsid w:val="24082500"/>
    <w:rsid w:val="24F63E0C"/>
    <w:rsid w:val="2A325F6F"/>
    <w:rsid w:val="3DCE6FB8"/>
    <w:rsid w:val="4F9C0194"/>
    <w:rsid w:val="58E160A7"/>
    <w:rsid w:val="5BAB37EF"/>
    <w:rsid w:val="7F21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qFormat/>
    <w:uiPriority w:val="99"/>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37"/>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rFonts w:ascii="Calibri" w:hAnsi="Calibri"/>
      <w:szCs w:val="22"/>
    </w:rPr>
  </w:style>
  <w:style w:type="paragraph" w:styleId="7">
    <w:name w:val="annotation text"/>
    <w:basedOn w:val="1"/>
    <w:link w:val="38"/>
    <w:qFormat/>
    <w:uiPriority w:val="0"/>
    <w:pPr>
      <w:jc w:val="left"/>
    </w:pPr>
  </w:style>
  <w:style w:type="paragraph" w:styleId="8">
    <w:name w:val="Plain Text"/>
    <w:basedOn w:val="1"/>
    <w:link w:val="35"/>
    <w:qFormat/>
    <w:uiPriority w:val="99"/>
    <w:rPr>
      <w:rFonts w:ascii="宋体" w:hAnsi="Courier New"/>
      <w:color w:val="000000"/>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27"/>
    <w:unhideWhenUsed/>
    <w:qFormat/>
    <w:uiPriority w:val="0"/>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3"/>
    <w:unhideWhenUsed/>
    <w:qFormat/>
    <w:uiPriority w:val="0"/>
    <w:pPr>
      <w:snapToGrid w:val="0"/>
      <w:jc w:val="left"/>
    </w:pPr>
    <w:rPr>
      <w:rFonts w:ascii="Calibri" w:hAnsi="Calibri"/>
      <w:kern w:val="0"/>
      <w:sz w:val="18"/>
      <w:szCs w:val="18"/>
    </w:rPr>
  </w:style>
  <w:style w:type="paragraph" w:styleId="13">
    <w:name w:val="Body Text Indent 3"/>
    <w:basedOn w:val="1"/>
    <w:link w:val="22"/>
    <w:qFormat/>
    <w:uiPriority w:val="0"/>
    <w:pPr>
      <w:spacing w:after="120"/>
      <w:ind w:left="420" w:leftChars="200"/>
    </w:pPr>
    <w:rPr>
      <w:sz w:val="16"/>
      <w:szCs w:val="16"/>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5">
    <w:name w:val="Title"/>
    <w:basedOn w:val="1"/>
    <w:next w:val="1"/>
    <w:link w:val="25"/>
    <w:qFormat/>
    <w:uiPriority w:val="0"/>
    <w:pPr>
      <w:spacing w:before="240" w:after="60"/>
      <w:jc w:val="center"/>
      <w:outlineLvl w:val="0"/>
    </w:pPr>
    <w:rPr>
      <w:rFonts w:ascii="Cambria" w:hAnsi="Cambria"/>
      <w:b/>
      <w:bCs/>
      <w:sz w:val="32"/>
      <w:szCs w:val="32"/>
    </w:rPr>
  </w:style>
  <w:style w:type="character" w:styleId="18">
    <w:name w:val="page number"/>
    <w:basedOn w:val="17"/>
    <w:qFormat/>
    <w:uiPriority w:val="0"/>
  </w:style>
  <w:style w:type="character" w:styleId="19">
    <w:name w:val="Hyperlink"/>
    <w:unhideWhenUsed/>
    <w:qFormat/>
    <w:uiPriority w:val="99"/>
    <w:rPr>
      <w:color w:val="0000FF"/>
      <w:u w:val="single"/>
    </w:rPr>
  </w:style>
  <w:style w:type="character" w:styleId="20">
    <w:name w:val="footnote reference"/>
    <w:qFormat/>
    <w:uiPriority w:val="0"/>
    <w:rPr>
      <w:vertAlign w:val="superscript"/>
    </w:rPr>
  </w:style>
  <w:style w:type="character" w:styleId="21">
    <w:name w:val="HTML Sample"/>
    <w:qFormat/>
    <w:uiPriority w:val="0"/>
    <w:rPr>
      <w:rFonts w:ascii="Consolas" w:hAnsi="Consolas" w:eastAsia="Consolas" w:cs="Consolas"/>
    </w:rPr>
  </w:style>
  <w:style w:type="character" w:customStyle="1" w:styleId="22">
    <w:name w:val="正文文本缩进 3 Char"/>
    <w:basedOn w:val="17"/>
    <w:link w:val="13"/>
    <w:qFormat/>
    <w:uiPriority w:val="0"/>
    <w:rPr>
      <w:rFonts w:ascii="Times New Roman" w:hAnsi="Times New Roman" w:eastAsia="宋体" w:cs="Times New Roman"/>
      <w:sz w:val="16"/>
      <w:szCs w:val="16"/>
    </w:rPr>
  </w:style>
  <w:style w:type="character" w:customStyle="1" w:styleId="23">
    <w:name w:val="脚注文本 Char"/>
    <w:basedOn w:val="17"/>
    <w:link w:val="12"/>
    <w:qFormat/>
    <w:uiPriority w:val="0"/>
    <w:rPr>
      <w:rFonts w:ascii="Calibri" w:hAnsi="Calibri" w:eastAsia="宋体" w:cs="Times New Roman"/>
      <w:kern w:val="0"/>
      <w:sz w:val="18"/>
      <w:szCs w:val="18"/>
    </w:rPr>
  </w:style>
  <w:style w:type="character" w:customStyle="1" w:styleId="24">
    <w:name w:val="页眉 Char"/>
    <w:basedOn w:val="17"/>
    <w:link w:val="11"/>
    <w:qFormat/>
    <w:uiPriority w:val="99"/>
    <w:rPr>
      <w:rFonts w:ascii="Times New Roman" w:hAnsi="Times New Roman" w:eastAsia="宋体" w:cs="Times New Roman"/>
      <w:sz w:val="18"/>
      <w:szCs w:val="18"/>
    </w:rPr>
  </w:style>
  <w:style w:type="character" w:customStyle="1" w:styleId="25">
    <w:name w:val="标题 Char"/>
    <w:basedOn w:val="17"/>
    <w:link w:val="15"/>
    <w:qFormat/>
    <w:uiPriority w:val="0"/>
    <w:rPr>
      <w:rFonts w:ascii="Cambria" w:hAnsi="Cambria" w:eastAsia="宋体" w:cs="Times New Roman"/>
      <w:b/>
      <w:bCs/>
      <w:sz w:val="32"/>
      <w:szCs w:val="32"/>
    </w:rPr>
  </w:style>
  <w:style w:type="character" w:customStyle="1" w:styleId="26">
    <w:name w:val="批注框文本 Char"/>
    <w:basedOn w:val="17"/>
    <w:link w:val="9"/>
    <w:semiHidden/>
    <w:qFormat/>
    <w:uiPriority w:val="99"/>
    <w:rPr>
      <w:rFonts w:ascii="Times New Roman" w:hAnsi="Times New Roman" w:eastAsia="宋体" w:cs="Times New Roman"/>
      <w:sz w:val="18"/>
      <w:szCs w:val="18"/>
    </w:rPr>
  </w:style>
  <w:style w:type="character" w:customStyle="1" w:styleId="27">
    <w:name w:val="页脚 Char"/>
    <w:basedOn w:val="17"/>
    <w:link w:val="10"/>
    <w:qFormat/>
    <w:uiPriority w:val="0"/>
    <w:rPr>
      <w:rFonts w:ascii="Times New Roman" w:hAnsi="Times New Roman" w:eastAsia="宋体" w:cs="Times New Roman"/>
      <w:sz w:val="18"/>
      <w:szCs w:val="18"/>
    </w:rPr>
  </w:style>
  <w:style w:type="character" w:customStyle="1" w:styleId="28">
    <w:name w:val="标题 1 Char"/>
    <w:basedOn w:val="17"/>
    <w:link w:val="2"/>
    <w:qFormat/>
    <w:uiPriority w:val="9"/>
    <w:rPr>
      <w:rFonts w:ascii="Calibri" w:hAnsi="Calibri" w:eastAsia="宋体" w:cs="Times New Roman"/>
      <w:b/>
      <w:bCs/>
      <w:kern w:val="44"/>
      <w:sz w:val="44"/>
      <w:szCs w:val="44"/>
    </w:rPr>
  </w:style>
  <w:style w:type="character" w:customStyle="1" w:styleId="29">
    <w:name w:val="标题 3 Char"/>
    <w:basedOn w:val="17"/>
    <w:link w:val="4"/>
    <w:qFormat/>
    <w:uiPriority w:val="99"/>
    <w:rPr>
      <w:rFonts w:ascii="Calibri" w:hAnsi="Calibri" w:eastAsia="宋体" w:cs="Times New Roman"/>
      <w:b/>
      <w:bCs/>
      <w:kern w:val="0"/>
      <w:sz w:val="32"/>
      <w:szCs w:val="32"/>
    </w:rPr>
  </w:style>
  <w:style w:type="character" w:customStyle="1" w:styleId="30">
    <w:name w:val="标题 2 Char"/>
    <w:basedOn w:val="17"/>
    <w:link w:val="3"/>
    <w:semiHidden/>
    <w:qFormat/>
    <w:uiPriority w:val="9"/>
    <w:rPr>
      <w:rFonts w:asciiTheme="majorHAnsi" w:hAnsiTheme="majorHAnsi" w:eastAsiaTheme="majorEastAsia" w:cstheme="majorBidi"/>
      <w:b/>
      <w:bCs/>
      <w:sz w:val="32"/>
      <w:szCs w:val="32"/>
    </w:rPr>
  </w:style>
  <w:style w:type="paragraph" w:customStyle="1" w:styleId="3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列出段落1"/>
    <w:basedOn w:val="1"/>
    <w:qFormat/>
    <w:uiPriority w:val="34"/>
    <w:pPr>
      <w:ind w:firstLine="420" w:firstLineChars="200"/>
    </w:pPr>
    <w:rPr>
      <w:rFonts w:ascii="等线" w:hAnsi="等线" w:eastAsia="等线"/>
      <w:szCs w:val="22"/>
    </w:rPr>
  </w:style>
  <w:style w:type="paragraph" w:customStyle="1" w:styleId="34">
    <w:name w:val="p0"/>
    <w:basedOn w:val="1"/>
    <w:qFormat/>
    <w:uiPriority w:val="99"/>
    <w:pPr>
      <w:widowControl/>
    </w:pPr>
    <w:rPr>
      <w:kern w:val="0"/>
      <w:szCs w:val="21"/>
    </w:rPr>
  </w:style>
  <w:style w:type="character" w:customStyle="1" w:styleId="35">
    <w:name w:val="纯文本 Char"/>
    <w:basedOn w:val="17"/>
    <w:link w:val="8"/>
    <w:qFormat/>
    <w:uiPriority w:val="99"/>
    <w:rPr>
      <w:rFonts w:ascii="宋体" w:hAnsi="Courier New"/>
      <w:color w:val="000000"/>
      <w:kern w:val="2"/>
      <w:sz w:val="21"/>
    </w:rPr>
  </w:style>
  <w:style w:type="character" w:customStyle="1" w:styleId="36">
    <w:name w:val="标题 4 Char"/>
    <w:basedOn w:val="17"/>
    <w:semiHidden/>
    <w:qFormat/>
    <w:uiPriority w:val="9"/>
    <w:rPr>
      <w:rFonts w:asciiTheme="majorHAnsi" w:hAnsiTheme="majorHAnsi" w:eastAsiaTheme="majorEastAsia" w:cstheme="majorBidi"/>
      <w:b/>
      <w:bCs/>
      <w:kern w:val="2"/>
      <w:sz w:val="28"/>
      <w:szCs w:val="28"/>
    </w:rPr>
  </w:style>
  <w:style w:type="character" w:customStyle="1" w:styleId="37">
    <w:name w:val="标题 4 Char1"/>
    <w:link w:val="5"/>
    <w:qFormat/>
    <w:uiPriority w:val="0"/>
    <w:rPr>
      <w:rFonts w:ascii="Cambria" w:hAnsi="Cambria"/>
      <w:b/>
      <w:bCs/>
      <w:kern w:val="2"/>
      <w:sz w:val="28"/>
      <w:szCs w:val="28"/>
    </w:rPr>
  </w:style>
  <w:style w:type="character" w:customStyle="1" w:styleId="38">
    <w:name w:val="批注文字 Char"/>
    <w:link w:val="7"/>
    <w:qFormat/>
    <w:uiPriority w:val="0"/>
    <w:rPr>
      <w:kern w:val="2"/>
      <w:sz w:val="21"/>
      <w:szCs w:val="24"/>
    </w:rPr>
  </w:style>
  <w:style w:type="character" w:customStyle="1" w:styleId="39">
    <w:name w:val="批注文字 Char1"/>
    <w:basedOn w:val="17"/>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37F3D-60F3-4242-A705-99F35774F0D6}">
  <ds:schemaRefs/>
</ds:datastoreItem>
</file>

<file path=docProps/app.xml><?xml version="1.0" encoding="utf-8"?>
<Properties xmlns="http://schemas.openxmlformats.org/officeDocument/2006/extended-properties" xmlns:vt="http://schemas.openxmlformats.org/officeDocument/2006/docPropsVTypes">
  <Template>Normal</Template>
  <Pages>9</Pages>
  <Words>874</Words>
  <Characters>4985</Characters>
  <Lines>41</Lines>
  <Paragraphs>11</Paragraphs>
  <TotalTime>5</TotalTime>
  <ScaleCrop>false</ScaleCrop>
  <LinksUpToDate>false</LinksUpToDate>
  <CharactersWithSpaces>5848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2019-10-21T08:24:00Z</dcterms:created>
  <dc:creator>Administrator</dc:creator>
  <cp:lastModifiedBy>Administrator</cp:lastModifiedBy>
  <cp:lastPrinted>2020-08-04T07:07:00Z</cp:lastPrinted>
  <dcterms:modified xsi:type="dcterms:W3CDTF">2021-03-23T00:10:04Z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