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694"/>
          <w:tab w:val="left" w:pos="3420"/>
        </w:tabs>
        <w:adjustRightInd w:val="0"/>
        <w:snapToGrid w:val="0"/>
        <w:spacing w:line="400" w:lineRule="exact"/>
        <w:jc w:val="center"/>
        <w:rPr>
          <w:rFonts w:hint="eastAsia" w:ascii="黑体" w:hAnsi="宋体" w:eastAsia="黑体" w:cs="宋体"/>
          <w:bCs/>
          <w:color w:val="000000"/>
          <w:kern w:val="0"/>
          <w:sz w:val="28"/>
          <w:szCs w:val="28"/>
          <w:highlight w:val="none"/>
          <w:lang w:val="zh-CN"/>
        </w:rPr>
      </w:pPr>
      <w:r>
        <w:rPr>
          <w:rFonts w:hint="eastAsia" w:ascii="黑体" w:hAnsi="宋体" w:eastAsia="黑体" w:cs="宋体"/>
          <w:bCs/>
          <w:color w:val="000000"/>
          <w:kern w:val="0"/>
          <w:sz w:val="28"/>
          <w:szCs w:val="28"/>
          <w:highlight w:val="none"/>
          <w:lang w:val="zh-CN"/>
        </w:rPr>
        <w:t>吉林省高速公路管理养护设备采购项目</w:t>
      </w:r>
    </w:p>
    <w:p>
      <w:pPr>
        <w:tabs>
          <w:tab w:val="left" w:pos="2694"/>
          <w:tab w:val="left" w:pos="3420"/>
        </w:tabs>
        <w:adjustRightInd w:val="0"/>
        <w:snapToGrid w:val="0"/>
        <w:spacing w:line="400" w:lineRule="exact"/>
        <w:jc w:val="center"/>
        <w:rPr>
          <w:rFonts w:ascii="黑体" w:hAnsi="宋体" w:eastAsia="黑体" w:cs="宋体"/>
          <w:bCs/>
          <w:color w:val="000000"/>
          <w:kern w:val="0"/>
          <w:sz w:val="28"/>
          <w:szCs w:val="28"/>
          <w:highlight w:val="none"/>
          <w:lang w:val="zh-CN"/>
        </w:rPr>
      </w:pPr>
    </w:p>
    <w:p>
      <w:pPr>
        <w:tabs>
          <w:tab w:val="left" w:pos="5010"/>
        </w:tabs>
        <w:autoSpaceDE w:val="0"/>
        <w:autoSpaceDN w:val="0"/>
        <w:adjustRightInd w:val="0"/>
        <w:jc w:val="center"/>
        <w:rPr>
          <w:rFonts w:ascii="黑体" w:hAnsi="宋体" w:eastAsia="黑体"/>
          <w:bCs/>
          <w:color w:val="000000"/>
          <w:kern w:val="0"/>
          <w:sz w:val="30"/>
          <w:szCs w:val="30"/>
          <w:highlight w:val="none"/>
        </w:rPr>
      </w:pPr>
      <w:r>
        <w:rPr>
          <w:rFonts w:hint="eastAsia" w:ascii="黑体" w:eastAsia="黑体"/>
          <w:color w:val="000000"/>
          <w:sz w:val="30"/>
          <w:szCs w:val="30"/>
          <w:highlight w:val="none"/>
          <w:lang w:val="en-US" w:eastAsia="zh-CN"/>
        </w:rPr>
        <w:t>招标文件</w:t>
      </w:r>
      <w:r>
        <w:rPr>
          <w:rFonts w:hint="eastAsia" w:ascii="黑体" w:eastAsia="黑体"/>
          <w:color w:val="000000"/>
          <w:sz w:val="30"/>
          <w:szCs w:val="30"/>
          <w:highlight w:val="none"/>
        </w:rPr>
        <w:t>关键内容</w:t>
      </w:r>
    </w:p>
    <w:p>
      <w:pPr>
        <w:pStyle w:val="5"/>
        <w:pageBreakBefore w:val="0"/>
        <w:widowControl w:val="0"/>
        <w:kinsoku/>
        <w:wordWrap/>
        <w:overflowPunct/>
        <w:topLinePunct w:val="0"/>
        <w:autoSpaceDE/>
        <w:autoSpaceDN/>
        <w:bidi w:val="0"/>
        <w:adjustRightInd/>
        <w:snapToGrid/>
        <w:spacing w:before="0" w:beforeLines="0" w:after="0" w:afterLines="0" w:line="360" w:lineRule="auto"/>
        <w:textAlignment w:val="auto"/>
        <w:rPr>
          <w:rFonts w:hint="eastAsia" w:ascii="宋体" w:hAnsi="宋体" w:cs="宋体"/>
          <w:color w:val="000000"/>
          <w:kern w:val="44"/>
          <w:sz w:val="24"/>
          <w:szCs w:val="24"/>
          <w:highlight w:val="none"/>
        </w:rPr>
      </w:pPr>
      <w:r>
        <w:rPr>
          <w:rFonts w:hint="eastAsia" w:ascii="宋体" w:hAnsi="宋体" w:cs="宋体"/>
          <w:color w:val="000000"/>
          <w:kern w:val="44"/>
          <w:sz w:val="24"/>
          <w:szCs w:val="24"/>
          <w:highlight w:val="none"/>
        </w:rPr>
        <w:t>1.招标条件</w:t>
      </w:r>
    </w:p>
    <w:p>
      <w:pPr>
        <w:pageBreakBefore w:val="0"/>
        <w:widowControl w:val="0"/>
        <w:kinsoku/>
        <w:wordWrap/>
        <w:overflowPunct/>
        <w:topLinePunct w:val="0"/>
        <w:autoSpaceDE/>
        <w:autoSpaceDN/>
        <w:bidi w:val="0"/>
        <w:adjustRightInd/>
        <w:snapToGrid/>
        <w:spacing w:line="360" w:lineRule="auto"/>
        <w:ind w:firstLine="315" w:firstLineChars="15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lang w:val="zh-CN"/>
        </w:rPr>
        <w:t>吉林省高速公路管理养护设备采购项目</w:t>
      </w:r>
      <w:r>
        <w:rPr>
          <w:rFonts w:hint="eastAsia" w:ascii="宋体" w:hAnsi="宋体" w:cs="宋体"/>
          <w:color w:val="000000"/>
          <w:sz w:val="21"/>
          <w:szCs w:val="21"/>
          <w:highlight w:val="none"/>
        </w:rPr>
        <w:t>招标人为吉林省高速公路集团有限公司，招标项目资金来自项目法人自筹和银行贷款。该项目已具备招标条件，现对202</w:t>
      </w: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年采购项目进行公开招标。</w:t>
      </w:r>
    </w:p>
    <w:p>
      <w:pPr>
        <w:pStyle w:val="5"/>
        <w:pageBreakBefore w:val="0"/>
        <w:widowControl w:val="0"/>
        <w:kinsoku/>
        <w:wordWrap/>
        <w:overflowPunct/>
        <w:topLinePunct w:val="0"/>
        <w:autoSpaceDE/>
        <w:autoSpaceDN/>
        <w:bidi w:val="0"/>
        <w:adjustRightInd/>
        <w:snapToGrid/>
        <w:spacing w:before="0" w:beforeLines="0" w:after="0" w:afterLines="0" w:line="360" w:lineRule="auto"/>
        <w:textAlignment w:val="auto"/>
        <w:rPr>
          <w:rFonts w:hint="eastAsia" w:ascii="宋体" w:hAnsi="宋体" w:cs="宋体"/>
          <w:color w:val="000000"/>
          <w:kern w:val="44"/>
          <w:sz w:val="24"/>
          <w:szCs w:val="24"/>
          <w:highlight w:val="none"/>
        </w:rPr>
      </w:pPr>
      <w:bookmarkStart w:id="0" w:name="_Toc359047735"/>
      <w:bookmarkStart w:id="1" w:name="_Toc359047599"/>
      <w:bookmarkStart w:id="2" w:name="_Toc359047679"/>
      <w:r>
        <w:rPr>
          <w:rFonts w:hint="eastAsia" w:ascii="宋体" w:hAnsi="宋体" w:cs="宋体"/>
          <w:color w:val="000000"/>
          <w:kern w:val="44"/>
          <w:sz w:val="24"/>
          <w:szCs w:val="24"/>
          <w:highlight w:val="none"/>
        </w:rPr>
        <w:t>2.项目概况与招标</w:t>
      </w:r>
      <w:bookmarkEnd w:id="0"/>
      <w:bookmarkEnd w:id="1"/>
      <w:bookmarkEnd w:id="2"/>
      <w:r>
        <w:rPr>
          <w:rFonts w:hint="eastAsia" w:ascii="宋体" w:hAnsi="宋体" w:cs="宋体"/>
          <w:color w:val="000000"/>
          <w:kern w:val="44"/>
          <w:sz w:val="24"/>
          <w:szCs w:val="24"/>
          <w:highlight w:val="none"/>
        </w:rPr>
        <w:t>范围</w:t>
      </w:r>
    </w:p>
    <w:p>
      <w:pPr>
        <w:spacing w:line="400" w:lineRule="exact"/>
        <w:ind w:firstLine="315" w:firstLineChars="15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2.1合同包划分：本次招标共划分为</w:t>
      </w:r>
      <w:r>
        <w:rPr>
          <w:rFonts w:hint="eastAsia" w:asciiTheme="minorEastAsia" w:hAnsiTheme="minorEastAsia" w:eastAsiaTheme="minorEastAsia" w:cstheme="minorEastAsia"/>
          <w:color w:val="000000"/>
          <w:sz w:val="21"/>
          <w:szCs w:val="21"/>
          <w:highlight w:val="none"/>
          <w:lang w:val="en-US" w:eastAsia="zh-CN"/>
        </w:rPr>
        <w:t>5</w:t>
      </w:r>
      <w:r>
        <w:rPr>
          <w:rFonts w:hint="eastAsia" w:asciiTheme="minorEastAsia" w:hAnsiTheme="minorEastAsia" w:eastAsiaTheme="minorEastAsia" w:cstheme="minorEastAsia"/>
          <w:color w:val="000000"/>
          <w:sz w:val="21"/>
          <w:szCs w:val="21"/>
          <w:highlight w:val="none"/>
        </w:rPr>
        <w:t>个合同包，具体如下：</w:t>
      </w:r>
    </w:p>
    <w:tbl>
      <w:tblPr>
        <w:tblStyle w:val="12"/>
        <w:tblW w:w="103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115"/>
        <w:gridCol w:w="1909"/>
        <w:gridCol w:w="3864"/>
        <w:gridCol w:w="765"/>
        <w:gridCol w:w="851"/>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blHeader/>
          <w:jc w:val="center"/>
        </w:trPr>
        <w:tc>
          <w:tcPr>
            <w:tcW w:w="710" w:type="dxa"/>
            <w:tcBorders>
              <w:top w:val="single" w:color="auto" w:sz="4" w:space="0"/>
              <w:bottom w:val="single" w:color="000000" w:sz="4" w:space="0"/>
              <w:right w:val="single" w:color="auto" w:sz="6" w:space="0"/>
            </w:tcBorders>
            <w:noWrap w:val="0"/>
            <w:vAlign w:val="center"/>
          </w:tcPr>
          <w:p>
            <w:pPr>
              <w:jc w:val="center"/>
              <w:rPr>
                <w:rFonts w:ascii="宋体" w:hAnsi="宋体"/>
                <w:bCs/>
                <w:color w:val="000000"/>
                <w:kern w:val="44"/>
                <w:szCs w:val="21"/>
                <w:highlight w:val="none"/>
              </w:rPr>
            </w:pPr>
            <w:r>
              <w:rPr>
                <w:rFonts w:ascii="宋体" w:hAnsi="宋体"/>
                <w:bCs/>
                <w:color w:val="000000"/>
                <w:kern w:val="44"/>
                <w:szCs w:val="21"/>
                <w:highlight w:val="none"/>
              </w:rPr>
              <w:t>合同包</w:t>
            </w:r>
          </w:p>
        </w:tc>
        <w:tc>
          <w:tcPr>
            <w:tcW w:w="1115" w:type="dxa"/>
            <w:tcBorders>
              <w:top w:val="single" w:color="auto" w:sz="4" w:space="0"/>
              <w:left w:val="single" w:color="auto" w:sz="6" w:space="0"/>
              <w:bottom w:val="single" w:color="000000" w:sz="4" w:space="0"/>
              <w:right w:val="single" w:color="auto" w:sz="6" w:space="0"/>
            </w:tcBorders>
            <w:noWrap w:val="0"/>
            <w:vAlign w:val="center"/>
          </w:tcPr>
          <w:p>
            <w:pPr>
              <w:jc w:val="center"/>
              <w:rPr>
                <w:rFonts w:ascii="宋体" w:hAnsi="宋体"/>
                <w:bCs/>
                <w:color w:val="000000"/>
                <w:kern w:val="44"/>
                <w:szCs w:val="21"/>
                <w:highlight w:val="none"/>
              </w:rPr>
            </w:pPr>
            <w:r>
              <w:rPr>
                <w:rFonts w:ascii="宋体" w:hAnsi="宋体"/>
                <w:bCs/>
                <w:color w:val="000000"/>
                <w:kern w:val="44"/>
                <w:szCs w:val="21"/>
                <w:highlight w:val="none"/>
              </w:rPr>
              <w:t>设备</w:t>
            </w:r>
          </w:p>
          <w:p>
            <w:pPr>
              <w:jc w:val="center"/>
              <w:rPr>
                <w:rFonts w:ascii="宋体" w:hAnsi="宋体"/>
                <w:bCs/>
                <w:color w:val="000000"/>
                <w:kern w:val="44"/>
                <w:szCs w:val="21"/>
                <w:highlight w:val="none"/>
              </w:rPr>
            </w:pPr>
            <w:r>
              <w:rPr>
                <w:rFonts w:ascii="宋体" w:hAnsi="宋体"/>
                <w:bCs/>
                <w:color w:val="000000"/>
                <w:kern w:val="44"/>
                <w:szCs w:val="21"/>
                <w:highlight w:val="none"/>
              </w:rPr>
              <w:t>名称</w:t>
            </w:r>
          </w:p>
        </w:tc>
        <w:tc>
          <w:tcPr>
            <w:tcW w:w="1909" w:type="dxa"/>
            <w:tcBorders>
              <w:top w:val="single" w:color="auto" w:sz="4" w:space="0"/>
              <w:left w:val="single" w:color="auto" w:sz="6" w:space="0"/>
              <w:bottom w:val="single" w:color="000000" w:sz="4" w:space="0"/>
              <w:right w:val="single" w:color="auto" w:sz="6" w:space="0"/>
            </w:tcBorders>
            <w:noWrap w:val="0"/>
            <w:vAlign w:val="center"/>
          </w:tcPr>
          <w:p>
            <w:pPr>
              <w:jc w:val="center"/>
              <w:rPr>
                <w:rFonts w:ascii="宋体" w:hAnsi="宋体"/>
                <w:bCs/>
                <w:color w:val="000000"/>
                <w:kern w:val="0"/>
                <w:szCs w:val="21"/>
                <w:highlight w:val="none"/>
              </w:rPr>
            </w:pPr>
            <w:r>
              <w:rPr>
                <w:rFonts w:hint="eastAsia" w:ascii="宋体" w:hAnsi="宋体"/>
                <w:bCs/>
                <w:color w:val="000000"/>
                <w:kern w:val="0"/>
                <w:szCs w:val="21"/>
                <w:highlight w:val="none"/>
              </w:rPr>
              <w:t>设备用途</w:t>
            </w:r>
          </w:p>
        </w:tc>
        <w:tc>
          <w:tcPr>
            <w:tcW w:w="3864" w:type="dxa"/>
            <w:tcBorders>
              <w:top w:val="single" w:color="auto" w:sz="4" w:space="0"/>
              <w:left w:val="single" w:color="auto" w:sz="6" w:space="0"/>
              <w:bottom w:val="single" w:color="000000" w:sz="4" w:space="0"/>
              <w:right w:val="single" w:color="auto" w:sz="6" w:space="0"/>
            </w:tcBorders>
            <w:noWrap w:val="0"/>
            <w:vAlign w:val="center"/>
          </w:tcPr>
          <w:p>
            <w:pPr>
              <w:jc w:val="center"/>
              <w:rPr>
                <w:rFonts w:ascii="宋体" w:hAnsi="宋体"/>
                <w:bCs/>
                <w:color w:val="000000"/>
                <w:kern w:val="44"/>
                <w:szCs w:val="21"/>
                <w:highlight w:val="none"/>
              </w:rPr>
            </w:pPr>
            <w:r>
              <w:rPr>
                <w:rFonts w:hint="eastAsia" w:ascii="宋体" w:hAnsi="宋体" w:cs="宋体"/>
                <w:color w:val="000000"/>
                <w:kern w:val="0"/>
                <w:sz w:val="21"/>
                <w:szCs w:val="21"/>
                <w:highlight w:val="none"/>
                <w:lang w:eastAsia="zh-CN"/>
              </w:rPr>
              <w:t>主要参考技术性能指标</w:t>
            </w:r>
          </w:p>
        </w:tc>
        <w:tc>
          <w:tcPr>
            <w:tcW w:w="765" w:type="dxa"/>
            <w:tcBorders>
              <w:top w:val="single" w:color="auto" w:sz="4" w:space="0"/>
              <w:left w:val="single" w:color="auto" w:sz="6" w:space="0"/>
              <w:bottom w:val="single" w:color="000000" w:sz="4" w:space="0"/>
              <w:right w:val="single" w:color="auto" w:sz="6" w:space="0"/>
            </w:tcBorders>
            <w:noWrap w:val="0"/>
            <w:vAlign w:val="center"/>
          </w:tcPr>
          <w:p>
            <w:pPr>
              <w:jc w:val="center"/>
              <w:rPr>
                <w:rFonts w:ascii="宋体" w:hAnsi="宋体"/>
                <w:bCs/>
                <w:color w:val="000000"/>
                <w:kern w:val="44"/>
                <w:szCs w:val="21"/>
                <w:highlight w:val="none"/>
              </w:rPr>
            </w:pPr>
            <w:r>
              <w:rPr>
                <w:rFonts w:ascii="宋体" w:hAnsi="宋体"/>
                <w:bCs/>
                <w:color w:val="000000"/>
                <w:kern w:val="44"/>
                <w:szCs w:val="21"/>
                <w:highlight w:val="none"/>
              </w:rPr>
              <w:t>数量</w:t>
            </w:r>
            <w:r>
              <w:rPr>
                <w:rFonts w:hint="eastAsia" w:ascii="宋体" w:hAnsi="宋体"/>
                <w:bCs/>
                <w:color w:val="000000"/>
                <w:kern w:val="44"/>
                <w:szCs w:val="21"/>
                <w:highlight w:val="none"/>
              </w:rPr>
              <w:t>(</w:t>
            </w:r>
            <w:r>
              <w:rPr>
                <w:rFonts w:ascii="宋体" w:hAnsi="宋体"/>
                <w:bCs/>
                <w:color w:val="000000"/>
                <w:kern w:val="44"/>
                <w:szCs w:val="21"/>
                <w:highlight w:val="none"/>
              </w:rPr>
              <w:t>台</w:t>
            </w:r>
            <w:r>
              <w:rPr>
                <w:rFonts w:hint="eastAsia" w:ascii="宋体" w:hAnsi="宋体"/>
                <w:bCs/>
                <w:color w:val="000000"/>
                <w:kern w:val="44"/>
                <w:szCs w:val="21"/>
                <w:highlight w:val="none"/>
              </w:rPr>
              <w:t>)</w:t>
            </w:r>
          </w:p>
        </w:tc>
        <w:tc>
          <w:tcPr>
            <w:tcW w:w="851" w:type="dxa"/>
            <w:tcBorders>
              <w:top w:val="single" w:color="auto" w:sz="4" w:space="0"/>
              <w:left w:val="single" w:color="auto" w:sz="6" w:space="0"/>
              <w:bottom w:val="single" w:color="000000" w:sz="4" w:space="0"/>
              <w:right w:val="single" w:color="auto" w:sz="6" w:space="0"/>
            </w:tcBorders>
            <w:noWrap w:val="0"/>
            <w:vAlign w:val="center"/>
          </w:tcPr>
          <w:p>
            <w:pPr>
              <w:jc w:val="center"/>
              <w:rPr>
                <w:rFonts w:ascii="宋体" w:hAnsi="宋体"/>
                <w:bCs/>
                <w:color w:val="000000"/>
                <w:kern w:val="44"/>
                <w:szCs w:val="21"/>
                <w:highlight w:val="none"/>
              </w:rPr>
            </w:pPr>
            <w:r>
              <w:rPr>
                <w:rFonts w:hint="eastAsia" w:ascii="宋体" w:hAnsi="宋体"/>
                <w:bCs/>
                <w:color w:val="000000"/>
                <w:kern w:val="44"/>
                <w:szCs w:val="21"/>
                <w:highlight w:val="none"/>
              </w:rPr>
              <w:t>单台</w:t>
            </w:r>
            <w:r>
              <w:rPr>
                <w:rFonts w:ascii="宋体" w:hAnsi="宋体"/>
                <w:bCs/>
                <w:color w:val="000000"/>
                <w:kern w:val="44"/>
                <w:szCs w:val="21"/>
                <w:highlight w:val="none"/>
              </w:rPr>
              <w:t>最高投标限价</w:t>
            </w:r>
            <w:r>
              <w:rPr>
                <w:rFonts w:hint="eastAsia" w:ascii="宋体" w:hAnsi="宋体"/>
                <w:bCs/>
                <w:color w:val="000000"/>
                <w:kern w:val="44"/>
                <w:szCs w:val="21"/>
                <w:highlight w:val="none"/>
              </w:rPr>
              <w:t>(</w:t>
            </w:r>
            <w:r>
              <w:rPr>
                <w:rFonts w:ascii="宋体" w:hAnsi="宋体"/>
                <w:bCs/>
                <w:color w:val="000000"/>
                <w:kern w:val="44"/>
                <w:szCs w:val="21"/>
                <w:highlight w:val="none"/>
              </w:rPr>
              <w:t>万元</w:t>
            </w:r>
            <w:r>
              <w:rPr>
                <w:rFonts w:hint="eastAsia" w:ascii="宋体" w:hAnsi="宋体"/>
                <w:bCs/>
                <w:color w:val="000000"/>
                <w:kern w:val="44"/>
                <w:szCs w:val="21"/>
                <w:highlight w:val="none"/>
              </w:rPr>
              <w:t>)</w:t>
            </w:r>
          </w:p>
        </w:tc>
        <w:tc>
          <w:tcPr>
            <w:tcW w:w="1104" w:type="dxa"/>
            <w:tcBorders>
              <w:top w:val="single" w:color="auto" w:sz="4" w:space="0"/>
              <w:left w:val="single" w:color="auto" w:sz="6" w:space="0"/>
              <w:bottom w:val="single" w:color="000000" w:sz="4" w:space="0"/>
            </w:tcBorders>
            <w:noWrap w:val="0"/>
            <w:vAlign w:val="center"/>
          </w:tcPr>
          <w:p>
            <w:pPr>
              <w:jc w:val="center"/>
              <w:rPr>
                <w:rFonts w:ascii="宋体" w:hAnsi="宋体"/>
                <w:bCs/>
                <w:color w:val="000000"/>
                <w:kern w:val="44"/>
                <w:szCs w:val="21"/>
                <w:highlight w:val="none"/>
              </w:rPr>
            </w:pPr>
            <w:r>
              <w:rPr>
                <w:rFonts w:ascii="宋体" w:hAnsi="宋体"/>
                <w:bCs/>
                <w:color w:val="000000"/>
                <w:kern w:val="44"/>
                <w:szCs w:val="21"/>
                <w:highlight w:val="none"/>
              </w:rPr>
              <w:t>合同包最高投标限价</w:t>
            </w:r>
            <w:r>
              <w:rPr>
                <w:rFonts w:hint="eastAsia" w:ascii="宋体" w:hAnsi="宋体"/>
                <w:bCs/>
                <w:color w:val="000000"/>
                <w:kern w:val="44"/>
                <w:szCs w:val="21"/>
                <w:highlight w:val="none"/>
              </w:rPr>
              <w:t>(</w:t>
            </w:r>
            <w:r>
              <w:rPr>
                <w:rFonts w:ascii="宋体" w:hAnsi="宋体"/>
                <w:bCs/>
                <w:color w:val="000000"/>
                <w:kern w:val="44"/>
                <w:szCs w:val="21"/>
                <w:highlight w:val="none"/>
              </w:rPr>
              <w:t>万元</w:t>
            </w:r>
            <w:r>
              <w:rPr>
                <w:rFonts w:hint="eastAsia" w:ascii="宋体" w:hAnsi="宋体"/>
                <w:bCs/>
                <w:color w:val="000000"/>
                <w:kern w:val="44"/>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7" w:hRule="exac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01</w:t>
            </w:r>
          </w:p>
        </w:tc>
        <w:tc>
          <w:tcPr>
            <w:tcW w:w="11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widowControl/>
              <w:snapToGrid w:val="0"/>
              <w:jc w:val="both"/>
              <w:textAlignment w:val="center"/>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小型除雪车（含除雪滚刷）</w:t>
            </w:r>
          </w:p>
        </w:tc>
        <w:tc>
          <w:tcPr>
            <w:tcW w:w="19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widowControl/>
              <w:snapToGrid w:val="0"/>
              <w:jc w:val="both"/>
              <w:textAlignment w:val="center"/>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高速公路收费站冬季除雪，包含：装载机、扫雪刷两种设备构成，冬季可扫雪、装车，夏季可进行工程作业。</w:t>
            </w:r>
          </w:p>
        </w:tc>
        <w:tc>
          <w:tcPr>
            <w:tcW w:w="3864"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widowControl/>
              <w:snapToGrid w:val="0"/>
              <w:jc w:val="both"/>
              <w:textAlignment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额定装载质量（kg）≥1000</w:t>
            </w:r>
            <w:r>
              <w:rPr>
                <w:rFonts w:hint="eastAsia" w:ascii="宋体" w:hAnsi="宋体" w:cs="宋体"/>
                <w:color w:val="auto"/>
                <w:kern w:val="0"/>
                <w:sz w:val="21"/>
                <w:szCs w:val="21"/>
                <w:highlight w:val="none"/>
                <w:lang w:eastAsia="zh-CN"/>
              </w:rPr>
              <w:t>，额定斗容量（m³）≥0.7，额定功率(kw)≥35，最低作业温度（℃）不高于-40，雪刷长度（mm）≥1500，左右摆角≥25°，雪刷片/丝直径（mm）≥800，铲刷互换便捷，简单易操作。</w:t>
            </w:r>
          </w:p>
        </w:tc>
        <w:tc>
          <w:tcPr>
            <w:tcW w:w="76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widowControl/>
              <w:suppressLineNumbers w:val="0"/>
              <w:jc w:val="center"/>
              <w:textAlignment w:val="center"/>
              <w:rPr>
                <w:rFonts w:ascii="宋体" w:hAnsi="宋体"/>
                <w:bCs/>
                <w:color w:val="auto"/>
                <w:kern w:val="44"/>
                <w:sz w:val="21"/>
                <w:szCs w:val="21"/>
                <w:highlight w:val="none"/>
              </w:rPr>
            </w:pPr>
            <w:r>
              <w:rPr>
                <w:rFonts w:hint="eastAsia" w:ascii="宋体" w:hAnsi="宋体" w:eastAsia="宋体" w:cs="宋体"/>
                <w:i w:val="0"/>
                <w:color w:val="auto"/>
                <w:kern w:val="0"/>
                <w:sz w:val="21"/>
                <w:szCs w:val="21"/>
                <w:highlight w:val="none"/>
                <w:u w:val="none"/>
                <w:lang w:val="en-US" w:eastAsia="zh-CN" w:bidi="ar"/>
              </w:rPr>
              <w:t>112</w:t>
            </w:r>
          </w:p>
        </w:tc>
        <w:tc>
          <w:tcPr>
            <w:tcW w:w="851"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widowControl/>
              <w:suppressLineNumbers w:val="0"/>
              <w:jc w:val="center"/>
              <w:textAlignment w:val="center"/>
              <w:rPr>
                <w:rFonts w:ascii="宋体" w:hAnsi="宋体"/>
                <w:bCs/>
                <w:color w:val="auto"/>
                <w:kern w:val="44"/>
                <w:sz w:val="21"/>
                <w:szCs w:val="21"/>
                <w:highlight w:val="none"/>
              </w:rPr>
            </w:pPr>
            <w:r>
              <w:rPr>
                <w:rFonts w:hint="eastAsia" w:ascii="宋体" w:hAnsi="宋体" w:eastAsia="宋体" w:cs="宋体"/>
                <w:i w:val="0"/>
                <w:color w:val="auto"/>
                <w:kern w:val="0"/>
                <w:sz w:val="21"/>
                <w:szCs w:val="21"/>
                <w:highlight w:val="none"/>
                <w:u w:val="none"/>
                <w:lang w:val="en-US" w:eastAsia="zh-CN" w:bidi="ar"/>
              </w:rPr>
              <w:t>5.8</w:t>
            </w:r>
          </w:p>
        </w:tc>
        <w:tc>
          <w:tcPr>
            <w:tcW w:w="1104"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widowControl/>
              <w:suppressLineNumbers w:val="0"/>
              <w:jc w:val="center"/>
              <w:textAlignment w:val="center"/>
              <w:rPr>
                <w:rFonts w:hint="default" w:ascii="宋体" w:hAnsi="宋体" w:cs="宋体"/>
                <w:color w:val="auto"/>
                <w:kern w:val="0"/>
                <w:sz w:val="21"/>
                <w:szCs w:val="21"/>
                <w:highlight w:val="none"/>
                <w:lang w:val="en-US" w:bidi="ar"/>
              </w:rPr>
            </w:pPr>
            <w:r>
              <w:rPr>
                <w:rFonts w:hint="eastAsia" w:ascii="宋体" w:hAnsi="宋体" w:eastAsia="宋体" w:cs="宋体"/>
                <w:i w:val="0"/>
                <w:color w:val="auto"/>
                <w:kern w:val="0"/>
                <w:sz w:val="21"/>
                <w:szCs w:val="21"/>
                <w:highlight w:val="none"/>
                <w:u w:val="none"/>
                <w:lang w:val="en-US" w:eastAsia="zh-CN" w:bidi="ar"/>
              </w:rPr>
              <w:t>649.6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9" w:hRule="exact"/>
          <w:jc w:val="center"/>
        </w:trPr>
        <w:tc>
          <w:tcPr>
            <w:tcW w:w="710" w:type="dxa"/>
            <w:tcBorders>
              <w:top w:val="single" w:color="000000" w:sz="4" w:space="0"/>
            </w:tcBorders>
            <w:noWrap w:val="0"/>
            <w:vAlign w:val="center"/>
          </w:tcPr>
          <w:p>
            <w:pPr>
              <w:snapToGrid w:val="0"/>
              <w:jc w:val="center"/>
              <w:rPr>
                <w:rFonts w:hint="default" w:ascii="宋体" w:hAnsi="宋体" w:eastAsia="宋体"/>
                <w:bCs/>
                <w:color w:val="000000"/>
                <w:kern w:val="44"/>
                <w:sz w:val="21"/>
                <w:szCs w:val="21"/>
                <w:highlight w:val="none"/>
                <w:lang w:val="en-US" w:eastAsia="zh-CN"/>
              </w:rPr>
            </w:pPr>
            <w:r>
              <w:rPr>
                <w:rFonts w:hint="eastAsia" w:ascii="宋体" w:hAnsi="宋体"/>
                <w:bCs/>
                <w:color w:val="000000"/>
                <w:kern w:val="44"/>
                <w:sz w:val="21"/>
                <w:szCs w:val="21"/>
                <w:highlight w:val="none"/>
                <w:lang w:val="en-US" w:eastAsia="zh-CN"/>
              </w:rPr>
              <w:t>02</w:t>
            </w:r>
          </w:p>
        </w:tc>
        <w:tc>
          <w:tcPr>
            <w:tcW w:w="1115" w:type="dxa"/>
            <w:tcBorders>
              <w:top w:val="single" w:color="000000" w:sz="4" w:space="0"/>
            </w:tcBorders>
            <w:noWrap w:val="0"/>
            <w:vAlign w:val="center"/>
          </w:tcPr>
          <w:p>
            <w:pPr>
              <w:widowControl/>
              <w:snapToGrid w:val="0"/>
              <w:jc w:val="left"/>
              <w:textAlignment w:val="center"/>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多功能除雪车（小型）</w:t>
            </w:r>
          </w:p>
        </w:tc>
        <w:tc>
          <w:tcPr>
            <w:tcW w:w="1909" w:type="dxa"/>
            <w:tcBorders>
              <w:top w:val="single" w:color="000000" w:sz="4" w:space="0"/>
            </w:tcBorders>
            <w:noWrap w:val="0"/>
            <w:vAlign w:val="center"/>
          </w:tcPr>
          <w:p>
            <w:pPr>
              <w:widowControl/>
              <w:snapToGrid w:val="0"/>
              <w:jc w:val="left"/>
              <w:rPr>
                <w:rFonts w:ascii="宋体" w:hAnsi="宋体"/>
                <w:color w:val="000000"/>
                <w:sz w:val="21"/>
                <w:szCs w:val="21"/>
                <w:highlight w:val="none"/>
              </w:rPr>
            </w:pPr>
            <w:r>
              <w:rPr>
                <w:rFonts w:hint="eastAsia"/>
                <w:color w:val="000000"/>
                <w:highlight w:val="none"/>
              </w:rPr>
              <w:t>高速公路服务区冬季除雪，</w:t>
            </w:r>
            <w:r>
              <w:rPr>
                <w:rFonts w:hint="eastAsia" w:ascii="宋体" w:hAnsi="宋体"/>
                <w:bCs/>
                <w:color w:val="000000"/>
                <w:kern w:val="44"/>
                <w:szCs w:val="21"/>
                <w:highlight w:val="none"/>
              </w:rPr>
              <w:t>包含：装载机、挖掘机、扫雪刷三种设备构成，冬季可扫雪、装车、卸车，夏季可进行工程作业、绿化养护等多功能作业模式。</w:t>
            </w:r>
          </w:p>
        </w:tc>
        <w:tc>
          <w:tcPr>
            <w:tcW w:w="3864" w:type="dxa"/>
            <w:tcBorders>
              <w:top w:val="single" w:color="000000" w:sz="4" w:space="0"/>
            </w:tcBorders>
            <w:noWrap w:val="0"/>
            <w:vAlign w:val="center"/>
          </w:tcPr>
          <w:p>
            <w:pPr>
              <w:widowControl/>
              <w:snapToGrid w:val="0"/>
              <w:jc w:val="both"/>
              <w:textAlignment w:val="center"/>
              <w:rPr>
                <w:rFonts w:ascii="宋体" w:hAnsi="宋体" w:cs="宋体"/>
                <w:color w:val="000000"/>
                <w:kern w:val="0"/>
                <w:sz w:val="21"/>
                <w:szCs w:val="21"/>
                <w:highlight w:val="none"/>
              </w:rPr>
            </w:pPr>
            <w:r>
              <w:rPr>
                <w:rFonts w:hint="eastAsia" w:ascii="宋体" w:hAnsi="宋体"/>
                <w:bCs/>
                <w:color w:val="000000"/>
                <w:kern w:val="44"/>
                <w:szCs w:val="21"/>
                <w:highlight w:val="none"/>
              </w:rPr>
              <w:t>工作质量(kg)≥3600，额定功率(kW)≥54，挖斗容积(m</w:t>
            </w:r>
            <w:r>
              <w:rPr>
                <w:rFonts w:hint="eastAsia" w:ascii="宋体" w:hAnsi="宋体"/>
                <w:bCs/>
                <w:color w:val="000000"/>
                <w:kern w:val="44"/>
                <w:szCs w:val="21"/>
                <w:highlight w:val="none"/>
                <w:vertAlign w:val="superscript"/>
              </w:rPr>
              <w:t>3</w:t>
            </w:r>
            <w:r>
              <w:rPr>
                <w:rFonts w:hint="eastAsia" w:ascii="宋体" w:hAnsi="宋体"/>
                <w:bCs/>
                <w:color w:val="000000"/>
                <w:kern w:val="44"/>
                <w:szCs w:val="21"/>
                <w:highlight w:val="none"/>
              </w:rPr>
              <w:t>)≥0.15，挖掘力(kN)≥28，崛起力(kN)≥36，挖掘半径(mm)≥3400，挖掘深度(mm)≥2100，挖斗卸载高度(mm)≥2200，装斗卸载高度(mm)≥3300，装斗卸载距离(mm)≥900，刷片外径（mm）≥800，雪刷宽度(mm)≥2000。</w:t>
            </w:r>
          </w:p>
        </w:tc>
        <w:tc>
          <w:tcPr>
            <w:tcW w:w="765" w:type="dxa"/>
            <w:tcBorders>
              <w:top w:val="single" w:color="000000" w:sz="4" w:space="0"/>
            </w:tcBorders>
            <w:noWrap w:val="0"/>
            <w:vAlign w:val="center"/>
          </w:tcPr>
          <w:p>
            <w:pPr>
              <w:keepNext w:val="0"/>
              <w:keepLines w:val="0"/>
              <w:widowControl/>
              <w:suppressLineNumbers w:val="0"/>
              <w:jc w:val="center"/>
              <w:textAlignment w:val="center"/>
              <w:rPr>
                <w:rFonts w:ascii="宋体" w:hAnsi="宋体" w:cs="宋体"/>
                <w:color w:val="000000"/>
                <w:kern w:val="0"/>
                <w:sz w:val="21"/>
                <w:szCs w:val="21"/>
                <w:highlight w:val="none"/>
                <w:lang w:bidi="ar"/>
              </w:rPr>
            </w:pPr>
            <w:r>
              <w:rPr>
                <w:rFonts w:hint="eastAsia" w:ascii="宋体" w:hAnsi="宋体" w:eastAsia="宋体" w:cs="宋体"/>
                <w:i w:val="0"/>
                <w:color w:val="000000"/>
                <w:kern w:val="0"/>
                <w:sz w:val="21"/>
                <w:szCs w:val="21"/>
                <w:highlight w:val="none"/>
                <w:u w:val="none"/>
                <w:lang w:val="en-US" w:eastAsia="zh-CN" w:bidi="ar"/>
              </w:rPr>
              <w:t>74</w:t>
            </w:r>
          </w:p>
        </w:tc>
        <w:tc>
          <w:tcPr>
            <w:tcW w:w="851" w:type="dxa"/>
            <w:tcBorders>
              <w:top w:val="single" w:color="000000" w:sz="4" w:space="0"/>
            </w:tcBorders>
            <w:noWrap w:val="0"/>
            <w:vAlign w:val="center"/>
          </w:tcPr>
          <w:p>
            <w:pPr>
              <w:widowControl/>
              <w:snapToGrid w:val="0"/>
              <w:jc w:val="center"/>
              <w:textAlignment w:val="center"/>
              <w:rPr>
                <w:rFonts w:hint="default" w:ascii="宋体" w:hAnsi="宋体"/>
                <w:bCs/>
                <w:color w:val="000000"/>
                <w:kern w:val="44"/>
                <w:szCs w:val="21"/>
                <w:highlight w:val="none"/>
                <w:lang w:val="en-US"/>
              </w:rPr>
            </w:pPr>
            <w:r>
              <w:rPr>
                <w:rFonts w:hint="eastAsia" w:ascii="宋体" w:hAnsi="宋体"/>
                <w:bCs/>
                <w:color w:val="000000"/>
                <w:kern w:val="44"/>
                <w:szCs w:val="21"/>
                <w:highlight w:val="none"/>
                <w:lang w:val="en-US" w:eastAsia="zh-CN"/>
              </w:rPr>
              <w:t>15</w:t>
            </w:r>
          </w:p>
        </w:tc>
        <w:tc>
          <w:tcPr>
            <w:tcW w:w="1104" w:type="dxa"/>
            <w:tcBorders>
              <w:top w:val="single" w:color="000000" w:sz="4" w:space="0"/>
            </w:tcBorders>
            <w:noWrap w:val="0"/>
            <w:vAlign w:val="center"/>
          </w:tcPr>
          <w:p>
            <w:pPr>
              <w:widowControl/>
              <w:snapToGrid w:val="0"/>
              <w:jc w:val="center"/>
              <w:textAlignment w:val="center"/>
              <w:rPr>
                <w:rFonts w:hint="default" w:ascii="宋体" w:hAnsi="宋体"/>
                <w:bCs/>
                <w:color w:val="000000"/>
                <w:kern w:val="44"/>
                <w:szCs w:val="21"/>
                <w:highlight w:val="none"/>
                <w:lang w:val="en-US"/>
              </w:rPr>
            </w:pPr>
            <w:r>
              <w:rPr>
                <w:rFonts w:hint="eastAsia" w:ascii="宋体" w:hAnsi="宋体"/>
                <w:bCs/>
                <w:color w:val="000000"/>
                <w:kern w:val="44"/>
                <w:szCs w:val="21"/>
                <w:highlight w:val="none"/>
                <w:lang w:val="en-US" w:eastAsia="zh-CN"/>
              </w:rPr>
              <w:t>1110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1" w:hRule="exact"/>
          <w:jc w:val="center"/>
        </w:trPr>
        <w:tc>
          <w:tcPr>
            <w:tcW w:w="710" w:type="dxa"/>
            <w:noWrap w:val="0"/>
            <w:vAlign w:val="center"/>
          </w:tcPr>
          <w:p>
            <w:pPr>
              <w:snapToGrid w:val="0"/>
              <w:jc w:val="center"/>
              <w:rPr>
                <w:rFonts w:hint="eastAsia" w:ascii="宋体" w:hAnsi="宋体"/>
                <w:bCs/>
                <w:color w:val="000000"/>
                <w:kern w:val="44"/>
                <w:sz w:val="21"/>
                <w:szCs w:val="21"/>
                <w:highlight w:val="none"/>
                <w:lang w:val="en-US" w:eastAsia="zh-CN" w:bidi="ar-SA"/>
              </w:rPr>
            </w:pPr>
            <w:r>
              <w:rPr>
                <w:rFonts w:hint="eastAsia" w:ascii="宋体" w:hAnsi="宋体"/>
                <w:bCs/>
                <w:color w:val="000000"/>
                <w:kern w:val="44"/>
                <w:sz w:val="21"/>
                <w:szCs w:val="21"/>
                <w:highlight w:val="none"/>
                <w:lang w:val="en-US" w:eastAsia="zh-CN"/>
              </w:rPr>
              <w:t>03</w:t>
            </w:r>
          </w:p>
        </w:tc>
        <w:tc>
          <w:tcPr>
            <w:tcW w:w="1115" w:type="dxa"/>
            <w:noWrap w:val="0"/>
            <w:vAlign w:val="center"/>
          </w:tcPr>
          <w:p>
            <w:pPr>
              <w:keepNext w:val="0"/>
              <w:keepLines w:val="0"/>
              <w:widowControl/>
              <w:suppressLineNumbers w:val="0"/>
              <w:jc w:val="center"/>
              <w:textAlignment w:val="center"/>
              <w:rPr>
                <w:rFonts w:hint="eastAsia" w:ascii="宋体" w:hAnsi="宋体"/>
                <w:bCs/>
                <w:color w:val="auto"/>
                <w:kern w:val="44"/>
                <w:sz w:val="21"/>
                <w:szCs w:val="21"/>
                <w:highlight w:val="none"/>
                <w:lang w:val="en-US" w:eastAsia="zh-CN" w:bidi="ar-SA"/>
              </w:rPr>
            </w:pPr>
            <w:r>
              <w:rPr>
                <w:rFonts w:hint="eastAsia" w:ascii="宋体" w:hAnsi="宋体"/>
                <w:bCs/>
                <w:color w:val="auto"/>
                <w:kern w:val="44"/>
                <w:szCs w:val="21"/>
                <w:highlight w:val="none"/>
                <w:lang w:val="en-US" w:eastAsia="zh-CN"/>
              </w:rPr>
              <w:t>抛雪机</w:t>
            </w:r>
          </w:p>
        </w:tc>
        <w:tc>
          <w:tcPr>
            <w:tcW w:w="1909" w:type="dxa"/>
            <w:noWrap w:val="0"/>
            <w:vAlign w:val="center"/>
          </w:tcPr>
          <w:p>
            <w:pPr>
              <w:widowControl/>
              <w:snapToGrid w:val="0"/>
              <w:jc w:val="left"/>
              <w:rPr>
                <w:rFonts w:hint="eastAsia" w:ascii="宋体" w:hAnsi="宋体"/>
                <w:bCs/>
                <w:color w:val="auto"/>
                <w:kern w:val="44"/>
                <w:sz w:val="21"/>
                <w:szCs w:val="21"/>
                <w:highlight w:val="none"/>
                <w:lang w:val="en-US" w:eastAsia="zh-CN" w:bidi="ar-SA"/>
              </w:rPr>
            </w:pPr>
            <w:r>
              <w:rPr>
                <w:rFonts w:hint="eastAsia" w:ascii="宋体" w:hAnsi="宋体"/>
                <w:color w:val="auto"/>
                <w:kern w:val="0"/>
                <w:szCs w:val="21"/>
                <w:highlight w:val="none"/>
                <w:lang w:val="en-US" w:eastAsia="zh-CN"/>
              </w:rPr>
              <w:t>高速公路积雪抛出路外或装车</w:t>
            </w:r>
          </w:p>
        </w:tc>
        <w:tc>
          <w:tcPr>
            <w:tcW w:w="3864" w:type="dxa"/>
            <w:noWrap w:val="0"/>
            <w:vAlign w:val="center"/>
          </w:tcPr>
          <w:p>
            <w:pPr>
              <w:keepNext w:val="0"/>
              <w:keepLines w:val="0"/>
              <w:widowControl/>
              <w:suppressLineNumbers w:val="0"/>
              <w:jc w:val="both"/>
              <w:textAlignment w:val="center"/>
              <w:rPr>
                <w:rFonts w:hint="eastAsia" w:ascii="宋体" w:hAnsi="宋体"/>
                <w:bCs/>
                <w:color w:val="auto"/>
                <w:kern w:val="44"/>
                <w:sz w:val="21"/>
                <w:szCs w:val="21"/>
                <w:highlight w:val="none"/>
                <w:lang w:val="en-US" w:eastAsia="zh-CN" w:bidi="ar-SA"/>
              </w:rPr>
            </w:pPr>
            <w:r>
              <w:rPr>
                <w:rFonts w:hint="eastAsia" w:ascii="宋体" w:hAnsi="宋体"/>
                <w:bCs/>
                <w:color w:val="auto"/>
                <w:kern w:val="44"/>
                <w:szCs w:val="21"/>
                <w:highlight w:val="none"/>
                <w:lang w:val="en-US" w:eastAsia="zh-CN"/>
              </w:rPr>
              <w:t>除雪宽度≥2600mm，除雪高度≥1250mm，抛雪能力≥600m³/h，侧抛距离≥35m，抛雪筒旋转角≥210°；抛雪机自带动力，可以与50型及以上装载机配合使用，装载机为50及以上，功率≥162kW。</w:t>
            </w:r>
          </w:p>
        </w:tc>
        <w:tc>
          <w:tcPr>
            <w:tcW w:w="765" w:type="dxa"/>
            <w:noWrap w:val="0"/>
            <w:vAlign w:val="center"/>
          </w:tcPr>
          <w:p>
            <w:pPr>
              <w:keepNext w:val="0"/>
              <w:keepLines w:val="0"/>
              <w:widowControl/>
              <w:suppressLineNumbers w:val="0"/>
              <w:jc w:val="center"/>
              <w:textAlignment w:val="center"/>
              <w:rPr>
                <w:rFonts w:hint="eastAsia" w:ascii="宋体" w:hAnsi="宋体"/>
                <w:bCs/>
                <w:color w:val="auto"/>
                <w:kern w:val="44"/>
                <w:sz w:val="21"/>
                <w:szCs w:val="21"/>
                <w:highlight w:val="none"/>
                <w:lang w:val="en-US" w:eastAsia="zh-CN" w:bidi="ar-SA"/>
              </w:rPr>
            </w:pPr>
            <w:r>
              <w:rPr>
                <w:rFonts w:hint="eastAsia" w:ascii="宋体" w:hAnsi="宋体"/>
                <w:bCs/>
                <w:color w:val="auto"/>
                <w:kern w:val="44"/>
                <w:szCs w:val="21"/>
                <w:highlight w:val="none"/>
                <w:lang w:val="en-US" w:eastAsia="zh-CN"/>
              </w:rPr>
              <w:t>1</w:t>
            </w:r>
          </w:p>
        </w:tc>
        <w:tc>
          <w:tcPr>
            <w:tcW w:w="851" w:type="dxa"/>
            <w:noWrap w:val="0"/>
            <w:vAlign w:val="center"/>
          </w:tcPr>
          <w:p>
            <w:pPr>
              <w:keepNext w:val="0"/>
              <w:keepLines w:val="0"/>
              <w:widowControl/>
              <w:suppressLineNumbers w:val="0"/>
              <w:jc w:val="center"/>
              <w:textAlignment w:val="center"/>
              <w:rPr>
                <w:rFonts w:hint="eastAsia" w:ascii="宋体" w:hAnsi="宋体"/>
                <w:bCs/>
                <w:color w:val="auto"/>
                <w:kern w:val="44"/>
                <w:sz w:val="21"/>
                <w:szCs w:val="21"/>
                <w:highlight w:val="none"/>
                <w:lang w:val="en-US" w:eastAsia="zh-CN" w:bidi="ar-SA"/>
              </w:rPr>
            </w:pPr>
            <w:r>
              <w:rPr>
                <w:rFonts w:hint="eastAsia" w:ascii="宋体" w:hAnsi="宋体"/>
                <w:bCs/>
                <w:color w:val="auto"/>
                <w:kern w:val="44"/>
                <w:szCs w:val="21"/>
                <w:highlight w:val="none"/>
                <w:lang w:val="en-US" w:eastAsia="zh-CN"/>
              </w:rPr>
              <w:t>100</w:t>
            </w:r>
          </w:p>
        </w:tc>
        <w:tc>
          <w:tcPr>
            <w:tcW w:w="1104" w:type="dxa"/>
            <w:noWrap w:val="0"/>
            <w:vAlign w:val="center"/>
          </w:tcPr>
          <w:p>
            <w:pPr>
              <w:keepNext w:val="0"/>
              <w:keepLines w:val="0"/>
              <w:widowControl/>
              <w:suppressLineNumbers w:val="0"/>
              <w:jc w:val="center"/>
              <w:textAlignment w:val="center"/>
              <w:rPr>
                <w:rFonts w:hint="eastAsia" w:ascii="宋体" w:hAnsi="宋体"/>
                <w:bCs/>
                <w:color w:val="auto"/>
                <w:kern w:val="44"/>
                <w:sz w:val="21"/>
                <w:szCs w:val="21"/>
                <w:highlight w:val="none"/>
                <w:lang w:val="en-US" w:eastAsia="zh-CN" w:bidi="ar-SA"/>
              </w:rPr>
            </w:pPr>
            <w:r>
              <w:rPr>
                <w:rFonts w:hint="eastAsia" w:ascii="宋体" w:hAnsi="宋体"/>
                <w:bCs/>
                <w:color w:val="auto"/>
                <w:kern w:val="44"/>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3" w:hRule="exact"/>
          <w:jc w:val="center"/>
        </w:trPr>
        <w:tc>
          <w:tcPr>
            <w:tcW w:w="710" w:type="dxa"/>
            <w:noWrap w:val="0"/>
            <w:vAlign w:val="center"/>
          </w:tcPr>
          <w:p>
            <w:pPr>
              <w:snapToGrid w:val="0"/>
              <w:jc w:val="center"/>
              <w:rPr>
                <w:rFonts w:hint="default" w:ascii="宋体" w:hAnsi="宋体"/>
                <w:bCs/>
                <w:color w:val="000000"/>
                <w:kern w:val="44"/>
                <w:sz w:val="21"/>
                <w:szCs w:val="21"/>
                <w:highlight w:val="none"/>
                <w:lang w:val="en-US" w:eastAsia="zh-CN"/>
              </w:rPr>
            </w:pPr>
            <w:r>
              <w:rPr>
                <w:rFonts w:hint="eastAsia" w:ascii="宋体" w:hAnsi="宋体"/>
                <w:bCs/>
                <w:color w:val="000000"/>
                <w:kern w:val="44"/>
                <w:sz w:val="21"/>
                <w:szCs w:val="21"/>
                <w:highlight w:val="none"/>
                <w:lang w:val="en-US" w:eastAsia="zh-CN"/>
              </w:rPr>
              <w:t>04</w:t>
            </w:r>
          </w:p>
        </w:tc>
        <w:tc>
          <w:tcPr>
            <w:tcW w:w="1115" w:type="dxa"/>
            <w:noWrap w:val="0"/>
            <w:vAlign w:val="center"/>
          </w:tcPr>
          <w:p>
            <w:pPr>
              <w:keepNext w:val="0"/>
              <w:keepLines w:val="0"/>
              <w:widowControl/>
              <w:suppressLineNumbers w:val="0"/>
              <w:jc w:val="center"/>
              <w:textAlignment w:val="center"/>
              <w:rPr>
                <w:rFonts w:hint="default" w:ascii="宋体" w:hAnsi="宋体"/>
                <w:bCs/>
                <w:color w:val="auto"/>
                <w:kern w:val="44"/>
                <w:sz w:val="21"/>
                <w:szCs w:val="21"/>
                <w:highlight w:val="none"/>
                <w:lang w:val="en-US" w:eastAsia="zh-CN" w:bidi="ar-SA"/>
              </w:rPr>
            </w:pPr>
            <w:r>
              <w:rPr>
                <w:rFonts w:hint="eastAsia" w:ascii="宋体" w:hAnsi="宋体"/>
                <w:bCs/>
                <w:color w:val="auto"/>
                <w:kern w:val="44"/>
                <w:szCs w:val="21"/>
                <w:highlight w:val="none"/>
                <w:lang w:val="en-US" w:eastAsia="zh-CN"/>
              </w:rPr>
              <w:t>大型专用除雪车（配置前铲、撒盐机及高性能滚刷）</w:t>
            </w:r>
          </w:p>
        </w:tc>
        <w:tc>
          <w:tcPr>
            <w:tcW w:w="1909" w:type="dxa"/>
            <w:noWrap w:val="0"/>
            <w:vAlign w:val="center"/>
          </w:tcPr>
          <w:p>
            <w:pPr>
              <w:snapToGrid w:val="0"/>
              <w:jc w:val="left"/>
              <w:rPr>
                <w:rFonts w:hint="default" w:ascii="宋体" w:hAnsi="宋体"/>
                <w:bCs/>
                <w:color w:val="auto"/>
                <w:kern w:val="44"/>
                <w:sz w:val="21"/>
                <w:szCs w:val="21"/>
                <w:highlight w:val="none"/>
                <w:lang w:val="en-US" w:eastAsia="zh-CN" w:bidi="ar-SA"/>
              </w:rPr>
            </w:pPr>
            <w:r>
              <w:rPr>
                <w:rFonts w:hint="eastAsia" w:ascii="宋体" w:hAnsi="宋体"/>
                <w:color w:val="auto"/>
                <w:kern w:val="0"/>
                <w:szCs w:val="21"/>
                <w:highlight w:val="none"/>
                <w:lang w:val="en-US" w:eastAsia="zh-CN"/>
              </w:rPr>
              <w:t>冬季除雪、融雪剂和防滑料撒布</w:t>
            </w:r>
          </w:p>
        </w:tc>
        <w:tc>
          <w:tcPr>
            <w:tcW w:w="3864" w:type="dxa"/>
            <w:noWrap w:val="0"/>
            <w:vAlign w:val="center"/>
          </w:tcPr>
          <w:p>
            <w:pPr>
              <w:keepNext w:val="0"/>
              <w:keepLines w:val="0"/>
              <w:widowControl/>
              <w:suppressLineNumbers w:val="0"/>
              <w:jc w:val="both"/>
              <w:textAlignment w:val="center"/>
              <w:rPr>
                <w:rFonts w:hint="default" w:ascii="宋体" w:hAnsi="宋体"/>
                <w:bCs/>
                <w:color w:val="auto"/>
                <w:kern w:val="44"/>
                <w:sz w:val="21"/>
                <w:szCs w:val="21"/>
                <w:highlight w:val="none"/>
                <w:lang w:val="en-US" w:eastAsia="zh-CN" w:bidi="ar-SA"/>
              </w:rPr>
            </w:pPr>
            <w:r>
              <w:rPr>
                <w:rFonts w:hint="eastAsia" w:ascii="宋体" w:hAnsi="宋体"/>
                <w:bCs/>
                <w:color w:val="auto"/>
                <w:kern w:val="44"/>
                <w:szCs w:val="21"/>
                <w:highlight w:val="none"/>
                <w:lang w:val="en-US" w:eastAsia="zh-CN"/>
              </w:rPr>
              <w:t>多功能快速除雪车具有推雪、扫雪， 融雪剂撒布功能，排放标准：</w:t>
            </w:r>
            <w:r>
              <w:rPr>
                <w:rFonts w:hint="default" w:ascii="宋体" w:hAnsi="宋体"/>
                <w:bCs/>
                <w:color w:val="auto"/>
                <w:kern w:val="44"/>
                <w:szCs w:val="21"/>
                <w:highlight w:val="none"/>
                <w:lang w:val="en-US" w:eastAsia="zh-CN"/>
              </w:rPr>
              <w:t>符合上牌要求</w:t>
            </w:r>
            <w:r>
              <w:rPr>
                <w:rFonts w:hint="eastAsia" w:ascii="宋体" w:hAnsi="宋体"/>
                <w:bCs/>
                <w:color w:val="auto"/>
                <w:kern w:val="44"/>
                <w:szCs w:val="21"/>
                <w:highlight w:val="none"/>
                <w:lang w:val="en-US" w:eastAsia="zh-CN"/>
              </w:rPr>
              <w:t>，</w:t>
            </w:r>
            <w:r>
              <w:rPr>
                <w:rFonts w:hint="eastAsia" w:ascii="宋体" w:hAnsi="宋体"/>
                <w:bCs/>
                <w:color w:val="000000"/>
                <w:kern w:val="44"/>
                <w:szCs w:val="21"/>
                <w:highlight w:val="none"/>
              </w:rPr>
              <w:t>设备已列入国家工业和信息化部公布的《道路机动车辆生产企业及产品公告》</w:t>
            </w:r>
            <w:r>
              <w:rPr>
                <w:rFonts w:hint="eastAsia" w:ascii="宋体" w:hAnsi="宋体"/>
                <w:bCs/>
                <w:color w:val="auto"/>
                <w:kern w:val="44"/>
                <w:szCs w:val="21"/>
                <w:highlight w:val="none"/>
                <w:lang w:val="en-US" w:eastAsia="zh-CN"/>
              </w:rPr>
              <w:t>。推雪作业时，作业速度≥60km/h；</w:t>
            </w:r>
            <w:r>
              <w:rPr>
                <w:rFonts w:hint="default" w:ascii="宋体" w:hAnsi="宋体"/>
                <w:bCs/>
                <w:color w:val="auto"/>
                <w:kern w:val="44"/>
                <w:szCs w:val="21"/>
                <w:highlight w:val="none"/>
                <w:lang w:val="en-US" w:eastAsia="zh-CN"/>
              </w:rPr>
              <w:t>底盘车</w:t>
            </w:r>
            <w:r>
              <w:rPr>
                <w:rFonts w:hint="eastAsia" w:ascii="宋体" w:hAnsi="宋体"/>
                <w:bCs/>
                <w:color w:val="auto"/>
                <w:kern w:val="44"/>
                <w:szCs w:val="21"/>
                <w:highlight w:val="none"/>
                <w:lang w:val="en-US" w:eastAsia="zh-CN"/>
              </w:rPr>
              <w:t>发动机功率≥280kW，柴油发动机；前置除雪铲</w:t>
            </w:r>
            <w:r>
              <w:rPr>
                <w:rFonts w:hint="default" w:ascii="宋体" w:hAnsi="宋体"/>
                <w:bCs/>
                <w:color w:val="auto"/>
                <w:kern w:val="44"/>
                <w:szCs w:val="21"/>
                <w:highlight w:val="none"/>
                <w:lang w:val="en-US" w:eastAsia="zh-CN"/>
              </w:rPr>
              <w:t>宽</w:t>
            </w:r>
            <w:r>
              <w:rPr>
                <w:rFonts w:hint="eastAsia" w:ascii="宋体" w:hAnsi="宋体"/>
                <w:bCs/>
                <w:color w:val="auto"/>
                <w:kern w:val="44"/>
                <w:szCs w:val="21"/>
                <w:highlight w:val="none"/>
                <w:lang w:val="en-US" w:eastAsia="zh-CN"/>
              </w:rPr>
              <w:t>≥3600mm，撒盐机容量≥12m³，前置滚刷</w:t>
            </w:r>
            <w:r>
              <w:rPr>
                <w:rFonts w:hint="default" w:ascii="宋体" w:hAnsi="宋体"/>
                <w:bCs/>
                <w:color w:val="auto"/>
                <w:kern w:val="44"/>
                <w:szCs w:val="21"/>
                <w:highlight w:val="none"/>
                <w:lang w:val="en-US" w:eastAsia="zh-CN"/>
              </w:rPr>
              <w:t>宽</w:t>
            </w:r>
            <w:r>
              <w:rPr>
                <w:rFonts w:hint="eastAsia" w:ascii="宋体" w:hAnsi="宋体"/>
                <w:bCs/>
                <w:color w:val="auto"/>
                <w:kern w:val="44"/>
                <w:szCs w:val="21"/>
                <w:highlight w:val="none"/>
                <w:lang w:val="en-US" w:eastAsia="zh-CN"/>
              </w:rPr>
              <w:t>≥3600mm；滚刷液压系统采用双侧内置马达驱动、最大偏转角度30°，滚刷最大工作转速≥400rpm，滚刷作业速度≥35km/h</w:t>
            </w:r>
            <w:r>
              <w:rPr>
                <w:rFonts w:hint="default" w:ascii="宋体" w:hAnsi="宋体"/>
                <w:bCs/>
                <w:color w:val="auto"/>
                <w:kern w:val="44"/>
                <w:szCs w:val="21"/>
                <w:highlight w:val="none"/>
                <w:lang w:val="en-US" w:eastAsia="zh-CN"/>
              </w:rPr>
              <w:t>，前置雪铲和滚刷可方便互换。</w:t>
            </w:r>
          </w:p>
        </w:tc>
        <w:tc>
          <w:tcPr>
            <w:tcW w:w="765" w:type="dxa"/>
            <w:noWrap w:val="0"/>
            <w:vAlign w:val="center"/>
          </w:tcPr>
          <w:p>
            <w:pPr>
              <w:keepNext w:val="0"/>
              <w:keepLines w:val="0"/>
              <w:widowControl/>
              <w:suppressLineNumbers w:val="0"/>
              <w:jc w:val="center"/>
              <w:textAlignment w:val="center"/>
              <w:rPr>
                <w:rFonts w:hint="default" w:ascii="宋体" w:hAnsi="宋体"/>
                <w:bCs/>
                <w:color w:val="auto"/>
                <w:kern w:val="44"/>
                <w:szCs w:val="21"/>
                <w:highlight w:val="none"/>
                <w:lang w:val="en-US" w:eastAsia="zh-CN"/>
              </w:rPr>
            </w:pPr>
            <w:r>
              <w:rPr>
                <w:rFonts w:hint="eastAsia" w:ascii="宋体" w:hAnsi="宋体"/>
                <w:bCs/>
                <w:color w:val="auto"/>
                <w:kern w:val="44"/>
                <w:szCs w:val="21"/>
                <w:highlight w:val="none"/>
                <w:lang w:val="en-US" w:eastAsia="zh-CN"/>
              </w:rPr>
              <w:t>6</w:t>
            </w:r>
          </w:p>
        </w:tc>
        <w:tc>
          <w:tcPr>
            <w:tcW w:w="851" w:type="dxa"/>
            <w:noWrap w:val="0"/>
            <w:vAlign w:val="center"/>
          </w:tcPr>
          <w:p>
            <w:pPr>
              <w:keepNext w:val="0"/>
              <w:keepLines w:val="0"/>
              <w:widowControl/>
              <w:suppressLineNumbers w:val="0"/>
              <w:jc w:val="center"/>
              <w:textAlignment w:val="center"/>
              <w:rPr>
                <w:rFonts w:hint="default" w:ascii="宋体" w:hAnsi="宋体"/>
                <w:bCs/>
                <w:color w:val="auto"/>
                <w:kern w:val="44"/>
                <w:szCs w:val="21"/>
                <w:highlight w:val="none"/>
                <w:lang w:val="en-US" w:eastAsia="zh-CN"/>
              </w:rPr>
            </w:pPr>
            <w:r>
              <w:rPr>
                <w:rFonts w:hint="eastAsia" w:ascii="宋体" w:hAnsi="宋体"/>
                <w:bCs/>
                <w:color w:val="auto"/>
                <w:kern w:val="44"/>
                <w:szCs w:val="21"/>
                <w:highlight w:val="none"/>
                <w:lang w:val="en-US" w:eastAsia="zh-CN"/>
              </w:rPr>
              <w:t>98.8</w:t>
            </w:r>
          </w:p>
        </w:tc>
        <w:tc>
          <w:tcPr>
            <w:tcW w:w="1104" w:type="dxa"/>
            <w:noWrap w:val="0"/>
            <w:vAlign w:val="center"/>
          </w:tcPr>
          <w:p>
            <w:pPr>
              <w:keepNext w:val="0"/>
              <w:keepLines w:val="0"/>
              <w:widowControl/>
              <w:suppressLineNumbers w:val="0"/>
              <w:jc w:val="center"/>
              <w:textAlignment w:val="center"/>
              <w:rPr>
                <w:rFonts w:hint="default" w:ascii="宋体" w:hAnsi="宋体"/>
                <w:bCs/>
                <w:color w:val="auto"/>
                <w:kern w:val="44"/>
                <w:szCs w:val="21"/>
                <w:highlight w:val="none"/>
                <w:lang w:val="en-US" w:eastAsia="zh-CN"/>
              </w:rPr>
            </w:pPr>
            <w:r>
              <w:rPr>
                <w:rFonts w:hint="eastAsia" w:ascii="宋体" w:hAnsi="宋体"/>
                <w:bCs/>
                <w:color w:val="auto"/>
                <w:kern w:val="44"/>
                <w:szCs w:val="21"/>
                <w:highlight w:val="none"/>
                <w:lang w:val="en-US" w:eastAsia="zh-CN"/>
              </w:rPr>
              <w:t>592.8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0" w:hRule="exact"/>
          <w:jc w:val="center"/>
        </w:trPr>
        <w:tc>
          <w:tcPr>
            <w:tcW w:w="710" w:type="dxa"/>
            <w:noWrap w:val="0"/>
            <w:vAlign w:val="center"/>
          </w:tcPr>
          <w:p>
            <w:pPr>
              <w:snapToGrid w:val="0"/>
              <w:jc w:val="center"/>
              <w:rPr>
                <w:rFonts w:hint="default" w:ascii="宋体" w:hAnsi="宋体"/>
                <w:bCs/>
                <w:color w:val="000000"/>
                <w:kern w:val="44"/>
                <w:sz w:val="21"/>
                <w:szCs w:val="21"/>
                <w:highlight w:val="none"/>
                <w:lang w:val="en-US" w:eastAsia="zh-CN"/>
              </w:rPr>
            </w:pPr>
            <w:r>
              <w:rPr>
                <w:rFonts w:hint="eastAsia" w:ascii="宋体" w:hAnsi="宋体"/>
                <w:bCs/>
                <w:color w:val="000000"/>
                <w:kern w:val="44"/>
                <w:sz w:val="21"/>
                <w:szCs w:val="21"/>
                <w:highlight w:val="none"/>
                <w:lang w:val="en-US" w:eastAsia="zh-CN"/>
              </w:rPr>
              <w:t>05</w:t>
            </w:r>
          </w:p>
        </w:tc>
        <w:tc>
          <w:tcPr>
            <w:tcW w:w="1115" w:type="dxa"/>
            <w:noWrap w:val="0"/>
            <w:vAlign w:val="center"/>
          </w:tcPr>
          <w:p>
            <w:pPr>
              <w:keepNext w:val="0"/>
              <w:keepLines w:val="0"/>
              <w:widowControl/>
              <w:suppressLineNumbers w:val="0"/>
              <w:jc w:val="left"/>
              <w:textAlignment w:val="center"/>
              <w:rPr>
                <w:rFonts w:hint="eastAsia" w:ascii="宋体" w:hAnsi="宋体"/>
                <w:bCs/>
                <w:color w:val="auto"/>
                <w:kern w:val="44"/>
                <w:sz w:val="21"/>
                <w:szCs w:val="21"/>
                <w:highlight w:val="none"/>
                <w:lang w:val="en-US" w:eastAsia="zh-CN"/>
              </w:rPr>
            </w:pPr>
            <w:r>
              <w:rPr>
                <w:rFonts w:hint="eastAsia" w:ascii="宋体" w:hAnsi="宋体"/>
                <w:bCs/>
                <w:color w:val="auto"/>
                <w:kern w:val="44"/>
                <w:sz w:val="21"/>
                <w:szCs w:val="21"/>
                <w:highlight w:val="none"/>
                <w:lang w:val="en-US" w:eastAsia="zh-CN"/>
              </w:rPr>
              <w:t>全吸式清扫车</w:t>
            </w:r>
          </w:p>
        </w:tc>
        <w:tc>
          <w:tcPr>
            <w:tcW w:w="1909" w:type="dxa"/>
            <w:noWrap w:val="0"/>
            <w:vAlign w:val="center"/>
          </w:tcPr>
          <w:p>
            <w:pPr>
              <w:snapToGrid w:val="0"/>
              <w:jc w:val="left"/>
              <w:rPr>
                <w:rFonts w:hint="eastAsia" w:ascii="宋体" w:hAnsi="宋体" w:eastAsia="宋体"/>
                <w:color w:val="auto"/>
                <w:kern w:val="0"/>
                <w:sz w:val="21"/>
                <w:szCs w:val="21"/>
                <w:highlight w:val="none"/>
                <w:lang w:val="en-US" w:eastAsia="zh-CN"/>
              </w:rPr>
            </w:pPr>
            <w:r>
              <w:rPr>
                <w:rFonts w:hint="eastAsia" w:ascii="宋体" w:hAnsi="宋体" w:cs="仿宋_GB2312"/>
                <w:color w:val="000000"/>
                <w:kern w:val="0"/>
                <w:sz w:val="21"/>
                <w:szCs w:val="21"/>
                <w:highlight w:val="none"/>
                <w:lang w:bidi="ar"/>
              </w:rPr>
              <w:t>高速公路清</w:t>
            </w:r>
            <w:r>
              <w:rPr>
                <w:rFonts w:hint="eastAsia" w:ascii="宋体" w:hAnsi="宋体" w:cs="仿宋_GB2312"/>
                <w:color w:val="000000"/>
                <w:kern w:val="0"/>
                <w:sz w:val="21"/>
                <w:szCs w:val="21"/>
                <w:highlight w:val="none"/>
                <w:lang w:eastAsia="zh-CN" w:bidi="ar"/>
              </w:rPr>
              <w:t>扫、吸尘、保洁</w:t>
            </w:r>
          </w:p>
        </w:tc>
        <w:tc>
          <w:tcPr>
            <w:tcW w:w="3864" w:type="dxa"/>
            <w:noWrap w:val="0"/>
            <w:vAlign w:val="center"/>
          </w:tcPr>
          <w:p>
            <w:pPr>
              <w:keepNext w:val="0"/>
              <w:keepLines w:val="0"/>
              <w:widowControl/>
              <w:suppressLineNumbers w:val="0"/>
              <w:jc w:val="both"/>
              <w:textAlignment w:val="center"/>
              <w:rPr>
                <w:rFonts w:hint="eastAsia" w:ascii="宋体" w:hAnsi="宋体" w:eastAsia="宋体"/>
                <w:bCs/>
                <w:color w:val="auto"/>
                <w:kern w:val="44"/>
                <w:szCs w:val="21"/>
                <w:highlight w:val="none"/>
                <w:lang w:val="en-US" w:eastAsia="zh-CN"/>
              </w:rPr>
            </w:pPr>
            <w:r>
              <w:rPr>
                <w:rFonts w:hint="eastAsia" w:ascii="宋体" w:hAnsi="宋体"/>
                <w:bCs/>
                <w:color w:val="auto"/>
                <w:kern w:val="44"/>
                <w:szCs w:val="21"/>
                <w:highlight w:val="none"/>
                <w:lang w:val="en-US" w:eastAsia="zh-CN"/>
              </w:rPr>
              <w:t>设备已列入国家工业和信息化部公布的《道路机动车辆生产企业及产品公告》。最大总质量≥18000kg；吸尘宽度≥3.4m,吸尘速度3.5～25km/h,垃圾箱有效容积≥4m3。</w:t>
            </w:r>
          </w:p>
        </w:tc>
        <w:tc>
          <w:tcPr>
            <w:tcW w:w="765" w:type="dxa"/>
            <w:noWrap w:val="0"/>
            <w:vAlign w:val="center"/>
          </w:tcPr>
          <w:p>
            <w:pPr>
              <w:keepNext w:val="0"/>
              <w:keepLines w:val="0"/>
              <w:widowControl/>
              <w:suppressLineNumbers w:val="0"/>
              <w:jc w:val="center"/>
              <w:textAlignment w:val="center"/>
              <w:rPr>
                <w:rFonts w:hint="default" w:ascii="宋体" w:hAnsi="宋体"/>
                <w:bCs/>
                <w:color w:val="auto"/>
                <w:kern w:val="44"/>
                <w:szCs w:val="21"/>
                <w:highlight w:val="none"/>
                <w:lang w:val="en-US" w:eastAsia="zh-CN"/>
              </w:rPr>
            </w:pPr>
            <w:r>
              <w:rPr>
                <w:rFonts w:hint="eastAsia" w:ascii="宋体" w:hAnsi="宋体"/>
                <w:bCs/>
                <w:color w:val="auto"/>
                <w:kern w:val="44"/>
                <w:szCs w:val="21"/>
                <w:highlight w:val="none"/>
                <w:lang w:val="en-US" w:eastAsia="zh-CN"/>
              </w:rPr>
              <w:t>1</w:t>
            </w:r>
          </w:p>
        </w:tc>
        <w:tc>
          <w:tcPr>
            <w:tcW w:w="851" w:type="dxa"/>
            <w:noWrap w:val="0"/>
            <w:vAlign w:val="center"/>
          </w:tcPr>
          <w:p>
            <w:pPr>
              <w:keepNext w:val="0"/>
              <w:keepLines w:val="0"/>
              <w:widowControl/>
              <w:suppressLineNumbers w:val="0"/>
              <w:jc w:val="center"/>
              <w:textAlignment w:val="center"/>
              <w:rPr>
                <w:rFonts w:hint="default" w:ascii="宋体" w:hAnsi="宋体"/>
                <w:bCs/>
                <w:color w:val="auto"/>
                <w:kern w:val="44"/>
                <w:szCs w:val="21"/>
                <w:highlight w:val="none"/>
                <w:lang w:val="en-US" w:eastAsia="zh-CN"/>
              </w:rPr>
            </w:pPr>
            <w:r>
              <w:rPr>
                <w:rFonts w:hint="eastAsia" w:ascii="宋体" w:hAnsi="宋体"/>
                <w:bCs/>
                <w:color w:val="auto"/>
                <w:kern w:val="44"/>
                <w:szCs w:val="21"/>
                <w:highlight w:val="none"/>
                <w:lang w:val="en-US" w:eastAsia="zh-CN"/>
              </w:rPr>
              <w:t>80</w:t>
            </w:r>
          </w:p>
        </w:tc>
        <w:tc>
          <w:tcPr>
            <w:tcW w:w="1104" w:type="dxa"/>
            <w:noWrap w:val="0"/>
            <w:vAlign w:val="center"/>
          </w:tcPr>
          <w:p>
            <w:pPr>
              <w:keepNext w:val="0"/>
              <w:keepLines w:val="0"/>
              <w:widowControl/>
              <w:suppressLineNumbers w:val="0"/>
              <w:jc w:val="center"/>
              <w:textAlignment w:val="center"/>
              <w:rPr>
                <w:rFonts w:hint="default" w:ascii="宋体" w:hAnsi="宋体"/>
                <w:bCs/>
                <w:color w:val="auto"/>
                <w:kern w:val="44"/>
                <w:szCs w:val="21"/>
                <w:highlight w:val="none"/>
                <w:lang w:val="en-US" w:eastAsia="zh-CN"/>
              </w:rPr>
            </w:pPr>
            <w:r>
              <w:rPr>
                <w:rFonts w:hint="eastAsia" w:ascii="宋体" w:hAnsi="宋体"/>
                <w:bCs/>
                <w:color w:val="auto"/>
                <w:kern w:val="44"/>
                <w:szCs w:val="21"/>
                <w:highlight w:val="none"/>
                <w:lang w:val="en-US" w:eastAsia="zh-CN"/>
              </w:rPr>
              <w:t>80</w:t>
            </w:r>
          </w:p>
        </w:tc>
      </w:tr>
    </w:tbl>
    <w:p>
      <w:pPr>
        <w:pStyle w:val="5"/>
        <w:keepNext/>
        <w:keepLines/>
        <w:pageBreakBefore w:val="0"/>
        <w:widowControl w:val="0"/>
        <w:kinsoku/>
        <w:wordWrap/>
        <w:overflowPunct/>
        <w:topLinePunct w:val="0"/>
        <w:autoSpaceDE/>
        <w:autoSpaceDN/>
        <w:bidi w:val="0"/>
        <w:adjustRightInd/>
        <w:snapToGrid/>
        <w:spacing w:before="0" w:beforeLines="0" w:after="0" w:line="360" w:lineRule="auto"/>
        <w:textAlignment w:val="auto"/>
        <w:rPr>
          <w:rFonts w:hint="eastAsia" w:ascii="宋体" w:hAnsi="宋体" w:eastAsia="宋体" w:cs="宋体"/>
          <w:b w:val="0"/>
          <w:bCs w:val="0"/>
          <w:color w:val="000000"/>
          <w:kern w:val="2"/>
          <w:sz w:val="21"/>
          <w:szCs w:val="21"/>
          <w:highlight w:val="none"/>
          <w:lang w:val="en-US" w:eastAsia="zh-CN" w:bidi="ar-SA"/>
        </w:rPr>
      </w:pPr>
      <w:bookmarkStart w:id="3" w:name="_Toc359047600"/>
      <w:bookmarkStart w:id="4" w:name="_Toc359047680"/>
      <w:bookmarkStart w:id="5" w:name="_Toc359047736"/>
      <w:r>
        <w:rPr>
          <w:rFonts w:hint="eastAsia" w:ascii="宋体" w:hAnsi="宋体" w:eastAsia="宋体" w:cs="宋体"/>
          <w:b w:val="0"/>
          <w:bCs w:val="0"/>
          <w:color w:val="000000"/>
          <w:kern w:val="2"/>
          <w:sz w:val="21"/>
          <w:szCs w:val="21"/>
          <w:highlight w:val="none"/>
          <w:lang w:val="en-US" w:eastAsia="zh-CN" w:bidi="ar-SA"/>
        </w:rPr>
        <w:t>2.2交货期：中标通知书发出后60天内供货完毕，其中，01合同包在2021年2月25日前供货量不少于40台，02合同包在2021年2月25日前供货量不少于25台。</w:t>
      </w:r>
    </w:p>
    <w:p>
      <w:pPr>
        <w:pStyle w:val="5"/>
        <w:keepNext/>
        <w:keepLines/>
        <w:pageBreakBefore w:val="0"/>
        <w:widowControl w:val="0"/>
        <w:kinsoku/>
        <w:wordWrap/>
        <w:overflowPunct/>
        <w:topLinePunct w:val="0"/>
        <w:autoSpaceDE/>
        <w:autoSpaceDN/>
        <w:bidi w:val="0"/>
        <w:adjustRightInd/>
        <w:snapToGrid/>
        <w:spacing w:before="0" w:beforeLines="0" w:after="0" w:line="360" w:lineRule="auto"/>
        <w:textAlignment w:val="auto"/>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kern w:val="2"/>
          <w:sz w:val="21"/>
          <w:szCs w:val="21"/>
          <w:highlight w:val="none"/>
          <w:lang w:val="en-US" w:eastAsia="zh-CN" w:bidi="ar-SA"/>
        </w:rPr>
        <w:t>2.3交货地点：吉林省内各高速公路收费站、养护工区、服务区，具体交货地点以招标人要求为准。</w:t>
      </w:r>
    </w:p>
    <w:p>
      <w:pPr>
        <w:pStyle w:val="5"/>
        <w:keepNext/>
        <w:keepLines/>
        <w:pageBreakBefore w:val="0"/>
        <w:widowControl w:val="0"/>
        <w:kinsoku/>
        <w:wordWrap/>
        <w:overflowPunct/>
        <w:topLinePunct w:val="0"/>
        <w:autoSpaceDE/>
        <w:autoSpaceDN/>
        <w:bidi w:val="0"/>
        <w:adjustRightInd/>
        <w:snapToGrid/>
        <w:spacing w:before="0" w:beforeLines="0" w:after="0" w:line="360" w:lineRule="auto"/>
        <w:textAlignment w:val="auto"/>
        <w:rPr>
          <w:rFonts w:hint="eastAsia" w:ascii="宋体" w:hAnsi="宋体" w:cs="宋体"/>
          <w:color w:val="000000"/>
          <w:kern w:val="44"/>
          <w:sz w:val="24"/>
          <w:szCs w:val="24"/>
          <w:highlight w:val="none"/>
        </w:rPr>
      </w:pPr>
      <w:r>
        <w:rPr>
          <w:rFonts w:hint="eastAsia" w:ascii="宋体" w:hAnsi="宋体" w:cs="宋体"/>
          <w:color w:val="000000"/>
          <w:kern w:val="44"/>
          <w:sz w:val="24"/>
          <w:szCs w:val="24"/>
          <w:highlight w:val="none"/>
        </w:rPr>
        <w:t>3.投标人资格要求</w:t>
      </w:r>
      <w:bookmarkEnd w:id="3"/>
      <w:bookmarkEnd w:id="4"/>
      <w:bookmarkEnd w:id="5"/>
    </w:p>
    <w:p>
      <w:pPr>
        <w:spacing w:line="400" w:lineRule="exact"/>
        <w:ind w:firstLine="315" w:firstLineChars="150"/>
        <w:rPr>
          <w:rFonts w:hint="eastAsia" w:ascii="宋体" w:hAnsi="宋体" w:cs="宋体"/>
          <w:color w:val="000000"/>
          <w:sz w:val="21"/>
          <w:szCs w:val="21"/>
          <w:highlight w:val="none"/>
        </w:rPr>
      </w:pPr>
      <w:r>
        <w:rPr>
          <w:rFonts w:hint="eastAsia" w:ascii="宋体" w:hAnsi="宋体" w:cs="宋体"/>
          <w:color w:val="000000"/>
          <w:sz w:val="21"/>
          <w:szCs w:val="21"/>
          <w:highlight w:val="none"/>
        </w:rPr>
        <w:t>3.1 本次招标要求投标人为中华人民共和国境内具备独立法人资格的企业或事业单位，为设备的制造商或代理商</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具有与本次招标设备相应的供货能力。</w:t>
      </w:r>
      <w:bookmarkStart w:id="29" w:name="_GoBack"/>
      <w:bookmarkEnd w:id="29"/>
    </w:p>
    <w:p>
      <w:pPr>
        <w:spacing w:line="400" w:lineRule="exact"/>
        <w:ind w:firstLine="315" w:firstLineChars="150"/>
        <w:rPr>
          <w:rFonts w:hint="eastAsia" w:ascii="宋体" w:hAnsi="宋体" w:cs="宋体"/>
          <w:color w:val="000000"/>
          <w:sz w:val="21"/>
          <w:szCs w:val="21"/>
          <w:highlight w:val="none"/>
        </w:rPr>
      </w:pPr>
      <w:r>
        <w:rPr>
          <w:rFonts w:hint="eastAsia" w:ascii="宋体" w:hAnsi="宋体" w:cs="宋体"/>
          <w:color w:val="000000"/>
          <w:sz w:val="21"/>
          <w:szCs w:val="21"/>
          <w:highlight w:val="none"/>
        </w:rPr>
        <w:t>3.2 本次招标不接受联合体投标。</w:t>
      </w:r>
    </w:p>
    <w:p>
      <w:pPr>
        <w:spacing w:line="400" w:lineRule="exact"/>
        <w:ind w:firstLine="315" w:firstLineChars="150"/>
        <w:rPr>
          <w:rFonts w:hint="eastAsia" w:ascii="宋体" w:hAnsi="宋体" w:cs="宋体"/>
          <w:color w:val="000000"/>
          <w:sz w:val="21"/>
          <w:szCs w:val="21"/>
          <w:highlight w:val="none"/>
        </w:rPr>
      </w:pPr>
      <w:r>
        <w:rPr>
          <w:rFonts w:hint="eastAsia" w:ascii="宋体" w:hAnsi="宋体" w:cs="宋体"/>
          <w:color w:val="000000"/>
          <w:sz w:val="21"/>
          <w:szCs w:val="21"/>
          <w:highlight w:val="none"/>
        </w:rPr>
        <w:t>3.3 每个投标人可同时对多个合同包投标，允许中多个合同包。</w:t>
      </w:r>
    </w:p>
    <w:p>
      <w:pPr>
        <w:pStyle w:val="10"/>
        <w:spacing w:after="0" w:line="380" w:lineRule="exact"/>
        <w:ind w:left="0" w:leftChars="0" w:right="-113" w:firstLine="411" w:firstLineChars="196"/>
        <w:rPr>
          <w:rFonts w:hint="eastAsia" w:ascii="宋体" w:hAnsi="宋体" w:cs="宋体"/>
          <w:kern w:val="0"/>
          <w:sz w:val="21"/>
          <w:szCs w:val="21"/>
          <w:highlight w:val="none"/>
        </w:rPr>
      </w:pPr>
    </w:p>
    <w:p>
      <w:pPr>
        <w:rPr>
          <w:rFonts w:hint="eastAsia" w:ascii="黑体" w:eastAsia="黑体"/>
          <w:b w:val="0"/>
          <w:bCs w:val="0"/>
          <w:color w:val="000000"/>
          <w:highlight w:val="none"/>
          <w:lang w:val="en-US" w:eastAsia="zh-CN"/>
        </w:rPr>
      </w:pPr>
      <w:r>
        <w:rPr>
          <w:rFonts w:hint="eastAsia" w:ascii="黑体" w:eastAsia="黑体"/>
          <w:b w:val="0"/>
          <w:bCs w:val="0"/>
          <w:color w:val="000000"/>
          <w:highlight w:val="none"/>
          <w:lang w:val="en-US" w:eastAsia="zh-CN"/>
        </w:rPr>
        <w:br w:type="page"/>
      </w:r>
    </w:p>
    <w:p>
      <w:pPr>
        <w:pStyle w:val="5"/>
        <w:keepNext/>
        <w:keepLines/>
        <w:pageBreakBefore w:val="0"/>
        <w:widowControl w:val="0"/>
        <w:kinsoku/>
        <w:wordWrap/>
        <w:overflowPunct/>
        <w:topLinePunct w:val="0"/>
        <w:autoSpaceDE/>
        <w:autoSpaceDN/>
        <w:bidi w:val="0"/>
        <w:adjustRightInd/>
        <w:snapToGrid/>
        <w:spacing w:before="0" w:beforeLines="0" w:after="0" w:line="360" w:lineRule="auto"/>
        <w:textAlignment w:val="auto"/>
        <w:rPr>
          <w:rFonts w:hint="eastAsia" w:ascii="宋体" w:hAnsi="宋体" w:cs="宋体"/>
          <w:color w:val="000000"/>
          <w:kern w:val="44"/>
          <w:sz w:val="24"/>
          <w:szCs w:val="24"/>
          <w:highlight w:val="none"/>
        </w:rPr>
      </w:pPr>
      <w:r>
        <w:rPr>
          <w:rFonts w:hint="eastAsia" w:ascii="宋体" w:hAnsi="宋体" w:cs="宋体"/>
          <w:color w:val="000000"/>
          <w:kern w:val="44"/>
          <w:sz w:val="24"/>
          <w:szCs w:val="24"/>
          <w:highlight w:val="none"/>
          <w:lang w:val="en-US" w:eastAsia="zh-CN"/>
        </w:rPr>
        <w:t>4.</w:t>
      </w:r>
      <w:r>
        <w:rPr>
          <w:rFonts w:hint="eastAsia" w:ascii="宋体" w:hAnsi="宋体" w:cs="宋体"/>
          <w:color w:val="000000"/>
          <w:kern w:val="44"/>
          <w:sz w:val="24"/>
          <w:szCs w:val="24"/>
          <w:highlight w:val="none"/>
        </w:rPr>
        <w:t>评标办法</w:t>
      </w:r>
      <w:r>
        <w:rPr>
          <w:rFonts w:hint="eastAsia" w:ascii="宋体" w:hAnsi="宋体" w:cs="宋体"/>
          <w:color w:val="000000"/>
          <w:kern w:val="44"/>
          <w:sz w:val="24"/>
          <w:szCs w:val="24"/>
          <w:highlight w:val="none"/>
          <w:lang w:eastAsia="zh-CN"/>
        </w:rPr>
        <w:t>（</w:t>
      </w:r>
      <w:r>
        <w:rPr>
          <w:rFonts w:hint="eastAsia" w:ascii="宋体" w:hAnsi="宋体" w:cs="宋体"/>
          <w:color w:val="000000"/>
          <w:kern w:val="44"/>
          <w:sz w:val="24"/>
          <w:szCs w:val="24"/>
          <w:highlight w:val="none"/>
          <w:lang w:val="en-US" w:eastAsia="zh-CN"/>
        </w:rPr>
        <w:t>综合评估</w:t>
      </w:r>
      <w:r>
        <w:rPr>
          <w:rFonts w:hint="eastAsia" w:ascii="宋体" w:hAnsi="宋体" w:cs="宋体"/>
          <w:color w:val="000000"/>
          <w:kern w:val="44"/>
          <w:sz w:val="24"/>
          <w:szCs w:val="24"/>
          <w:highlight w:val="none"/>
        </w:rPr>
        <w:t>法</w:t>
      </w:r>
      <w:r>
        <w:rPr>
          <w:rFonts w:hint="eastAsia" w:ascii="宋体" w:hAnsi="宋体" w:cs="宋体"/>
          <w:color w:val="000000"/>
          <w:kern w:val="44"/>
          <w:sz w:val="24"/>
          <w:szCs w:val="24"/>
          <w:highlight w:val="none"/>
          <w:lang w:eastAsia="zh-CN"/>
        </w:rPr>
        <w:t>）</w:t>
      </w:r>
    </w:p>
    <w:p>
      <w:pPr>
        <w:pStyle w:val="5"/>
        <w:keepNext/>
        <w:keepLines/>
        <w:pageBreakBefore w:val="0"/>
        <w:widowControl w:val="0"/>
        <w:kinsoku/>
        <w:wordWrap/>
        <w:overflowPunct/>
        <w:topLinePunct w:val="0"/>
        <w:autoSpaceDE/>
        <w:autoSpaceDN/>
        <w:bidi w:val="0"/>
        <w:adjustRightInd/>
        <w:snapToGrid/>
        <w:spacing w:before="0" w:beforeLines="0" w:after="0" w:line="360" w:lineRule="auto"/>
        <w:textAlignment w:val="auto"/>
        <w:rPr>
          <w:rFonts w:hint="eastAsia" w:ascii="宋体" w:hAnsi="宋体" w:cs="宋体"/>
          <w:color w:val="000000"/>
          <w:kern w:val="44"/>
          <w:sz w:val="24"/>
          <w:szCs w:val="24"/>
          <w:highlight w:val="none"/>
          <w:lang w:val="en-US" w:eastAsia="zh-CN"/>
        </w:rPr>
      </w:pPr>
      <w:bookmarkStart w:id="6" w:name="_Toc234382663"/>
      <w:r>
        <w:rPr>
          <w:rFonts w:hint="eastAsia" w:ascii="宋体" w:hAnsi="宋体" w:cs="宋体"/>
          <w:color w:val="000000"/>
          <w:kern w:val="44"/>
          <w:sz w:val="24"/>
          <w:szCs w:val="24"/>
          <w:highlight w:val="none"/>
          <w:lang w:val="en-US" w:eastAsia="zh-CN"/>
        </w:rPr>
        <w:t>评标办法前附表</w:t>
      </w:r>
      <w:bookmarkEnd w:id="6"/>
    </w:p>
    <w:tbl>
      <w:tblPr>
        <w:tblStyle w:val="12"/>
        <w:tblW w:w="102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664"/>
        <w:gridCol w:w="2476"/>
        <w:gridCol w:w="5221"/>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trHeight w:val="397" w:hRule="atLeast"/>
          <w:jc w:val="center"/>
        </w:trPr>
        <w:tc>
          <w:tcPr>
            <w:tcW w:w="2537" w:type="dxa"/>
            <w:gridSpan w:val="2"/>
            <w:noWrap w:val="0"/>
            <w:vAlign w:val="center"/>
          </w:tcPr>
          <w:p>
            <w:pPr>
              <w:snapToGrid w:val="0"/>
              <w:jc w:val="center"/>
              <w:rPr>
                <w:rFonts w:hint="eastAsia" w:ascii="宋体" w:hAnsi="宋体" w:cs="宋体"/>
                <w:b/>
                <w:color w:val="000000"/>
                <w:szCs w:val="21"/>
                <w:highlight w:val="none"/>
              </w:rPr>
            </w:pPr>
            <w:r>
              <w:rPr>
                <w:rFonts w:hint="eastAsia" w:ascii="宋体" w:hAnsi="宋体" w:cs="宋体"/>
                <w:b/>
                <w:color w:val="000000"/>
                <w:szCs w:val="21"/>
                <w:highlight w:val="none"/>
              </w:rPr>
              <w:t>条款号</w:t>
            </w:r>
          </w:p>
        </w:tc>
        <w:tc>
          <w:tcPr>
            <w:tcW w:w="2476" w:type="dxa"/>
            <w:noWrap w:val="0"/>
            <w:vAlign w:val="center"/>
          </w:tcPr>
          <w:p>
            <w:pPr>
              <w:snapToGrid w:val="0"/>
              <w:jc w:val="center"/>
              <w:rPr>
                <w:rFonts w:hint="eastAsia" w:ascii="宋体" w:hAnsi="宋体" w:cs="宋体"/>
                <w:b/>
                <w:color w:val="000000"/>
                <w:szCs w:val="21"/>
                <w:highlight w:val="none"/>
              </w:rPr>
            </w:pPr>
            <w:r>
              <w:rPr>
                <w:rFonts w:hint="eastAsia" w:ascii="宋体" w:hAnsi="宋体" w:cs="宋体"/>
                <w:b/>
                <w:color w:val="000000"/>
                <w:szCs w:val="21"/>
                <w:highlight w:val="none"/>
              </w:rPr>
              <w:t>评审因素</w:t>
            </w:r>
          </w:p>
        </w:tc>
        <w:tc>
          <w:tcPr>
            <w:tcW w:w="5221" w:type="dxa"/>
            <w:noWrap w:val="0"/>
            <w:vAlign w:val="center"/>
          </w:tcPr>
          <w:p>
            <w:pPr>
              <w:snapToGrid w:val="0"/>
              <w:jc w:val="center"/>
              <w:rPr>
                <w:rFonts w:hint="eastAsia" w:ascii="宋体" w:hAnsi="宋体" w:cs="宋体"/>
                <w:b/>
                <w:color w:val="000000"/>
                <w:szCs w:val="21"/>
                <w:highlight w:val="none"/>
              </w:rPr>
            </w:pPr>
            <w:r>
              <w:rPr>
                <w:rFonts w:hint="eastAsia" w:ascii="宋体" w:hAnsi="宋体" w:cs="宋体"/>
                <w:b/>
                <w:color w:val="000000"/>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trHeight w:val="397" w:hRule="atLeast"/>
          <w:jc w:val="center"/>
        </w:trPr>
        <w:tc>
          <w:tcPr>
            <w:tcW w:w="873" w:type="dxa"/>
            <w:noWrap w:val="0"/>
            <w:vAlign w:val="center"/>
          </w:tcPr>
          <w:p>
            <w:pPr>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1</w:t>
            </w:r>
          </w:p>
        </w:tc>
        <w:tc>
          <w:tcPr>
            <w:tcW w:w="1664" w:type="dxa"/>
            <w:noWrap w:val="0"/>
            <w:vAlign w:val="center"/>
          </w:tcPr>
          <w:p>
            <w:pPr>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评标方法</w:t>
            </w:r>
          </w:p>
        </w:tc>
        <w:tc>
          <w:tcPr>
            <w:tcW w:w="2476" w:type="dxa"/>
            <w:noWrap w:val="0"/>
            <w:vAlign w:val="center"/>
          </w:tcPr>
          <w:p>
            <w:pPr>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中标候选人排序方法</w:t>
            </w:r>
          </w:p>
        </w:tc>
        <w:tc>
          <w:tcPr>
            <w:tcW w:w="5221" w:type="dxa"/>
            <w:noWrap w:val="0"/>
            <w:vAlign w:val="top"/>
          </w:tcPr>
          <w:p>
            <w:pPr>
              <w:snapToGrid w:val="0"/>
              <w:jc w:val="left"/>
              <w:rPr>
                <w:rFonts w:hint="eastAsia" w:ascii="宋体" w:hAnsi="宋体" w:cs="宋体"/>
                <w:color w:val="000000"/>
                <w:szCs w:val="21"/>
                <w:highlight w:val="none"/>
              </w:rPr>
            </w:pPr>
            <w:r>
              <w:rPr>
                <w:rFonts w:hint="eastAsia" w:ascii="宋体" w:hAnsi="宋体" w:cs="宋体"/>
                <w:color w:val="000000"/>
                <w:szCs w:val="21"/>
                <w:highlight w:val="none"/>
              </w:rPr>
              <w:t>评标委员会对满足招标文件实质性要求的投标文件，按照本章第2.2款规定的评分标准进行打分，并按得分由高到低顺序推荐中标候选人，但投标报价低于其成本的除外。综合评分相等时，以投标报价低的优先；投标报价也相等的，以技术得分高的优先；如果技术得分也相等，由评标委员会投票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trHeight w:val="374" w:hRule="atLeast"/>
          <w:jc w:val="center"/>
        </w:trPr>
        <w:tc>
          <w:tcPr>
            <w:tcW w:w="873" w:type="dxa"/>
            <w:vMerge w:val="restart"/>
            <w:noWrap w:val="0"/>
            <w:vAlign w:val="center"/>
          </w:tcPr>
          <w:p>
            <w:pPr>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2.1.1</w:t>
            </w:r>
          </w:p>
        </w:tc>
        <w:tc>
          <w:tcPr>
            <w:tcW w:w="1664" w:type="dxa"/>
            <w:vMerge w:val="restart"/>
            <w:noWrap w:val="0"/>
            <w:vAlign w:val="center"/>
          </w:tcPr>
          <w:p>
            <w:pPr>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形式评审标准</w:t>
            </w:r>
          </w:p>
        </w:tc>
        <w:tc>
          <w:tcPr>
            <w:tcW w:w="2476" w:type="dxa"/>
            <w:noWrap w:val="0"/>
            <w:vAlign w:val="center"/>
          </w:tcPr>
          <w:p>
            <w:pPr>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投标人名称</w:t>
            </w:r>
          </w:p>
        </w:tc>
        <w:tc>
          <w:tcPr>
            <w:tcW w:w="5221" w:type="dxa"/>
            <w:noWrap w:val="0"/>
            <w:vAlign w:val="center"/>
          </w:tcPr>
          <w:p>
            <w:pPr>
              <w:snapToGrid w:val="0"/>
              <w:rPr>
                <w:rFonts w:hint="eastAsia" w:ascii="宋体" w:hAnsi="宋体" w:cs="宋体"/>
                <w:color w:val="000000"/>
                <w:szCs w:val="21"/>
                <w:highlight w:val="none"/>
              </w:rPr>
            </w:pPr>
            <w:r>
              <w:rPr>
                <w:rFonts w:hint="eastAsia" w:ascii="宋体" w:hAnsi="宋体" w:cs="宋体"/>
                <w:color w:val="000000"/>
                <w:szCs w:val="21"/>
                <w:highlight w:val="none"/>
              </w:rPr>
              <w:t>与营业执照（事业单位法人证书）一致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trHeight w:val="397" w:hRule="atLeast"/>
          <w:jc w:val="center"/>
        </w:trPr>
        <w:tc>
          <w:tcPr>
            <w:tcW w:w="873" w:type="dxa"/>
            <w:vMerge w:val="continue"/>
            <w:noWrap w:val="0"/>
            <w:vAlign w:val="center"/>
          </w:tcPr>
          <w:p>
            <w:pPr>
              <w:snapToGrid w:val="0"/>
              <w:rPr>
                <w:rFonts w:hint="eastAsia" w:ascii="宋体" w:hAnsi="宋体" w:cs="宋体"/>
                <w:color w:val="000000"/>
                <w:szCs w:val="21"/>
                <w:highlight w:val="none"/>
              </w:rPr>
            </w:pPr>
          </w:p>
        </w:tc>
        <w:tc>
          <w:tcPr>
            <w:tcW w:w="1664" w:type="dxa"/>
            <w:vMerge w:val="continue"/>
            <w:noWrap w:val="0"/>
            <w:vAlign w:val="center"/>
          </w:tcPr>
          <w:p>
            <w:pPr>
              <w:snapToGrid w:val="0"/>
              <w:rPr>
                <w:rFonts w:hint="eastAsia" w:ascii="宋体" w:hAnsi="宋体" w:cs="宋体"/>
                <w:color w:val="000000"/>
                <w:szCs w:val="21"/>
                <w:highlight w:val="none"/>
              </w:rPr>
            </w:pPr>
          </w:p>
        </w:tc>
        <w:tc>
          <w:tcPr>
            <w:tcW w:w="2476" w:type="dxa"/>
            <w:noWrap w:val="0"/>
            <w:vAlign w:val="center"/>
          </w:tcPr>
          <w:p>
            <w:pPr>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投标函签字盖章</w:t>
            </w:r>
          </w:p>
        </w:tc>
        <w:tc>
          <w:tcPr>
            <w:tcW w:w="5221" w:type="dxa"/>
            <w:noWrap w:val="0"/>
            <w:vAlign w:val="center"/>
          </w:tcPr>
          <w:p>
            <w:pPr>
              <w:snapToGrid w:val="0"/>
              <w:rPr>
                <w:rFonts w:hint="eastAsia" w:ascii="宋体" w:hAnsi="宋体" w:cs="宋体"/>
                <w:color w:val="000000"/>
                <w:szCs w:val="21"/>
                <w:highlight w:val="none"/>
              </w:rPr>
            </w:pPr>
            <w:r>
              <w:rPr>
                <w:rFonts w:hint="eastAsia" w:ascii="宋体" w:hAnsi="宋体" w:cs="宋体"/>
                <w:color w:val="000000"/>
                <w:szCs w:val="21"/>
                <w:highlight w:val="none"/>
              </w:rPr>
              <w:t>有法定代表人</w:t>
            </w:r>
            <w:bookmarkStart w:id="7" w:name="_Toc247527609"/>
            <w:bookmarkStart w:id="8" w:name="_Toc152045584"/>
            <w:bookmarkStart w:id="9" w:name="_Toc247514008"/>
            <w:bookmarkStart w:id="10" w:name="_Toc6546"/>
            <w:bookmarkStart w:id="11" w:name="_Toc144974551"/>
            <w:bookmarkStart w:id="12" w:name="_Toc369531574"/>
            <w:bookmarkStart w:id="13" w:name="_Toc300835005"/>
            <w:bookmarkStart w:id="14" w:name="_Toc352691530"/>
            <w:bookmarkStart w:id="15" w:name="_Toc152042361"/>
            <w:bookmarkStart w:id="16" w:name="_Toc361508643"/>
            <w:bookmarkStart w:id="17" w:name="_Toc384308269"/>
            <w:r>
              <w:rPr>
                <w:rFonts w:hint="eastAsia" w:ascii="宋体" w:hAnsi="宋体" w:cs="宋体"/>
                <w:color w:val="000000"/>
                <w:szCs w:val="21"/>
                <w:highlight w:val="none"/>
              </w:rPr>
              <w:t>或其委托</w:t>
            </w:r>
            <w:bookmarkEnd w:id="7"/>
            <w:bookmarkEnd w:id="8"/>
            <w:bookmarkEnd w:id="9"/>
            <w:bookmarkEnd w:id="10"/>
            <w:bookmarkEnd w:id="11"/>
            <w:bookmarkEnd w:id="12"/>
            <w:bookmarkEnd w:id="13"/>
            <w:bookmarkEnd w:id="14"/>
            <w:bookmarkEnd w:id="15"/>
            <w:bookmarkEnd w:id="16"/>
            <w:bookmarkEnd w:id="17"/>
            <w:r>
              <w:rPr>
                <w:rFonts w:hint="eastAsia" w:ascii="宋体" w:hAnsi="宋体" w:cs="宋体"/>
                <w:color w:val="000000"/>
                <w:szCs w:val="21"/>
                <w:highlight w:val="none"/>
              </w:rPr>
              <w:t>代理人签字或加盖单位章。由法定代表人签字的，应附法定代表人身份证明，由代理人签字的，应附授权委托书，身份证明或授权委托书应符合第六章“投标文件格式”的规定。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trHeight w:val="453" w:hRule="atLeast"/>
          <w:jc w:val="center"/>
        </w:trPr>
        <w:tc>
          <w:tcPr>
            <w:tcW w:w="873" w:type="dxa"/>
            <w:vMerge w:val="continue"/>
            <w:noWrap w:val="0"/>
            <w:vAlign w:val="center"/>
          </w:tcPr>
          <w:p>
            <w:pPr>
              <w:snapToGrid w:val="0"/>
              <w:rPr>
                <w:rFonts w:hint="eastAsia" w:ascii="宋体" w:hAnsi="宋体" w:cs="宋体"/>
                <w:color w:val="000000"/>
                <w:szCs w:val="21"/>
                <w:highlight w:val="none"/>
              </w:rPr>
            </w:pPr>
          </w:p>
        </w:tc>
        <w:tc>
          <w:tcPr>
            <w:tcW w:w="1664" w:type="dxa"/>
            <w:vMerge w:val="continue"/>
            <w:noWrap w:val="0"/>
            <w:vAlign w:val="center"/>
          </w:tcPr>
          <w:p>
            <w:pPr>
              <w:snapToGrid w:val="0"/>
              <w:rPr>
                <w:rFonts w:hint="eastAsia" w:ascii="宋体" w:hAnsi="宋体" w:cs="宋体"/>
                <w:color w:val="000000"/>
                <w:szCs w:val="21"/>
                <w:highlight w:val="none"/>
              </w:rPr>
            </w:pPr>
          </w:p>
        </w:tc>
        <w:tc>
          <w:tcPr>
            <w:tcW w:w="2476" w:type="dxa"/>
            <w:noWrap w:val="0"/>
            <w:vAlign w:val="center"/>
          </w:tcPr>
          <w:p>
            <w:pPr>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投标文件格式</w:t>
            </w:r>
          </w:p>
        </w:tc>
        <w:tc>
          <w:tcPr>
            <w:tcW w:w="5221" w:type="dxa"/>
            <w:noWrap w:val="0"/>
            <w:vAlign w:val="center"/>
          </w:tcPr>
          <w:p>
            <w:pPr>
              <w:snapToGrid w:val="0"/>
              <w:rPr>
                <w:rFonts w:hint="eastAsia" w:ascii="宋体" w:hAnsi="宋体" w:cs="宋体"/>
                <w:color w:val="000000"/>
                <w:szCs w:val="21"/>
                <w:highlight w:val="none"/>
              </w:rPr>
            </w:pPr>
            <w:r>
              <w:rPr>
                <w:rFonts w:hint="eastAsia" w:ascii="宋体" w:hAnsi="宋体" w:cs="宋体"/>
                <w:color w:val="000000"/>
                <w:szCs w:val="21"/>
                <w:highlight w:val="none"/>
              </w:rPr>
              <w:t>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trHeight w:val="417" w:hRule="atLeast"/>
          <w:jc w:val="center"/>
        </w:trPr>
        <w:tc>
          <w:tcPr>
            <w:tcW w:w="873" w:type="dxa"/>
            <w:vMerge w:val="continue"/>
            <w:noWrap w:val="0"/>
            <w:vAlign w:val="center"/>
          </w:tcPr>
          <w:p>
            <w:pPr>
              <w:snapToGrid w:val="0"/>
              <w:rPr>
                <w:rFonts w:hint="eastAsia" w:ascii="宋体" w:hAnsi="宋体" w:cs="宋体"/>
                <w:color w:val="000000"/>
                <w:szCs w:val="21"/>
                <w:highlight w:val="none"/>
              </w:rPr>
            </w:pPr>
          </w:p>
        </w:tc>
        <w:tc>
          <w:tcPr>
            <w:tcW w:w="1664" w:type="dxa"/>
            <w:vMerge w:val="continue"/>
            <w:noWrap w:val="0"/>
            <w:vAlign w:val="center"/>
          </w:tcPr>
          <w:p>
            <w:pPr>
              <w:snapToGrid w:val="0"/>
              <w:rPr>
                <w:rFonts w:hint="eastAsia" w:ascii="宋体" w:hAnsi="宋体" w:cs="宋体"/>
                <w:color w:val="000000"/>
                <w:szCs w:val="21"/>
                <w:highlight w:val="none"/>
              </w:rPr>
            </w:pPr>
          </w:p>
        </w:tc>
        <w:tc>
          <w:tcPr>
            <w:tcW w:w="2476" w:type="dxa"/>
            <w:noWrap w:val="0"/>
            <w:vAlign w:val="center"/>
          </w:tcPr>
          <w:p>
            <w:pPr>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联合体投标人</w:t>
            </w:r>
          </w:p>
        </w:tc>
        <w:tc>
          <w:tcPr>
            <w:tcW w:w="5221" w:type="dxa"/>
            <w:noWrap w:val="0"/>
            <w:vAlign w:val="center"/>
          </w:tcPr>
          <w:p>
            <w:pPr>
              <w:snapToGrid w:val="0"/>
              <w:rPr>
                <w:rFonts w:hint="eastAsia" w:ascii="宋体" w:hAnsi="宋体" w:cs="宋体"/>
                <w:color w:val="000000"/>
                <w:szCs w:val="21"/>
                <w:highlight w:val="none"/>
              </w:rPr>
            </w:pPr>
            <w:r>
              <w:rPr>
                <w:rFonts w:hint="eastAsia" w:ascii="宋体" w:hAnsi="宋体" w:cs="宋体"/>
                <w:color w:val="000000"/>
                <w:szCs w:val="21"/>
                <w:highlight w:val="none"/>
              </w:rPr>
              <w:t>未以联合体形式投标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trHeight w:val="593" w:hRule="atLeast"/>
          <w:jc w:val="center"/>
        </w:trPr>
        <w:tc>
          <w:tcPr>
            <w:tcW w:w="873" w:type="dxa"/>
            <w:vMerge w:val="continue"/>
            <w:noWrap w:val="0"/>
            <w:vAlign w:val="center"/>
          </w:tcPr>
          <w:p>
            <w:pPr>
              <w:snapToGrid w:val="0"/>
              <w:rPr>
                <w:rFonts w:hint="eastAsia" w:ascii="宋体" w:hAnsi="宋体" w:cs="宋体"/>
                <w:color w:val="000000"/>
                <w:szCs w:val="21"/>
                <w:highlight w:val="none"/>
              </w:rPr>
            </w:pPr>
          </w:p>
        </w:tc>
        <w:tc>
          <w:tcPr>
            <w:tcW w:w="1664" w:type="dxa"/>
            <w:vMerge w:val="continue"/>
            <w:noWrap w:val="0"/>
            <w:vAlign w:val="center"/>
          </w:tcPr>
          <w:p>
            <w:pPr>
              <w:snapToGrid w:val="0"/>
              <w:rPr>
                <w:rFonts w:hint="eastAsia" w:ascii="宋体" w:hAnsi="宋体" w:cs="宋体"/>
                <w:color w:val="000000"/>
                <w:szCs w:val="21"/>
                <w:highlight w:val="none"/>
              </w:rPr>
            </w:pPr>
          </w:p>
        </w:tc>
        <w:tc>
          <w:tcPr>
            <w:tcW w:w="2476" w:type="dxa"/>
            <w:noWrap w:val="0"/>
            <w:vAlign w:val="center"/>
          </w:tcPr>
          <w:p>
            <w:pPr>
              <w:snapToGrid w:val="0"/>
              <w:jc w:val="center"/>
              <w:rPr>
                <w:rFonts w:ascii="宋体" w:hAnsi="宋体"/>
                <w:color w:val="000000"/>
                <w:szCs w:val="21"/>
                <w:highlight w:val="none"/>
              </w:rPr>
            </w:pPr>
            <w:r>
              <w:rPr>
                <w:rFonts w:ascii="宋体" w:hAnsi="宋体"/>
                <w:color w:val="000000"/>
                <w:szCs w:val="21"/>
                <w:highlight w:val="none"/>
              </w:rPr>
              <w:t>备选投标方案</w:t>
            </w:r>
          </w:p>
        </w:tc>
        <w:tc>
          <w:tcPr>
            <w:tcW w:w="5221" w:type="dxa"/>
            <w:noWrap w:val="0"/>
            <w:vAlign w:val="center"/>
          </w:tcPr>
          <w:p>
            <w:pPr>
              <w:snapToGrid w:val="0"/>
              <w:rPr>
                <w:rFonts w:ascii="宋体" w:hAnsi="宋体"/>
                <w:color w:val="000000"/>
                <w:szCs w:val="21"/>
                <w:highlight w:val="none"/>
              </w:rPr>
            </w:pPr>
            <w:r>
              <w:rPr>
                <w:rFonts w:ascii="宋体" w:hAnsi="宋体"/>
                <w:color w:val="000000"/>
                <w:szCs w:val="21"/>
                <w:highlight w:val="none"/>
              </w:rPr>
              <w:t>除招标文件明确允许提交备选投标方案外，投标人不得提交备选投标方案</w:t>
            </w:r>
            <w:r>
              <w:rPr>
                <w:rFonts w:hint="eastAsia" w:ascii="宋体" w:hAnsi="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trHeight w:val="670" w:hRule="atLeast"/>
          <w:jc w:val="center"/>
        </w:trPr>
        <w:tc>
          <w:tcPr>
            <w:tcW w:w="873" w:type="dxa"/>
            <w:vMerge w:val="restart"/>
            <w:noWrap w:val="0"/>
            <w:vAlign w:val="center"/>
          </w:tcPr>
          <w:p>
            <w:pPr>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2.1.2</w:t>
            </w:r>
          </w:p>
        </w:tc>
        <w:tc>
          <w:tcPr>
            <w:tcW w:w="1664" w:type="dxa"/>
            <w:vMerge w:val="restart"/>
            <w:noWrap w:val="0"/>
            <w:vAlign w:val="center"/>
          </w:tcPr>
          <w:p>
            <w:pPr>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资格评审标准</w:t>
            </w:r>
          </w:p>
        </w:tc>
        <w:tc>
          <w:tcPr>
            <w:tcW w:w="2476" w:type="dxa"/>
            <w:noWrap w:val="0"/>
            <w:vAlign w:val="center"/>
          </w:tcPr>
          <w:p>
            <w:pPr>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营业执照（事业单位法人证书）和组织机构代码证</w:t>
            </w:r>
          </w:p>
        </w:tc>
        <w:tc>
          <w:tcPr>
            <w:tcW w:w="5221" w:type="dxa"/>
            <w:noWrap w:val="0"/>
            <w:vAlign w:val="center"/>
          </w:tcPr>
          <w:p>
            <w:pPr>
              <w:snapToGrid w:val="0"/>
              <w:rPr>
                <w:rFonts w:hint="eastAsia" w:ascii="宋体" w:hAnsi="宋体" w:cs="宋体"/>
                <w:color w:val="000000"/>
                <w:szCs w:val="21"/>
                <w:highlight w:val="none"/>
              </w:rPr>
            </w:pPr>
            <w:r>
              <w:rPr>
                <w:rFonts w:hint="eastAsia" w:ascii="宋体" w:hAnsi="宋体" w:cs="宋体"/>
                <w:color w:val="000000"/>
                <w:szCs w:val="21"/>
                <w:highlight w:val="none"/>
              </w:rPr>
              <w:t>符合第二章“投标人须知”第3.5.1项规定，具备有效的营业执照（事业单位法人证书）和组织机构代码证。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trHeight w:val="419" w:hRule="atLeast"/>
          <w:jc w:val="center"/>
        </w:trPr>
        <w:tc>
          <w:tcPr>
            <w:tcW w:w="873" w:type="dxa"/>
            <w:vMerge w:val="continue"/>
            <w:noWrap w:val="0"/>
            <w:vAlign w:val="center"/>
          </w:tcPr>
          <w:p>
            <w:pPr>
              <w:snapToGrid w:val="0"/>
              <w:jc w:val="center"/>
              <w:rPr>
                <w:rFonts w:hint="eastAsia" w:ascii="宋体" w:hAnsi="宋体" w:cs="宋体"/>
                <w:color w:val="000000"/>
                <w:szCs w:val="21"/>
                <w:highlight w:val="none"/>
              </w:rPr>
            </w:pPr>
          </w:p>
        </w:tc>
        <w:tc>
          <w:tcPr>
            <w:tcW w:w="1664" w:type="dxa"/>
            <w:vMerge w:val="continue"/>
            <w:noWrap w:val="0"/>
            <w:vAlign w:val="center"/>
          </w:tcPr>
          <w:p>
            <w:pPr>
              <w:snapToGrid w:val="0"/>
              <w:jc w:val="center"/>
              <w:rPr>
                <w:rFonts w:hint="eastAsia" w:ascii="宋体" w:hAnsi="宋体" w:cs="宋体"/>
                <w:color w:val="000000"/>
                <w:szCs w:val="21"/>
                <w:highlight w:val="none"/>
              </w:rPr>
            </w:pPr>
          </w:p>
        </w:tc>
        <w:tc>
          <w:tcPr>
            <w:tcW w:w="2476" w:type="dxa"/>
            <w:noWrap w:val="0"/>
            <w:vAlign w:val="center"/>
          </w:tcPr>
          <w:p>
            <w:pPr>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其他要求</w:t>
            </w:r>
          </w:p>
        </w:tc>
        <w:tc>
          <w:tcPr>
            <w:tcW w:w="5221" w:type="dxa"/>
            <w:noWrap w:val="0"/>
            <w:vAlign w:val="center"/>
          </w:tcPr>
          <w:p>
            <w:pPr>
              <w:snapToGrid w:val="0"/>
              <w:rPr>
                <w:rFonts w:hint="eastAsia" w:ascii="宋体" w:hAnsi="宋体" w:cs="宋体"/>
                <w:color w:val="000000"/>
                <w:szCs w:val="21"/>
                <w:highlight w:val="none"/>
              </w:rPr>
            </w:pPr>
            <w:r>
              <w:rPr>
                <w:rFonts w:hint="eastAsia" w:ascii="宋体" w:hAnsi="宋体" w:cs="宋体"/>
                <w:color w:val="000000"/>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trHeight w:val="397" w:hRule="atLeast"/>
          <w:jc w:val="center"/>
        </w:trPr>
        <w:tc>
          <w:tcPr>
            <w:tcW w:w="873" w:type="dxa"/>
            <w:vMerge w:val="continue"/>
            <w:noWrap w:val="0"/>
            <w:vAlign w:val="center"/>
          </w:tcPr>
          <w:p>
            <w:pPr>
              <w:snapToGrid w:val="0"/>
              <w:rPr>
                <w:rFonts w:hint="eastAsia" w:ascii="宋体" w:hAnsi="宋体" w:cs="宋体"/>
                <w:color w:val="000000"/>
                <w:szCs w:val="21"/>
                <w:highlight w:val="none"/>
              </w:rPr>
            </w:pPr>
          </w:p>
        </w:tc>
        <w:tc>
          <w:tcPr>
            <w:tcW w:w="1664" w:type="dxa"/>
            <w:vMerge w:val="continue"/>
            <w:noWrap w:val="0"/>
            <w:vAlign w:val="center"/>
          </w:tcPr>
          <w:p>
            <w:pPr>
              <w:snapToGrid w:val="0"/>
              <w:rPr>
                <w:rFonts w:hint="eastAsia" w:ascii="宋体" w:hAnsi="宋体" w:cs="宋体"/>
                <w:color w:val="000000"/>
                <w:szCs w:val="21"/>
                <w:highlight w:val="none"/>
              </w:rPr>
            </w:pPr>
          </w:p>
        </w:tc>
        <w:tc>
          <w:tcPr>
            <w:tcW w:w="2476" w:type="dxa"/>
            <w:noWrap w:val="0"/>
            <w:vAlign w:val="center"/>
          </w:tcPr>
          <w:p>
            <w:pPr>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不存在禁止投标的情形</w:t>
            </w:r>
          </w:p>
        </w:tc>
        <w:tc>
          <w:tcPr>
            <w:tcW w:w="5221" w:type="dxa"/>
            <w:noWrap w:val="0"/>
            <w:vAlign w:val="center"/>
          </w:tcPr>
          <w:p>
            <w:pPr>
              <w:snapToGrid w:val="0"/>
              <w:rPr>
                <w:rFonts w:hint="eastAsia" w:ascii="宋体" w:hAnsi="宋体" w:cs="宋体"/>
                <w:color w:val="000000"/>
                <w:szCs w:val="21"/>
                <w:highlight w:val="none"/>
              </w:rPr>
            </w:pPr>
            <w:r>
              <w:rPr>
                <w:rFonts w:hint="eastAsia" w:ascii="宋体" w:hAnsi="宋体" w:cs="宋体"/>
                <w:color w:val="000000"/>
                <w:szCs w:val="21"/>
                <w:highlight w:val="none"/>
              </w:rPr>
              <w:t>不存在第二章“投标人须知”第1.4.3项规定的任何一种情形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trHeight w:val="413" w:hRule="atLeast"/>
          <w:jc w:val="center"/>
        </w:trPr>
        <w:tc>
          <w:tcPr>
            <w:tcW w:w="873" w:type="dxa"/>
            <w:vMerge w:val="restart"/>
            <w:noWrap w:val="0"/>
            <w:vAlign w:val="center"/>
          </w:tcPr>
          <w:p>
            <w:pPr>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2.1.3</w:t>
            </w:r>
          </w:p>
        </w:tc>
        <w:tc>
          <w:tcPr>
            <w:tcW w:w="1664" w:type="dxa"/>
            <w:vMerge w:val="restart"/>
            <w:noWrap w:val="0"/>
            <w:vAlign w:val="center"/>
          </w:tcPr>
          <w:p>
            <w:pPr>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响应性评审标准</w:t>
            </w:r>
          </w:p>
        </w:tc>
        <w:tc>
          <w:tcPr>
            <w:tcW w:w="2476" w:type="dxa"/>
            <w:noWrap w:val="0"/>
            <w:vAlign w:val="center"/>
          </w:tcPr>
          <w:p>
            <w:pPr>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投标报价</w:t>
            </w:r>
          </w:p>
        </w:tc>
        <w:tc>
          <w:tcPr>
            <w:tcW w:w="5221" w:type="dxa"/>
            <w:noWrap w:val="0"/>
            <w:vAlign w:val="center"/>
          </w:tcPr>
          <w:p>
            <w:pPr>
              <w:snapToGrid w:val="0"/>
              <w:rPr>
                <w:rFonts w:hint="eastAsia" w:ascii="宋体" w:hAnsi="宋体" w:cs="宋体"/>
                <w:color w:val="000000"/>
                <w:szCs w:val="21"/>
                <w:highlight w:val="none"/>
              </w:rPr>
            </w:pPr>
            <w:r>
              <w:rPr>
                <w:rFonts w:hint="eastAsia" w:ascii="宋体" w:hAnsi="宋体" w:cs="宋体"/>
                <w:color w:val="000000"/>
                <w:szCs w:val="21"/>
                <w:highlight w:val="none"/>
              </w:rPr>
              <w:t>符合第二章“投标人须知”第3.2款规定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trHeight w:val="419" w:hRule="atLeast"/>
          <w:jc w:val="center"/>
        </w:trPr>
        <w:tc>
          <w:tcPr>
            <w:tcW w:w="873" w:type="dxa"/>
            <w:vMerge w:val="continue"/>
            <w:noWrap w:val="0"/>
            <w:vAlign w:val="center"/>
          </w:tcPr>
          <w:p>
            <w:pPr>
              <w:snapToGrid w:val="0"/>
              <w:jc w:val="center"/>
              <w:rPr>
                <w:rFonts w:hint="eastAsia" w:ascii="宋体" w:hAnsi="宋体" w:cs="宋体"/>
                <w:color w:val="000000"/>
                <w:szCs w:val="21"/>
                <w:highlight w:val="none"/>
              </w:rPr>
            </w:pPr>
          </w:p>
        </w:tc>
        <w:tc>
          <w:tcPr>
            <w:tcW w:w="1664" w:type="dxa"/>
            <w:vMerge w:val="continue"/>
            <w:noWrap w:val="0"/>
            <w:vAlign w:val="center"/>
          </w:tcPr>
          <w:p>
            <w:pPr>
              <w:snapToGrid w:val="0"/>
              <w:jc w:val="center"/>
              <w:rPr>
                <w:rFonts w:hint="eastAsia" w:ascii="宋体" w:hAnsi="宋体" w:cs="宋体"/>
                <w:color w:val="000000"/>
                <w:szCs w:val="21"/>
                <w:highlight w:val="none"/>
              </w:rPr>
            </w:pPr>
          </w:p>
        </w:tc>
        <w:tc>
          <w:tcPr>
            <w:tcW w:w="2476" w:type="dxa"/>
            <w:noWrap w:val="0"/>
            <w:vAlign w:val="center"/>
          </w:tcPr>
          <w:p>
            <w:pPr>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投标内容</w:t>
            </w:r>
          </w:p>
        </w:tc>
        <w:tc>
          <w:tcPr>
            <w:tcW w:w="5221" w:type="dxa"/>
            <w:noWrap w:val="0"/>
            <w:vAlign w:val="center"/>
          </w:tcPr>
          <w:p>
            <w:pPr>
              <w:snapToGrid w:val="0"/>
              <w:jc w:val="left"/>
              <w:rPr>
                <w:rFonts w:hint="eastAsia" w:ascii="宋体" w:hAnsi="宋体" w:cs="宋体"/>
                <w:color w:val="000000"/>
                <w:szCs w:val="21"/>
                <w:highlight w:val="none"/>
              </w:rPr>
            </w:pPr>
            <w:r>
              <w:rPr>
                <w:rFonts w:hint="eastAsia" w:ascii="宋体" w:hAnsi="宋体" w:cs="宋体"/>
                <w:color w:val="000000"/>
                <w:szCs w:val="21"/>
                <w:highlight w:val="none"/>
              </w:rPr>
              <w:t>符合第二章“投标人须知”第1.3.1项规定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trHeight w:val="411" w:hRule="atLeast"/>
          <w:jc w:val="center"/>
        </w:trPr>
        <w:tc>
          <w:tcPr>
            <w:tcW w:w="873" w:type="dxa"/>
            <w:vMerge w:val="continue"/>
            <w:noWrap w:val="0"/>
            <w:vAlign w:val="center"/>
          </w:tcPr>
          <w:p>
            <w:pPr>
              <w:snapToGrid w:val="0"/>
              <w:jc w:val="center"/>
              <w:rPr>
                <w:rFonts w:hint="eastAsia" w:ascii="宋体" w:hAnsi="宋体" w:cs="宋体"/>
                <w:color w:val="000000"/>
                <w:szCs w:val="21"/>
                <w:highlight w:val="none"/>
              </w:rPr>
            </w:pPr>
          </w:p>
        </w:tc>
        <w:tc>
          <w:tcPr>
            <w:tcW w:w="1664" w:type="dxa"/>
            <w:vMerge w:val="continue"/>
            <w:noWrap w:val="0"/>
            <w:vAlign w:val="center"/>
          </w:tcPr>
          <w:p>
            <w:pPr>
              <w:snapToGrid w:val="0"/>
              <w:jc w:val="center"/>
              <w:rPr>
                <w:rFonts w:hint="eastAsia" w:ascii="宋体" w:hAnsi="宋体" w:cs="宋体"/>
                <w:color w:val="000000"/>
                <w:szCs w:val="21"/>
                <w:highlight w:val="none"/>
              </w:rPr>
            </w:pPr>
          </w:p>
        </w:tc>
        <w:tc>
          <w:tcPr>
            <w:tcW w:w="2476" w:type="dxa"/>
            <w:noWrap w:val="0"/>
            <w:vAlign w:val="center"/>
          </w:tcPr>
          <w:p>
            <w:pPr>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交货期</w:t>
            </w:r>
          </w:p>
        </w:tc>
        <w:tc>
          <w:tcPr>
            <w:tcW w:w="5221" w:type="dxa"/>
            <w:noWrap w:val="0"/>
            <w:vAlign w:val="center"/>
          </w:tcPr>
          <w:p>
            <w:pPr>
              <w:snapToGrid w:val="0"/>
              <w:jc w:val="left"/>
              <w:rPr>
                <w:rFonts w:hint="eastAsia" w:ascii="宋体" w:hAnsi="宋体" w:cs="宋体"/>
                <w:color w:val="000000"/>
                <w:szCs w:val="21"/>
                <w:highlight w:val="none"/>
              </w:rPr>
            </w:pPr>
            <w:r>
              <w:rPr>
                <w:rFonts w:hint="eastAsia" w:ascii="宋体" w:hAnsi="宋体" w:cs="宋体"/>
                <w:color w:val="000000"/>
                <w:szCs w:val="21"/>
                <w:highlight w:val="none"/>
              </w:rPr>
              <w:t>符合第二章“投标人须知”第1.3.2项规定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trHeight w:val="431" w:hRule="atLeast"/>
          <w:jc w:val="center"/>
        </w:trPr>
        <w:tc>
          <w:tcPr>
            <w:tcW w:w="873" w:type="dxa"/>
            <w:vMerge w:val="continue"/>
            <w:noWrap w:val="0"/>
            <w:vAlign w:val="center"/>
          </w:tcPr>
          <w:p>
            <w:pPr>
              <w:snapToGrid w:val="0"/>
              <w:jc w:val="center"/>
              <w:rPr>
                <w:rFonts w:hint="eastAsia" w:ascii="宋体" w:hAnsi="宋体" w:cs="宋体"/>
                <w:color w:val="000000"/>
                <w:szCs w:val="21"/>
                <w:highlight w:val="none"/>
              </w:rPr>
            </w:pPr>
          </w:p>
        </w:tc>
        <w:tc>
          <w:tcPr>
            <w:tcW w:w="1664" w:type="dxa"/>
            <w:vMerge w:val="continue"/>
            <w:noWrap w:val="0"/>
            <w:vAlign w:val="center"/>
          </w:tcPr>
          <w:p>
            <w:pPr>
              <w:snapToGrid w:val="0"/>
              <w:jc w:val="center"/>
              <w:rPr>
                <w:rFonts w:hint="eastAsia" w:ascii="宋体" w:hAnsi="宋体" w:cs="宋体"/>
                <w:color w:val="000000"/>
                <w:szCs w:val="21"/>
                <w:highlight w:val="none"/>
              </w:rPr>
            </w:pPr>
          </w:p>
        </w:tc>
        <w:tc>
          <w:tcPr>
            <w:tcW w:w="2476" w:type="dxa"/>
            <w:noWrap w:val="0"/>
            <w:vAlign w:val="center"/>
          </w:tcPr>
          <w:p>
            <w:pPr>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交货地点</w:t>
            </w:r>
          </w:p>
        </w:tc>
        <w:tc>
          <w:tcPr>
            <w:tcW w:w="5221" w:type="dxa"/>
            <w:noWrap w:val="0"/>
            <w:vAlign w:val="center"/>
          </w:tcPr>
          <w:p>
            <w:pPr>
              <w:snapToGrid w:val="0"/>
              <w:jc w:val="left"/>
              <w:rPr>
                <w:rFonts w:hint="eastAsia" w:ascii="宋体" w:hAnsi="宋体" w:cs="宋体"/>
                <w:color w:val="000000"/>
                <w:szCs w:val="21"/>
                <w:highlight w:val="none"/>
              </w:rPr>
            </w:pPr>
            <w:r>
              <w:rPr>
                <w:rFonts w:hint="eastAsia" w:ascii="宋体" w:hAnsi="宋体" w:cs="宋体"/>
                <w:color w:val="000000"/>
                <w:szCs w:val="21"/>
                <w:highlight w:val="none"/>
              </w:rPr>
              <w:t>符合第二章“投标人须知”第1.3.3项规定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trHeight w:val="510" w:hRule="atLeast"/>
          <w:jc w:val="center"/>
        </w:trPr>
        <w:tc>
          <w:tcPr>
            <w:tcW w:w="873" w:type="dxa"/>
            <w:vMerge w:val="continue"/>
            <w:noWrap w:val="0"/>
            <w:vAlign w:val="center"/>
          </w:tcPr>
          <w:p>
            <w:pPr>
              <w:snapToGrid w:val="0"/>
              <w:jc w:val="center"/>
              <w:rPr>
                <w:rFonts w:hint="eastAsia" w:ascii="宋体" w:hAnsi="宋体" w:cs="宋体"/>
                <w:color w:val="000000"/>
                <w:szCs w:val="21"/>
                <w:highlight w:val="none"/>
              </w:rPr>
            </w:pPr>
          </w:p>
        </w:tc>
        <w:tc>
          <w:tcPr>
            <w:tcW w:w="1664" w:type="dxa"/>
            <w:vMerge w:val="continue"/>
            <w:noWrap w:val="0"/>
            <w:vAlign w:val="center"/>
          </w:tcPr>
          <w:p>
            <w:pPr>
              <w:snapToGrid w:val="0"/>
              <w:jc w:val="center"/>
              <w:rPr>
                <w:rFonts w:hint="eastAsia" w:ascii="宋体" w:hAnsi="宋体" w:cs="宋体"/>
                <w:color w:val="000000"/>
                <w:szCs w:val="21"/>
                <w:highlight w:val="none"/>
              </w:rPr>
            </w:pPr>
          </w:p>
        </w:tc>
        <w:tc>
          <w:tcPr>
            <w:tcW w:w="2476" w:type="dxa"/>
            <w:noWrap w:val="0"/>
            <w:vAlign w:val="center"/>
          </w:tcPr>
          <w:p>
            <w:pPr>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设备用途及参考技术性能指标</w:t>
            </w:r>
          </w:p>
        </w:tc>
        <w:tc>
          <w:tcPr>
            <w:tcW w:w="5221" w:type="dxa"/>
            <w:noWrap w:val="0"/>
            <w:vAlign w:val="center"/>
          </w:tcPr>
          <w:p>
            <w:pPr>
              <w:snapToGrid w:val="0"/>
              <w:jc w:val="left"/>
              <w:rPr>
                <w:rFonts w:hint="eastAsia" w:ascii="宋体" w:hAnsi="宋体" w:cs="宋体"/>
                <w:color w:val="000000"/>
                <w:szCs w:val="21"/>
                <w:highlight w:val="none"/>
              </w:rPr>
            </w:pPr>
            <w:r>
              <w:rPr>
                <w:rFonts w:hint="eastAsia" w:ascii="宋体" w:hAnsi="宋体" w:cs="宋体"/>
                <w:color w:val="000000"/>
                <w:szCs w:val="21"/>
                <w:highlight w:val="none"/>
              </w:rPr>
              <w:t>符合第二章“投标人须知”第10.3项规定，并按10.4项规定填报了设备承诺函。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trHeight w:val="417" w:hRule="atLeast"/>
          <w:jc w:val="center"/>
        </w:trPr>
        <w:tc>
          <w:tcPr>
            <w:tcW w:w="873" w:type="dxa"/>
            <w:vMerge w:val="continue"/>
            <w:noWrap w:val="0"/>
            <w:vAlign w:val="center"/>
          </w:tcPr>
          <w:p>
            <w:pPr>
              <w:snapToGrid w:val="0"/>
              <w:rPr>
                <w:rFonts w:hint="eastAsia" w:ascii="宋体" w:hAnsi="宋体" w:cs="宋体"/>
                <w:color w:val="000000"/>
                <w:szCs w:val="21"/>
                <w:highlight w:val="none"/>
              </w:rPr>
            </w:pPr>
          </w:p>
        </w:tc>
        <w:tc>
          <w:tcPr>
            <w:tcW w:w="1664" w:type="dxa"/>
            <w:vMerge w:val="continue"/>
            <w:noWrap w:val="0"/>
            <w:vAlign w:val="center"/>
          </w:tcPr>
          <w:p>
            <w:pPr>
              <w:snapToGrid w:val="0"/>
              <w:rPr>
                <w:rFonts w:hint="eastAsia" w:ascii="宋体" w:hAnsi="宋体" w:cs="宋体"/>
                <w:color w:val="000000"/>
                <w:szCs w:val="21"/>
                <w:highlight w:val="none"/>
              </w:rPr>
            </w:pPr>
          </w:p>
        </w:tc>
        <w:tc>
          <w:tcPr>
            <w:tcW w:w="2476" w:type="dxa"/>
            <w:noWrap w:val="0"/>
            <w:vAlign w:val="center"/>
          </w:tcPr>
          <w:p>
            <w:pPr>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投标有效期</w:t>
            </w:r>
          </w:p>
        </w:tc>
        <w:tc>
          <w:tcPr>
            <w:tcW w:w="5221" w:type="dxa"/>
            <w:noWrap w:val="0"/>
            <w:vAlign w:val="center"/>
          </w:tcPr>
          <w:p>
            <w:pPr>
              <w:snapToGrid w:val="0"/>
              <w:rPr>
                <w:rFonts w:hint="eastAsia" w:ascii="宋体" w:hAnsi="宋体" w:cs="宋体"/>
                <w:color w:val="000000"/>
                <w:szCs w:val="21"/>
                <w:highlight w:val="none"/>
              </w:rPr>
            </w:pPr>
            <w:r>
              <w:rPr>
                <w:rFonts w:hint="eastAsia" w:ascii="宋体" w:hAnsi="宋体" w:cs="宋体"/>
                <w:color w:val="000000"/>
                <w:szCs w:val="21"/>
                <w:highlight w:val="none"/>
              </w:rPr>
              <w:t>符合第二章“投标人须知”第3.3.1项规定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trHeight w:val="409" w:hRule="atLeast"/>
          <w:jc w:val="center"/>
        </w:trPr>
        <w:tc>
          <w:tcPr>
            <w:tcW w:w="873" w:type="dxa"/>
            <w:vMerge w:val="continue"/>
            <w:noWrap w:val="0"/>
            <w:vAlign w:val="center"/>
          </w:tcPr>
          <w:p>
            <w:pPr>
              <w:snapToGrid w:val="0"/>
              <w:rPr>
                <w:rFonts w:hint="eastAsia" w:ascii="宋体" w:hAnsi="宋体" w:cs="宋体"/>
                <w:color w:val="000000"/>
                <w:szCs w:val="21"/>
                <w:highlight w:val="none"/>
              </w:rPr>
            </w:pPr>
          </w:p>
        </w:tc>
        <w:tc>
          <w:tcPr>
            <w:tcW w:w="1664" w:type="dxa"/>
            <w:vMerge w:val="continue"/>
            <w:noWrap w:val="0"/>
            <w:vAlign w:val="center"/>
          </w:tcPr>
          <w:p>
            <w:pPr>
              <w:snapToGrid w:val="0"/>
              <w:rPr>
                <w:rFonts w:hint="eastAsia" w:ascii="宋体" w:hAnsi="宋体" w:cs="宋体"/>
                <w:color w:val="000000"/>
                <w:szCs w:val="21"/>
                <w:highlight w:val="none"/>
              </w:rPr>
            </w:pPr>
          </w:p>
        </w:tc>
        <w:tc>
          <w:tcPr>
            <w:tcW w:w="2476" w:type="dxa"/>
            <w:noWrap w:val="0"/>
            <w:vAlign w:val="center"/>
          </w:tcPr>
          <w:p>
            <w:pPr>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投标保证金</w:t>
            </w:r>
          </w:p>
        </w:tc>
        <w:tc>
          <w:tcPr>
            <w:tcW w:w="5221" w:type="dxa"/>
            <w:noWrap w:val="0"/>
            <w:vAlign w:val="center"/>
          </w:tcPr>
          <w:p>
            <w:pPr>
              <w:snapToGrid w:val="0"/>
              <w:rPr>
                <w:rFonts w:hint="eastAsia" w:ascii="宋体" w:hAnsi="宋体" w:cs="宋体"/>
                <w:color w:val="000000"/>
                <w:szCs w:val="21"/>
                <w:highlight w:val="none"/>
              </w:rPr>
            </w:pPr>
            <w:r>
              <w:rPr>
                <w:rFonts w:hint="eastAsia" w:ascii="宋体" w:hAnsi="宋体" w:cs="宋体"/>
                <w:color w:val="000000"/>
                <w:szCs w:val="21"/>
                <w:highlight w:val="none"/>
              </w:rPr>
              <w:t>符合第二章“投标人须知”第3.4.1款规定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trHeight w:val="510" w:hRule="atLeast"/>
          <w:jc w:val="center"/>
        </w:trPr>
        <w:tc>
          <w:tcPr>
            <w:tcW w:w="873" w:type="dxa"/>
            <w:vMerge w:val="continue"/>
            <w:noWrap w:val="0"/>
            <w:vAlign w:val="center"/>
          </w:tcPr>
          <w:p>
            <w:pPr>
              <w:snapToGrid w:val="0"/>
              <w:rPr>
                <w:rFonts w:hint="eastAsia" w:ascii="宋体" w:hAnsi="宋体" w:cs="宋体"/>
                <w:color w:val="000000"/>
                <w:szCs w:val="21"/>
                <w:highlight w:val="none"/>
              </w:rPr>
            </w:pPr>
          </w:p>
        </w:tc>
        <w:tc>
          <w:tcPr>
            <w:tcW w:w="1664" w:type="dxa"/>
            <w:vMerge w:val="continue"/>
            <w:noWrap w:val="0"/>
            <w:vAlign w:val="center"/>
          </w:tcPr>
          <w:p>
            <w:pPr>
              <w:snapToGrid w:val="0"/>
              <w:rPr>
                <w:rFonts w:hint="eastAsia" w:ascii="宋体" w:hAnsi="宋体" w:cs="宋体"/>
                <w:color w:val="000000"/>
                <w:szCs w:val="21"/>
                <w:highlight w:val="none"/>
              </w:rPr>
            </w:pPr>
          </w:p>
        </w:tc>
        <w:tc>
          <w:tcPr>
            <w:tcW w:w="2476" w:type="dxa"/>
            <w:noWrap w:val="0"/>
            <w:vAlign w:val="center"/>
          </w:tcPr>
          <w:p>
            <w:pPr>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权利义务</w:t>
            </w:r>
          </w:p>
        </w:tc>
        <w:tc>
          <w:tcPr>
            <w:tcW w:w="5221" w:type="dxa"/>
            <w:noWrap w:val="0"/>
            <w:vAlign w:val="center"/>
          </w:tcPr>
          <w:p>
            <w:pPr>
              <w:snapToGrid w:val="0"/>
              <w:rPr>
                <w:rFonts w:hint="eastAsia" w:ascii="宋体" w:hAnsi="宋体" w:cs="宋体"/>
                <w:color w:val="000000"/>
                <w:szCs w:val="21"/>
                <w:highlight w:val="none"/>
              </w:rPr>
            </w:pPr>
            <w:r>
              <w:rPr>
                <w:rFonts w:hint="eastAsia" w:ascii="宋体" w:hAnsi="宋体" w:cs="宋体"/>
                <w:color w:val="000000"/>
                <w:szCs w:val="21"/>
                <w:highlight w:val="none"/>
              </w:rPr>
              <w:t>符合第二章“投标人须知”第1.11.1项规定和第四章“合同条款及格式”中的实质性要求和条件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trHeight w:val="274" w:hRule="atLeast"/>
          <w:jc w:val="center"/>
        </w:trPr>
        <w:tc>
          <w:tcPr>
            <w:tcW w:w="873" w:type="dxa"/>
            <w:vMerge w:val="continue"/>
            <w:noWrap w:val="0"/>
            <w:vAlign w:val="center"/>
          </w:tcPr>
          <w:p>
            <w:pPr>
              <w:snapToGrid w:val="0"/>
              <w:rPr>
                <w:rFonts w:hint="eastAsia" w:ascii="宋体" w:hAnsi="宋体" w:cs="宋体"/>
                <w:color w:val="000000"/>
                <w:szCs w:val="21"/>
                <w:highlight w:val="none"/>
              </w:rPr>
            </w:pPr>
          </w:p>
        </w:tc>
        <w:tc>
          <w:tcPr>
            <w:tcW w:w="1664" w:type="dxa"/>
            <w:vMerge w:val="continue"/>
            <w:noWrap w:val="0"/>
            <w:vAlign w:val="center"/>
          </w:tcPr>
          <w:p>
            <w:pPr>
              <w:snapToGrid w:val="0"/>
              <w:rPr>
                <w:rFonts w:hint="eastAsia" w:ascii="宋体" w:hAnsi="宋体" w:cs="宋体"/>
                <w:color w:val="000000"/>
                <w:szCs w:val="21"/>
                <w:highlight w:val="none"/>
              </w:rPr>
            </w:pPr>
          </w:p>
        </w:tc>
        <w:tc>
          <w:tcPr>
            <w:tcW w:w="2476" w:type="dxa"/>
            <w:noWrap w:val="0"/>
            <w:vAlign w:val="center"/>
          </w:tcPr>
          <w:p>
            <w:pPr>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投标设备和技术服务和质保期服务</w:t>
            </w:r>
          </w:p>
        </w:tc>
        <w:tc>
          <w:tcPr>
            <w:tcW w:w="5221" w:type="dxa"/>
            <w:noWrap w:val="0"/>
            <w:vAlign w:val="center"/>
          </w:tcPr>
          <w:p>
            <w:pPr>
              <w:snapToGrid w:val="0"/>
              <w:rPr>
                <w:rFonts w:hint="eastAsia" w:ascii="宋体" w:hAnsi="宋体" w:cs="宋体"/>
                <w:color w:val="000000"/>
                <w:szCs w:val="21"/>
                <w:highlight w:val="none"/>
              </w:rPr>
            </w:pPr>
            <w:r>
              <w:rPr>
                <w:rFonts w:hint="eastAsia" w:ascii="宋体" w:hAnsi="宋体" w:cs="宋体"/>
                <w:color w:val="000000"/>
                <w:szCs w:val="21"/>
                <w:highlight w:val="none"/>
              </w:rPr>
              <w:t>符合第五章“供货要求”中的实质性要求和条件。设备整体</w:t>
            </w:r>
            <w:r>
              <w:rPr>
                <w:rFonts w:hint="eastAsia" w:ascii="宋体" w:hAnsi="宋体"/>
                <w:color w:val="000000"/>
                <w:highlight w:val="none"/>
              </w:rPr>
              <w:t>质量保证期不少于1年；</w:t>
            </w:r>
            <w:r>
              <w:rPr>
                <w:rFonts w:hint="eastAsia"/>
                <w:color w:val="000000"/>
                <w:highlight w:val="none"/>
              </w:rPr>
              <w:t>若投标人为代理商，提供了制造商出具的</w:t>
            </w:r>
            <w:r>
              <w:rPr>
                <w:rFonts w:hint="eastAsia" w:ascii="宋体" w:hAnsi="宋体"/>
                <w:color w:val="000000"/>
                <w:highlight w:val="none"/>
              </w:rPr>
              <w:t>质量保证期服务</w:t>
            </w:r>
            <w:r>
              <w:rPr>
                <w:rFonts w:hint="eastAsia"/>
                <w:color w:val="000000"/>
                <w:highlight w:val="none"/>
              </w:rPr>
              <w:t>承诺函并</w:t>
            </w:r>
            <w:r>
              <w:rPr>
                <w:rFonts w:hint="eastAsia" w:ascii="宋体" w:hAnsi="宋体" w:cs="宋体"/>
                <w:color w:val="000000"/>
                <w:highlight w:val="none"/>
              </w:rPr>
              <w:t>按招标文件规定的格式填写了</w:t>
            </w:r>
            <w:r>
              <w:rPr>
                <w:rFonts w:hint="eastAsia" w:ascii="宋体" w:hAnsi="宋体"/>
                <w:color w:val="000000"/>
                <w:highlight w:val="none"/>
              </w:rPr>
              <w:t>质量保证期服务</w:t>
            </w:r>
            <w:r>
              <w:rPr>
                <w:rFonts w:hint="eastAsia" w:ascii="宋体" w:hAnsi="宋体" w:cs="宋体"/>
                <w:color w:val="000000"/>
                <w:highlight w:val="none"/>
              </w:rPr>
              <w:t>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trHeight w:val="467" w:hRule="atLeast"/>
          <w:jc w:val="center"/>
        </w:trPr>
        <w:tc>
          <w:tcPr>
            <w:tcW w:w="873" w:type="dxa"/>
            <w:vMerge w:val="continue"/>
            <w:noWrap w:val="0"/>
            <w:vAlign w:val="center"/>
          </w:tcPr>
          <w:p>
            <w:pPr>
              <w:snapToGrid w:val="0"/>
              <w:rPr>
                <w:rFonts w:hint="eastAsia" w:ascii="宋体" w:hAnsi="宋体" w:cs="宋体"/>
                <w:color w:val="000000"/>
                <w:szCs w:val="21"/>
                <w:highlight w:val="none"/>
              </w:rPr>
            </w:pPr>
          </w:p>
        </w:tc>
        <w:tc>
          <w:tcPr>
            <w:tcW w:w="1664" w:type="dxa"/>
            <w:vMerge w:val="continue"/>
            <w:noWrap w:val="0"/>
            <w:vAlign w:val="center"/>
          </w:tcPr>
          <w:p>
            <w:pPr>
              <w:snapToGrid w:val="0"/>
              <w:rPr>
                <w:rFonts w:hint="eastAsia" w:ascii="宋体" w:hAnsi="宋体" w:cs="宋体"/>
                <w:color w:val="000000"/>
                <w:szCs w:val="21"/>
                <w:highlight w:val="none"/>
              </w:rPr>
            </w:pPr>
          </w:p>
        </w:tc>
        <w:tc>
          <w:tcPr>
            <w:tcW w:w="2476" w:type="dxa"/>
            <w:noWrap w:val="0"/>
            <w:vAlign w:val="center"/>
          </w:tcPr>
          <w:p>
            <w:pPr>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技术支持资料</w:t>
            </w:r>
          </w:p>
        </w:tc>
        <w:tc>
          <w:tcPr>
            <w:tcW w:w="5221" w:type="dxa"/>
            <w:noWrap w:val="0"/>
            <w:vAlign w:val="center"/>
          </w:tcPr>
          <w:p>
            <w:pPr>
              <w:snapToGrid w:val="0"/>
              <w:rPr>
                <w:rFonts w:hint="eastAsia" w:ascii="宋体" w:hAnsi="宋体" w:cs="宋体"/>
                <w:color w:val="000000"/>
                <w:szCs w:val="21"/>
                <w:highlight w:val="none"/>
              </w:rPr>
            </w:pPr>
            <w:r>
              <w:rPr>
                <w:rFonts w:hint="eastAsia" w:ascii="宋体" w:hAnsi="宋体" w:cs="宋体"/>
                <w:color w:val="000000"/>
                <w:szCs w:val="21"/>
                <w:highlight w:val="none"/>
              </w:rPr>
              <w:t>符合第二章“投标人须知”第1.11.3项规定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trHeight w:val="397" w:hRule="atLeast"/>
          <w:jc w:val="center"/>
        </w:trPr>
        <w:tc>
          <w:tcPr>
            <w:tcW w:w="2537" w:type="dxa"/>
            <w:gridSpan w:val="2"/>
            <w:noWrap w:val="0"/>
            <w:vAlign w:val="center"/>
          </w:tcPr>
          <w:p>
            <w:pPr>
              <w:snapToGrid w:val="0"/>
              <w:jc w:val="center"/>
              <w:rPr>
                <w:rFonts w:hint="eastAsia" w:ascii="宋体" w:hAnsi="宋体" w:cs="宋体"/>
                <w:b/>
                <w:color w:val="000000"/>
                <w:szCs w:val="21"/>
                <w:highlight w:val="none"/>
              </w:rPr>
            </w:pPr>
            <w:r>
              <w:rPr>
                <w:rFonts w:hint="eastAsia" w:ascii="宋体" w:hAnsi="宋体" w:cs="宋体"/>
                <w:b/>
                <w:color w:val="000000"/>
                <w:szCs w:val="21"/>
                <w:highlight w:val="none"/>
              </w:rPr>
              <w:t>条款号</w:t>
            </w:r>
          </w:p>
        </w:tc>
        <w:tc>
          <w:tcPr>
            <w:tcW w:w="2476" w:type="dxa"/>
            <w:noWrap w:val="0"/>
            <w:vAlign w:val="center"/>
          </w:tcPr>
          <w:p>
            <w:pPr>
              <w:snapToGrid w:val="0"/>
              <w:jc w:val="center"/>
              <w:rPr>
                <w:rFonts w:hint="eastAsia" w:ascii="宋体" w:hAnsi="宋体" w:cs="宋体"/>
                <w:b/>
                <w:color w:val="000000"/>
                <w:szCs w:val="21"/>
                <w:highlight w:val="none"/>
              </w:rPr>
            </w:pPr>
            <w:r>
              <w:rPr>
                <w:rFonts w:hint="eastAsia" w:ascii="宋体" w:hAnsi="宋体" w:cs="宋体"/>
                <w:b/>
                <w:color w:val="000000"/>
                <w:szCs w:val="21"/>
                <w:highlight w:val="none"/>
              </w:rPr>
              <w:t>条款内容</w:t>
            </w:r>
          </w:p>
        </w:tc>
        <w:tc>
          <w:tcPr>
            <w:tcW w:w="5221" w:type="dxa"/>
            <w:noWrap w:val="0"/>
            <w:vAlign w:val="center"/>
          </w:tcPr>
          <w:p>
            <w:pPr>
              <w:snapToGrid w:val="0"/>
              <w:jc w:val="center"/>
              <w:rPr>
                <w:rFonts w:hint="eastAsia" w:ascii="宋体" w:hAnsi="宋体" w:cs="宋体"/>
                <w:b/>
                <w:color w:val="000000"/>
                <w:szCs w:val="21"/>
                <w:highlight w:val="none"/>
              </w:rPr>
            </w:pPr>
            <w:r>
              <w:rPr>
                <w:rFonts w:hint="eastAsia" w:ascii="宋体" w:hAnsi="宋体" w:cs="宋体"/>
                <w:b/>
                <w:color w:val="000000"/>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trHeight w:val="397" w:hRule="atLeast"/>
          <w:jc w:val="center"/>
        </w:trPr>
        <w:tc>
          <w:tcPr>
            <w:tcW w:w="2537" w:type="dxa"/>
            <w:gridSpan w:val="2"/>
            <w:noWrap w:val="0"/>
            <w:vAlign w:val="center"/>
          </w:tcPr>
          <w:p>
            <w:pPr>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2.2.1</w:t>
            </w:r>
          </w:p>
        </w:tc>
        <w:tc>
          <w:tcPr>
            <w:tcW w:w="2476" w:type="dxa"/>
            <w:noWrap w:val="0"/>
            <w:vAlign w:val="center"/>
          </w:tcPr>
          <w:p>
            <w:pPr>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分值构成</w:t>
            </w:r>
          </w:p>
          <w:p>
            <w:pPr>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(总分100分)</w:t>
            </w:r>
          </w:p>
        </w:tc>
        <w:tc>
          <w:tcPr>
            <w:tcW w:w="5221" w:type="dxa"/>
            <w:noWrap w:val="0"/>
            <w:vAlign w:val="center"/>
          </w:tcPr>
          <w:p>
            <w:pPr>
              <w:snapToGrid w:val="0"/>
              <w:rPr>
                <w:rFonts w:hint="eastAsia" w:ascii="宋体" w:hAnsi="宋体" w:cs="宋体"/>
                <w:color w:val="000000"/>
                <w:szCs w:val="21"/>
                <w:highlight w:val="none"/>
              </w:rPr>
            </w:pPr>
            <w:r>
              <w:rPr>
                <w:rFonts w:hint="eastAsia" w:ascii="宋体" w:hAnsi="宋体" w:cs="宋体"/>
                <w:color w:val="000000"/>
                <w:szCs w:val="21"/>
                <w:highlight w:val="none"/>
              </w:rPr>
              <w:t>商务部分：15 分</w:t>
            </w:r>
          </w:p>
          <w:p>
            <w:pPr>
              <w:snapToGrid w:val="0"/>
              <w:rPr>
                <w:rFonts w:hint="eastAsia" w:ascii="宋体" w:hAnsi="宋体" w:cs="宋体"/>
                <w:color w:val="000000"/>
                <w:szCs w:val="21"/>
                <w:highlight w:val="none"/>
              </w:rPr>
            </w:pPr>
            <w:r>
              <w:rPr>
                <w:rFonts w:hint="eastAsia" w:ascii="宋体" w:hAnsi="宋体" w:cs="宋体"/>
                <w:color w:val="000000"/>
                <w:szCs w:val="21"/>
                <w:highlight w:val="none"/>
              </w:rPr>
              <w:t>技术部分：55 分</w:t>
            </w:r>
          </w:p>
          <w:p>
            <w:pPr>
              <w:snapToGrid w:val="0"/>
              <w:rPr>
                <w:rFonts w:hint="eastAsia" w:ascii="宋体" w:hAnsi="宋体" w:cs="宋体"/>
                <w:color w:val="000000"/>
                <w:szCs w:val="21"/>
                <w:highlight w:val="none"/>
              </w:rPr>
            </w:pPr>
            <w:r>
              <w:rPr>
                <w:rFonts w:hint="eastAsia" w:ascii="宋体" w:hAnsi="宋体" w:cs="宋体"/>
                <w:color w:val="000000"/>
                <w:szCs w:val="21"/>
                <w:highlight w:val="none"/>
              </w:rPr>
              <w:t>投标报价：30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trHeight w:val="397" w:hRule="atLeast"/>
          <w:jc w:val="center"/>
        </w:trPr>
        <w:tc>
          <w:tcPr>
            <w:tcW w:w="2537" w:type="dxa"/>
            <w:gridSpan w:val="2"/>
            <w:noWrap w:val="0"/>
            <w:vAlign w:val="center"/>
          </w:tcPr>
          <w:p>
            <w:pPr>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2.2.2</w:t>
            </w:r>
          </w:p>
        </w:tc>
        <w:tc>
          <w:tcPr>
            <w:tcW w:w="2476" w:type="dxa"/>
            <w:noWrap w:val="0"/>
            <w:vAlign w:val="center"/>
          </w:tcPr>
          <w:p>
            <w:pPr>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评标基准价计算方法</w:t>
            </w:r>
          </w:p>
        </w:tc>
        <w:tc>
          <w:tcPr>
            <w:tcW w:w="5221" w:type="dxa"/>
            <w:noWrap w:val="0"/>
            <w:vAlign w:val="center"/>
          </w:tcPr>
          <w:p>
            <w:pPr>
              <w:snapToGrid w:val="0"/>
              <w:rPr>
                <w:rFonts w:hint="eastAsia" w:ascii="宋体" w:hAnsi="宋体" w:cs="宋体"/>
                <w:color w:val="000000"/>
                <w:szCs w:val="21"/>
                <w:highlight w:val="none"/>
              </w:rPr>
            </w:pPr>
            <w:r>
              <w:rPr>
                <w:rFonts w:hint="eastAsia" w:ascii="宋体" w:hAnsi="宋体" w:cs="宋体"/>
                <w:color w:val="000000"/>
                <w:szCs w:val="21"/>
                <w:highlight w:val="none"/>
              </w:rPr>
              <w:t>评标基准价的计算：</w:t>
            </w:r>
          </w:p>
          <w:p>
            <w:pPr>
              <w:snapToGrid w:val="0"/>
              <w:rPr>
                <w:rFonts w:ascii="宋体" w:hAnsi="宋体" w:cs="宋体"/>
                <w:color w:val="000000"/>
                <w:szCs w:val="21"/>
                <w:highlight w:val="none"/>
              </w:rPr>
            </w:pPr>
            <w:r>
              <w:rPr>
                <w:rFonts w:hint="eastAsia" w:ascii="宋体" w:hAnsi="宋体" w:cs="宋体"/>
                <w:color w:val="000000"/>
                <w:szCs w:val="21"/>
                <w:highlight w:val="none"/>
              </w:rPr>
              <w:t>（1）评标价的确定：</w:t>
            </w:r>
          </w:p>
          <w:p>
            <w:pPr>
              <w:snapToGrid w:val="0"/>
              <w:rPr>
                <w:rFonts w:ascii="宋体" w:hAnsi="宋体" w:cs="宋体"/>
                <w:color w:val="000000"/>
                <w:szCs w:val="21"/>
                <w:highlight w:val="none"/>
              </w:rPr>
            </w:pPr>
            <w:r>
              <w:rPr>
                <w:rFonts w:hint="eastAsia" w:ascii="宋体" w:hAnsi="宋体" w:cs="宋体"/>
                <w:color w:val="000000"/>
                <w:szCs w:val="21"/>
                <w:highlight w:val="none"/>
              </w:rPr>
              <w:t>评标价=投标函文字报价</w:t>
            </w:r>
          </w:p>
          <w:p>
            <w:pPr>
              <w:snapToGrid w:val="0"/>
              <w:rPr>
                <w:rFonts w:hint="eastAsia" w:ascii="宋体" w:hAnsi="宋体" w:cs="宋体"/>
                <w:color w:val="000000"/>
                <w:szCs w:val="21"/>
                <w:highlight w:val="none"/>
              </w:rPr>
            </w:pPr>
            <w:r>
              <w:rPr>
                <w:rFonts w:hint="eastAsia" w:ascii="宋体" w:hAnsi="宋体" w:cs="宋体"/>
                <w:color w:val="000000"/>
                <w:szCs w:val="21"/>
                <w:highlight w:val="none"/>
              </w:rPr>
              <w:t>（2）评标价平均值的确定：</w:t>
            </w:r>
          </w:p>
          <w:p>
            <w:pPr>
              <w:snapToGrid w:val="0"/>
              <w:rPr>
                <w:rFonts w:ascii="宋体" w:hAnsi="宋体" w:cs="宋体"/>
                <w:color w:val="000000"/>
                <w:szCs w:val="21"/>
                <w:highlight w:val="none"/>
              </w:rPr>
            </w:pPr>
            <w:r>
              <w:rPr>
                <w:rFonts w:hint="eastAsia" w:ascii="宋体" w:hAnsi="宋体" w:cs="宋体"/>
                <w:color w:val="000000"/>
                <w:szCs w:val="21"/>
                <w:highlight w:val="none"/>
              </w:rPr>
              <w:t>以所有通过初步评审的投标人评标价去掉一个最高值和一个最低值后的算术平均值即为评标价平均值（如果通过初步评审的投标人数量少于5家时，则计算评标价平均值时不去掉最高值和最低值）。</w:t>
            </w:r>
          </w:p>
          <w:p>
            <w:pPr>
              <w:snapToGrid w:val="0"/>
              <w:rPr>
                <w:rFonts w:ascii="宋体" w:hAnsi="宋体" w:cs="宋体"/>
                <w:color w:val="000000"/>
                <w:szCs w:val="21"/>
                <w:highlight w:val="none"/>
              </w:rPr>
            </w:pPr>
            <w:r>
              <w:rPr>
                <w:rFonts w:hint="eastAsia" w:ascii="宋体" w:hAnsi="宋体" w:cs="宋体"/>
                <w:color w:val="000000"/>
                <w:szCs w:val="21"/>
                <w:highlight w:val="none"/>
              </w:rPr>
              <w:t>（3）评标基准价的确定：</w:t>
            </w:r>
          </w:p>
          <w:p>
            <w:pPr>
              <w:snapToGrid w:val="0"/>
              <w:rPr>
                <w:rFonts w:hint="eastAsia" w:ascii="宋体" w:hAnsi="宋体" w:cs="宋体"/>
                <w:color w:val="000000"/>
                <w:szCs w:val="21"/>
                <w:highlight w:val="none"/>
              </w:rPr>
            </w:pPr>
            <w:r>
              <w:rPr>
                <w:rFonts w:hint="eastAsia" w:ascii="宋体" w:hAnsi="宋体" w:cs="宋体"/>
                <w:color w:val="000000"/>
                <w:szCs w:val="21"/>
                <w:highlight w:val="none"/>
              </w:rPr>
              <w:t>将评标价平均值直接作为评标基准价。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trHeight w:val="1026" w:hRule="atLeast"/>
          <w:jc w:val="center"/>
        </w:trPr>
        <w:tc>
          <w:tcPr>
            <w:tcW w:w="2537" w:type="dxa"/>
            <w:gridSpan w:val="2"/>
            <w:noWrap w:val="0"/>
            <w:vAlign w:val="center"/>
          </w:tcPr>
          <w:p>
            <w:pPr>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2.2.3</w:t>
            </w:r>
          </w:p>
        </w:tc>
        <w:tc>
          <w:tcPr>
            <w:tcW w:w="2476" w:type="dxa"/>
            <w:noWrap w:val="0"/>
            <w:vAlign w:val="center"/>
          </w:tcPr>
          <w:p>
            <w:pPr>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投标报价的偏差率</w:t>
            </w:r>
          </w:p>
          <w:p>
            <w:pPr>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计算公式</w:t>
            </w:r>
          </w:p>
        </w:tc>
        <w:tc>
          <w:tcPr>
            <w:tcW w:w="5221" w:type="dxa"/>
            <w:noWrap w:val="0"/>
            <w:vAlign w:val="center"/>
          </w:tcPr>
          <w:p>
            <w:pPr>
              <w:spacing w:line="320" w:lineRule="exact"/>
              <w:jc w:val="left"/>
              <w:rPr>
                <w:rFonts w:hint="eastAsia" w:ascii="宋体" w:hAnsi="宋体"/>
                <w:color w:val="000000"/>
                <w:szCs w:val="21"/>
                <w:highlight w:val="none"/>
              </w:rPr>
            </w:pPr>
            <w:r>
              <w:rPr>
                <w:rFonts w:hint="eastAsia" w:ascii="宋体" w:hAnsi="宋体"/>
                <w:color w:val="000000"/>
                <w:szCs w:val="21"/>
                <w:highlight w:val="none"/>
              </w:rPr>
              <w:t>偏差率=100%×（投标人评标价-评标基准价）/评标基准价</w:t>
            </w:r>
          </w:p>
          <w:p>
            <w:pPr>
              <w:snapToGrid w:val="0"/>
              <w:rPr>
                <w:rFonts w:hint="eastAsia" w:ascii="宋体" w:hAnsi="宋体" w:cs="宋体"/>
                <w:color w:val="000000"/>
                <w:szCs w:val="21"/>
                <w:highlight w:val="none"/>
              </w:rPr>
            </w:pPr>
            <w:r>
              <w:rPr>
                <w:rFonts w:hint="eastAsia" w:ascii="宋体" w:hAnsi="宋体"/>
                <w:color w:val="000000"/>
                <w:szCs w:val="21"/>
                <w:highlight w:val="none"/>
              </w:rPr>
              <w:t>偏差率保留2位小数，例如：**.**%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2537" w:type="dxa"/>
            <w:gridSpan w:val="2"/>
            <w:tcBorders>
              <w:top w:val="single" w:color="auto" w:sz="4" w:space="0"/>
              <w:bottom w:val="single" w:color="auto" w:sz="4" w:space="0"/>
              <w:right w:val="single" w:color="auto" w:sz="4" w:space="0"/>
            </w:tcBorders>
            <w:noWrap w:val="0"/>
            <w:vAlign w:val="center"/>
          </w:tcPr>
          <w:p>
            <w:pPr>
              <w:snapToGrid w:val="0"/>
              <w:jc w:val="center"/>
              <w:rPr>
                <w:rFonts w:hint="eastAsia" w:ascii="宋体" w:hAnsi="宋体" w:cs="宋体"/>
                <w:b/>
                <w:color w:val="000000"/>
                <w:szCs w:val="21"/>
                <w:highlight w:val="none"/>
              </w:rPr>
            </w:pPr>
            <w:r>
              <w:rPr>
                <w:rFonts w:hint="eastAsia" w:ascii="宋体" w:hAnsi="宋体" w:cs="宋体"/>
                <w:b/>
                <w:color w:val="000000"/>
                <w:szCs w:val="21"/>
                <w:highlight w:val="none"/>
              </w:rPr>
              <w:t>条款号</w:t>
            </w:r>
          </w:p>
        </w:tc>
        <w:tc>
          <w:tcPr>
            <w:tcW w:w="247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b/>
                <w:color w:val="000000"/>
                <w:szCs w:val="21"/>
                <w:highlight w:val="none"/>
              </w:rPr>
            </w:pPr>
            <w:r>
              <w:rPr>
                <w:rFonts w:hint="eastAsia" w:ascii="宋体" w:hAnsi="宋体" w:cs="宋体"/>
                <w:b/>
                <w:color w:val="000000"/>
                <w:szCs w:val="21"/>
                <w:highlight w:val="none"/>
              </w:rPr>
              <w:t>评分因素</w:t>
            </w:r>
            <w:r>
              <w:rPr>
                <w:rStyle w:val="15"/>
                <w:rFonts w:ascii="宋体" w:hAnsi="宋体"/>
                <w:b/>
                <w:color w:val="000000"/>
                <w:sz w:val="24"/>
                <w:highlight w:val="none"/>
              </w:rPr>
              <w:footnoteReference w:id="0"/>
            </w:r>
          </w:p>
        </w:tc>
        <w:tc>
          <w:tcPr>
            <w:tcW w:w="523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b/>
                <w:color w:val="000000"/>
                <w:szCs w:val="21"/>
                <w:highlight w:val="none"/>
              </w:rPr>
            </w:pPr>
            <w:r>
              <w:rPr>
                <w:rFonts w:hint="eastAsia" w:ascii="宋体" w:hAnsi="宋体" w:cs="宋体"/>
                <w:b/>
                <w:color w:val="000000"/>
                <w:szCs w:val="21"/>
                <w:highlight w:val="none"/>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32" w:hRule="atLeast"/>
          <w:jc w:val="center"/>
        </w:trPr>
        <w:tc>
          <w:tcPr>
            <w:tcW w:w="873" w:type="dxa"/>
            <w:tcBorders>
              <w:top w:val="single" w:color="auto" w:sz="4" w:space="0"/>
              <w:right w:val="single" w:color="auto" w:sz="4" w:space="0"/>
            </w:tcBorders>
            <w:noWrap w:val="0"/>
            <w:vAlign w:val="center"/>
          </w:tcPr>
          <w:p>
            <w:pPr>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2.2.4（1）</w:t>
            </w:r>
          </w:p>
        </w:tc>
        <w:tc>
          <w:tcPr>
            <w:tcW w:w="1664" w:type="dxa"/>
            <w:tcBorders>
              <w:top w:val="single" w:color="auto" w:sz="4" w:space="0"/>
              <w:right w:val="single" w:color="auto" w:sz="4" w:space="0"/>
            </w:tcBorders>
            <w:noWrap w:val="0"/>
            <w:vAlign w:val="center"/>
          </w:tcPr>
          <w:p>
            <w:pPr>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商务评分标准（15分）</w:t>
            </w:r>
          </w:p>
        </w:tc>
        <w:tc>
          <w:tcPr>
            <w:tcW w:w="2476" w:type="dxa"/>
            <w:tcBorders>
              <w:top w:val="single" w:color="auto" w:sz="4" w:space="0"/>
              <w:left w:val="single" w:color="auto" w:sz="4" w:space="0"/>
              <w:right w:val="single" w:color="auto" w:sz="4" w:space="0"/>
            </w:tcBorders>
            <w:noWrap w:val="0"/>
            <w:vAlign w:val="center"/>
          </w:tcPr>
          <w:p>
            <w:pPr>
              <w:spacing w:before="56"/>
              <w:ind w:left="-4" w:leftChars="-2" w:right="-20" w:firstLine="33" w:firstLineChars="16"/>
              <w:jc w:val="center"/>
              <w:rPr>
                <w:rFonts w:hint="eastAsia" w:ascii="宋体" w:hAnsi="宋体" w:cs="宋体"/>
                <w:color w:val="000000"/>
                <w:szCs w:val="21"/>
                <w:highlight w:val="none"/>
              </w:rPr>
            </w:pPr>
            <w:r>
              <w:rPr>
                <w:rFonts w:hint="eastAsia" w:ascii="宋体" w:hAnsi="宋体" w:cs="宋体"/>
                <w:color w:val="000000"/>
                <w:szCs w:val="21"/>
                <w:highlight w:val="none"/>
              </w:rPr>
              <w:t>投标设备的市场评价</w:t>
            </w:r>
          </w:p>
          <w:p>
            <w:pPr>
              <w:spacing w:before="56"/>
              <w:ind w:left="-4" w:leftChars="-2" w:right="-20" w:firstLine="33" w:firstLineChars="16"/>
              <w:jc w:val="center"/>
              <w:rPr>
                <w:rFonts w:hint="eastAsia" w:ascii="宋体" w:hAnsi="宋体" w:cs="宋体"/>
                <w:color w:val="000000"/>
                <w:szCs w:val="21"/>
                <w:highlight w:val="none"/>
              </w:rPr>
            </w:pPr>
            <w:r>
              <w:rPr>
                <w:rFonts w:hint="eastAsia" w:ascii="宋体" w:hAnsi="宋体" w:cs="宋体"/>
                <w:color w:val="000000"/>
                <w:szCs w:val="21"/>
                <w:highlight w:val="none"/>
              </w:rPr>
              <w:t>（15分）</w:t>
            </w:r>
          </w:p>
        </w:tc>
        <w:tc>
          <w:tcPr>
            <w:tcW w:w="5237"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color w:val="000000"/>
                <w:kern w:val="0"/>
                <w:szCs w:val="21"/>
                <w:highlight w:val="none"/>
              </w:rPr>
            </w:pPr>
            <w:r>
              <w:rPr>
                <w:rFonts w:hint="eastAsia" w:ascii="宋体" w:hAnsi="宋体" w:cs="宋体"/>
                <w:color w:val="000000"/>
                <w:highlight w:val="none"/>
              </w:rPr>
              <w:t>市场评价一般得9分，市场评价较好得10～12分，市场评价优良得13～15分。</w:t>
            </w:r>
          </w:p>
        </w:tc>
        <w:bookmarkStart w:id="18" w:name="_Toc300835007"/>
        <w:bookmarkStart w:id="19" w:name="_Toc384308271"/>
        <w:bookmarkStart w:id="20" w:name="_Toc369531576"/>
        <w:bookmarkStart w:id="21" w:name="_Toc361508645"/>
        <w:bookmarkStart w:id="22" w:name="_Toc144974553"/>
        <w:bookmarkStart w:id="23" w:name="_Toc12369"/>
        <w:bookmarkStart w:id="24" w:name="_Toc247527611"/>
        <w:bookmarkStart w:id="25" w:name="_Toc152042363"/>
        <w:bookmarkStart w:id="26" w:name="_Toc247514010"/>
        <w:bookmarkStart w:id="27" w:name="_Toc152045586"/>
        <w:bookmarkStart w:id="28" w:name="_Toc352691532"/>
      </w:tr>
      <w:bookmarkEnd w:id="18"/>
      <w:bookmarkEnd w:id="19"/>
      <w:bookmarkEnd w:id="20"/>
      <w:bookmarkEnd w:id="21"/>
      <w:bookmarkEnd w:id="22"/>
      <w:bookmarkEnd w:id="23"/>
      <w:bookmarkEnd w:id="24"/>
      <w:bookmarkEnd w:id="25"/>
      <w:bookmarkEnd w:id="26"/>
      <w:bookmarkEnd w:id="27"/>
      <w:bookmarkEnd w:id="28"/>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83" w:hRule="atLeast"/>
          <w:jc w:val="center"/>
        </w:trPr>
        <w:tc>
          <w:tcPr>
            <w:tcW w:w="873" w:type="dxa"/>
            <w:vMerge w:val="restart"/>
            <w:tcBorders>
              <w:top w:val="single" w:color="000000" w:sz="4" w:space="0"/>
              <w:right w:val="single" w:color="auto" w:sz="4" w:space="0"/>
            </w:tcBorders>
            <w:noWrap w:val="0"/>
            <w:vAlign w:val="center"/>
          </w:tcPr>
          <w:p>
            <w:pPr>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2.2.4（2）</w:t>
            </w:r>
          </w:p>
        </w:tc>
        <w:tc>
          <w:tcPr>
            <w:tcW w:w="1664" w:type="dxa"/>
            <w:vMerge w:val="restart"/>
            <w:tcBorders>
              <w:top w:val="single" w:color="000000" w:sz="4" w:space="0"/>
              <w:right w:val="single" w:color="auto" w:sz="4" w:space="0"/>
            </w:tcBorders>
            <w:noWrap w:val="0"/>
            <w:vAlign w:val="center"/>
          </w:tcPr>
          <w:p>
            <w:pPr>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技术评分标准（55分）</w:t>
            </w:r>
          </w:p>
        </w:tc>
        <w:tc>
          <w:tcPr>
            <w:tcW w:w="2476" w:type="dxa"/>
            <w:tcBorders>
              <w:top w:val="single" w:color="auto" w:sz="4" w:space="0"/>
              <w:left w:val="single" w:color="auto" w:sz="4" w:space="0"/>
              <w:right w:val="single" w:color="auto" w:sz="4" w:space="0"/>
            </w:tcBorders>
            <w:noWrap w:val="0"/>
            <w:vAlign w:val="center"/>
          </w:tcPr>
          <w:p>
            <w:pPr>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对投标设备的</w:t>
            </w:r>
          </w:p>
          <w:p>
            <w:pPr>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技术质量评价</w:t>
            </w:r>
          </w:p>
          <w:p>
            <w:pPr>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（15分）</w:t>
            </w:r>
          </w:p>
        </w:tc>
        <w:tc>
          <w:tcPr>
            <w:tcW w:w="523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cs="宋体"/>
                <w:color w:val="000000"/>
                <w:kern w:val="0"/>
                <w:szCs w:val="21"/>
                <w:highlight w:val="none"/>
              </w:rPr>
            </w:pPr>
            <w:r>
              <w:rPr>
                <w:rFonts w:hint="eastAsia" w:ascii="宋体" w:hAnsi="宋体" w:cs="宋体"/>
                <w:color w:val="000000"/>
                <w:kern w:val="0"/>
                <w:szCs w:val="21"/>
                <w:highlight w:val="none"/>
              </w:rPr>
              <w:t>能够满足本次招标设备用途的，得9分，能够较好满足本次招标设备用途的，得10</w:t>
            </w:r>
            <w:r>
              <w:rPr>
                <w:rFonts w:hint="eastAsia" w:ascii="宋体" w:hAnsi="宋体" w:cs="宋体"/>
                <w:color w:val="000000"/>
                <w:highlight w:val="none"/>
              </w:rPr>
              <w:t>～12</w:t>
            </w:r>
            <w:r>
              <w:rPr>
                <w:rFonts w:hint="eastAsia" w:ascii="宋体" w:hAnsi="宋体" w:cs="宋体"/>
                <w:color w:val="000000"/>
                <w:kern w:val="0"/>
                <w:szCs w:val="21"/>
                <w:highlight w:val="none"/>
              </w:rPr>
              <w:t>分，能够充分满足本次招标设备用途的，得13</w:t>
            </w:r>
            <w:r>
              <w:rPr>
                <w:rFonts w:hint="eastAsia" w:ascii="宋体" w:hAnsi="宋体" w:cs="宋体"/>
                <w:color w:val="000000"/>
                <w:highlight w:val="none"/>
              </w:rPr>
              <w:t>～15</w:t>
            </w:r>
            <w:r>
              <w:rPr>
                <w:rFonts w:hint="eastAsia" w:ascii="宋体" w:hAnsi="宋体" w:cs="宋体"/>
                <w:color w:val="000000"/>
                <w:kern w:val="0"/>
                <w:szCs w:val="21"/>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26" w:hRule="atLeast"/>
          <w:jc w:val="center"/>
        </w:trPr>
        <w:tc>
          <w:tcPr>
            <w:tcW w:w="873" w:type="dxa"/>
            <w:vMerge w:val="continue"/>
            <w:tcBorders>
              <w:right w:val="single" w:color="auto" w:sz="4" w:space="0"/>
            </w:tcBorders>
            <w:noWrap w:val="0"/>
            <w:vAlign w:val="center"/>
          </w:tcPr>
          <w:p>
            <w:pPr>
              <w:snapToGrid w:val="0"/>
              <w:jc w:val="center"/>
              <w:rPr>
                <w:rFonts w:hint="eastAsia" w:ascii="宋体" w:hAnsi="宋体" w:cs="宋体"/>
                <w:color w:val="000000"/>
                <w:szCs w:val="21"/>
                <w:highlight w:val="none"/>
              </w:rPr>
            </w:pPr>
          </w:p>
        </w:tc>
        <w:tc>
          <w:tcPr>
            <w:tcW w:w="1664" w:type="dxa"/>
            <w:vMerge w:val="continue"/>
            <w:tcBorders>
              <w:right w:val="single" w:color="auto" w:sz="4" w:space="0"/>
            </w:tcBorders>
            <w:noWrap w:val="0"/>
            <w:vAlign w:val="center"/>
          </w:tcPr>
          <w:p>
            <w:pPr>
              <w:snapToGrid w:val="0"/>
              <w:jc w:val="center"/>
              <w:rPr>
                <w:rFonts w:hint="eastAsia" w:ascii="宋体" w:hAnsi="宋体" w:cs="宋体"/>
                <w:color w:val="000000"/>
                <w:szCs w:val="21"/>
                <w:highlight w:val="none"/>
              </w:rPr>
            </w:pPr>
          </w:p>
        </w:tc>
        <w:tc>
          <w:tcPr>
            <w:tcW w:w="2476" w:type="dxa"/>
            <w:tcBorders>
              <w:top w:val="single" w:color="auto" w:sz="4" w:space="0"/>
              <w:left w:val="single" w:color="auto" w:sz="4" w:space="0"/>
              <w:right w:val="single" w:color="auto" w:sz="4" w:space="0"/>
            </w:tcBorders>
            <w:noWrap w:val="0"/>
            <w:vAlign w:val="center"/>
          </w:tcPr>
          <w:p>
            <w:pPr>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对投标设备的</w:t>
            </w:r>
          </w:p>
          <w:p>
            <w:pPr>
              <w:snapToGrid w:val="0"/>
              <w:jc w:val="center"/>
              <w:rPr>
                <w:rFonts w:ascii="宋体" w:hAnsi="宋体" w:cs="宋体"/>
                <w:color w:val="000000"/>
                <w:szCs w:val="21"/>
                <w:highlight w:val="none"/>
              </w:rPr>
            </w:pPr>
            <w:r>
              <w:rPr>
                <w:rFonts w:hint="eastAsia" w:ascii="宋体" w:hAnsi="宋体" w:cs="宋体"/>
                <w:color w:val="000000"/>
                <w:szCs w:val="21"/>
                <w:highlight w:val="none"/>
              </w:rPr>
              <w:t>经济耐久性评价（20分）</w:t>
            </w:r>
          </w:p>
        </w:tc>
        <w:tc>
          <w:tcPr>
            <w:tcW w:w="523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color w:val="000000"/>
                <w:kern w:val="0"/>
                <w:szCs w:val="21"/>
                <w:highlight w:val="none"/>
              </w:rPr>
            </w:pPr>
            <w:r>
              <w:rPr>
                <w:rFonts w:hint="eastAsia" w:ascii="宋体" w:hAnsi="宋体" w:cs="宋体"/>
                <w:color w:val="000000"/>
                <w:kern w:val="0"/>
                <w:szCs w:val="21"/>
                <w:highlight w:val="none"/>
              </w:rPr>
              <w:t>对设备的使用经济性和使用</w:t>
            </w:r>
            <w:r>
              <w:rPr>
                <w:rFonts w:hint="eastAsia" w:ascii="宋体" w:hAnsi="宋体" w:cs="宋体"/>
                <w:color w:val="000000"/>
                <w:szCs w:val="21"/>
                <w:highlight w:val="none"/>
              </w:rPr>
              <w:t>耐久</w:t>
            </w:r>
            <w:r>
              <w:rPr>
                <w:rFonts w:hint="eastAsia" w:ascii="宋体" w:hAnsi="宋体" w:cs="宋体"/>
                <w:color w:val="000000"/>
                <w:kern w:val="0"/>
                <w:szCs w:val="21"/>
                <w:highlight w:val="none"/>
              </w:rPr>
              <w:t>性进行评价，一般得12分，较好得13-16分，满意得17-20分。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77" w:hRule="atLeast"/>
          <w:jc w:val="center"/>
        </w:trPr>
        <w:tc>
          <w:tcPr>
            <w:tcW w:w="873" w:type="dxa"/>
            <w:vMerge w:val="continue"/>
            <w:tcBorders>
              <w:right w:val="single" w:color="auto" w:sz="4" w:space="0"/>
            </w:tcBorders>
            <w:noWrap w:val="0"/>
            <w:vAlign w:val="center"/>
          </w:tcPr>
          <w:p>
            <w:pPr>
              <w:snapToGrid w:val="0"/>
              <w:jc w:val="center"/>
              <w:rPr>
                <w:rFonts w:hint="eastAsia" w:ascii="宋体" w:hAnsi="宋体" w:cs="宋体"/>
                <w:color w:val="000000"/>
                <w:szCs w:val="21"/>
                <w:highlight w:val="none"/>
              </w:rPr>
            </w:pPr>
          </w:p>
        </w:tc>
        <w:tc>
          <w:tcPr>
            <w:tcW w:w="1664" w:type="dxa"/>
            <w:vMerge w:val="continue"/>
            <w:tcBorders>
              <w:right w:val="single" w:color="auto" w:sz="4" w:space="0"/>
            </w:tcBorders>
            <w:noWrap w:val="0"/>
            <w:vAlign w:val="center"/>
          </w:tcPr>
          <w:p>
            <w:pPr>
              <w:snapToGrid w:val="0"/>
              <w:jc w:val="center"/>
              <w:rPr>
                <w:rFonts w:hint="eastAsia" w:ascii="宋体" w:hAnsi="宋体" w:cs="宋体"/>
                <w:color w:val="000000"/>
                <w:szCs w:val="21"/>
                <w:highlight w:val="none"/>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000000"/>
                <w:szCs w:val="21"/>
                <w:highlight w:val="none"/>
              </w:rPr>
            </w:pPr>
            <w:r>
              <w:rPr>
                <w:rFonts w:hint="eastAsia" w:ascii="宋体" w:hAnsi="宋体" w:cs="宋体"/>
                <w:color w:val="000000"/>
                <w:highlight w:val="none"/>
              </w:rPr>
              <w:t>对投标人技术服务和质保期服务能力的评价</w:t>
            </w:r>
            <w:r>
              <w:rPr>
                <w:rFonts w:hint="eastAsia" w:ascii="宋体" w:hAnsi="宋体" w:cs="宋体"/>
                <w:color w:val="000000"/>
                <w:szCs w:val="21"/>
                <w:highlight w:val="none"/>
              </w:rPr>
              <w:t>（15分）</w:t>
            </w:r>
          </w:p>
        </w:tc>
        <w:tc>
          <w:tcPr>
            <w:tcW w:w="523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cs="宋体"/>
                <w:color w:val="000000"/>
                <w:kern w:val="0"/>
                <w:szCs w:val="21"/>
                <w:highlight w:val="none"/>
              </w:rPr>
            </w:pPr>
            <w:r>
              <w:rPr>
                <w:rFonts w:hint="eastAsia" w:ascii="宋体" w:hAnsi="宋体" w:cs="宋体"/>
                <w:color w:val="000000"/>
                <w:kern w:val="0"/>
                <w:szCs w:val="21"/>
                <w:highlight w:val="none"/>
              </w:rPr>
              <w:t>售后服务体系良好、售后服务计划合理可行得9分，针对本项目售后服务措施考虑周全、售后服务及时且可行的予以加分，最多加6分。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12" w:hRule="atLeast"/>
          <w:jc w:val="center"/>
        </w:trPr>
        <w:tc>
          <w:tcPr>
            <w:tcW w:w="873" w:type="dxa"/>
            <w:vMerge w:val="continue"/>
            <w:tcBorders>
              <w:right w:val="single" w:color="auto" w:sz="4" w:space="0"/>
            </w:tcBorders>
            <w:noWrap w:val="0"/>
            <w:vAlign w:val="center"/>
          </w:tcPr>
          <w:p>
            <w:pPr>
              <w:snapToGrid w:val="0"/>
              <w:jc w:val="center"/>
              <w:rPr>
                <w:rFonts w:hint="eastAsia" w:ascii="宋体" w:hAnsi="宋体" w:cs="宋体"/>
                <w:color w:val="000000"/>
                <w:szCs w:val="21"/>
                <w:highlight w:val="none"/>
              </w:rPr>
            </w:pPr>
          </w:p>
        </w:tc>
        <w:tc>
          <w:tcPr>
            <w:tcW w:w="1664" w:type="dxa"/>
            <w:vMerge w:val="continue"/>
            <w:tcBorders>
              <w:right w:val="single" w:color="auto" w:sz="4" w:space="0"/>
            </w:tcBorders>
            <w:noWrap w:val="0"/>
            <w:vAlign w:val="center"/>
          </w:tcPr>
          <w:p>
            <w:pPr>
              <w:snapToGrid w:val="0"/>
              <w:jc w:val="center"/>
              <w:rPr>
                <w:rFonts w:hint="eastAsia" w:ascii="宋体" w:hAnsi="宋体" w:cs="宋体"/>
                <w:color w:val="000000"/>
                <w:szCs w:val="21"/>
                <w:highlight w:val="none"/>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000000"/>
                <w:szCs w:val="21"/>
                <w:highlight w:val="none"/>
              </w:rPr>
            </w:pPr>
            <w:r>
              <w:rPr>
                <w:rFonts w:hint="eastAsia" w:ascii="宋体" w:hAnsi="宋体" w:cs="宋体"/>
                <w:color w:val="000000"/>
                <w:kern w:val="0"/>
                <w:szCs w:val="21"/>
                <w:highlight w:val="none"/>
              </w:rPr>
              <w:t>质量保证期（5分）</w:t>
            </w:r>
          </w:p>
        </w:tc>
        <w:tc>
          <w:tcPr>
            <w:tcW w:w="523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cs="宋体"/>
                <w:color w:val="000000"/>
                <w:kern w:val="0"/>
                <w:szCs w:val="21"/>
                <w:highlight w:val="none"/>
              </w:rPr>
            </w:pPr>
            <w:r>
              <w:rPr>
                <w:rFonts w:hint="eastAsia" w:ascii="宋体" w:hAnsi="宋体" w:cs="宋体"/>
                <w:color w:val="000000"/>
                <w:kern w:val="0"/>
                <w:szCs w:val="21"/>
                <w:highlight w:val="none"/>
              </w:rPr>
              <w:t>质量保证期1年得3分，每增加1年加0.5分，最高得5分</w:t>
            </w:r>
          </w:p>
          <w:p>
            <w:pPr>
              <w:snapToGrid w:val="0"/>
              <w:rPr>
                <w:rFonts w:ascii="宋体" w:hAnsi="宋体" w:cs="宋体"/>
                <w:color w:val="000000"/>
                <w:kern w:val="0"/>
                <w:szCs w:val="21"/>
                <w:highlight w:val="none"/>
              </w:rPr>
            </w:pPr>
            <w:r>
              <w:rPr>
                <w:rFonts w:hint="eastAsia" w:ascii="楷体" w:hAnsi="楷体" w:eastAsia="楷体" w:cs="楷体"/>
                <w:color w:val="000000"/>
                <w:kern w:val="0"/>
                <w:szCs w:val="21"/>
                <w:highlight w:val="none"/>
              </w:rPr>
              <w:t>注：</w:t>
            </w:r>
            <w:r>
              <w:rPr>
                <w:rFonts w:hint="eastAsia" w:ascii="楷体" w:hAnsi="楷体" w:eastAsia="楷体"/>
                <w:color w:val="000000"/>
                <w:highlight w:val="none"/>
              </w:rPr>
              <w:t>若投标人为代理商，质量保证期以制造商出具的承诺函为准；若投标人为制造商，质量保证期以投标函中填报的时间为准。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873" w:type="dxa"/>
            <w:tcBorders>
              <w:top w:val="single" w:color="auto" w:sz="4" w:space="0"/>
              <w:left w:val="single" w:color="auto" w:sz="4" w:space="0"/>
              <w:right w:val="single" w:color="auto" w:sz="4" w:space="0"/>
            </w:tcBorders>
            <w:noWrap w:val="0"/>
            <w:vAlign w:val="center"/>
          </w:tcPr>
          <w:p>
            <w:pPr>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2.2.4（3）</w:t>
            </w:r>
          </w:p>
        </w:tc>
        <w:tc>
          <w:tcPr>
            <w:tcW w:w="1664" w:type="dxa"/>
            <w:tcBorders>
              <w:top w:val="single" w:color="auto" w:sz="4" w:space="0"/>
              <w:left w:val="single" w:color="auto" w:sz="4" w:space="0"/>
              <w:right w:val="single" w:color="auto" w:sz="4" w:space="0"/>
            </w:tcBorders>
            <w:noWrap w:val="0"/>
            <w:vAlign w:val="center"/>
          </w:tcPr>
          <w:p>
            <w:pPr>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投标报价评分标准（30分）</w:t>
            </w:r>
          </w:p>
        </w:tc>
        <w:tc>
          <w:tcPr>
            <w:tcW w:w="247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投标报价（30分）</w:t>
            </w:r>
          </w:p>
        </w:tc>
        <w:tc>
          <w:tcPr>
            <w:tcW w:w="5237" w:type="dxa"/>
            <w:gridSpan w:val="2"/>
            <w:tcBorders>
              <w:top w:val="single" w:color="auto" w:sz="4" w:space="0"/>
              <w:left w:val="single" w:color="auto" w:sz="4" w:space="0"/>
              <w:bottom w:val="single" w:color="auto" w:sz="4" w:space="0"/>
              <w:right w:val="single" w:color="auto" w:sz="4" w:space="0"/>
            </w:tcBorders>
            <w:noWrap w:val="0"/>
            <w:vAlign w:val="top"/>
          </w:tcPr>
          <w:p>
            <w:pPr>
              <w:numPr>
                <w:ilvl w:val="0"/>
                <w:numId w:val="1"/>
              </w:numPr>
              <w:snapToGrid w:val="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如果投标人的评标价＞评标基准价，则评标价得分=30-｜偏差率｜×100×0.2；</w:t>
            </w:r>
          </w:p>
          <w:p>
            <w:pPr>
              <w:numPr>
                <w:ilvl w:val="0"/>
                <w:numId w:val="1"/>
              </w:numPr>
              <w:snapToGrid w:val="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如果投标人的评标价≤评标基准价，则评标价得分=30-｜偏差率｜×100×0.1</w:t>
            </w:r>
          </w:p>
          <w:p>
            <w:pPr>
              <w:snapToGrid w:val="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注：｜偏差率｜为偏差率的绝对值，评标价得分最低得0分。</w:t>
            </w:r>
          </w:p>
        </w:tc>
      </w:tr>
    </w:tbl>
    <w:p>
      <w:pPr>
        <w:pStyle w:val="5"/>
        <w:keepNext/>
        <w:keepLines/>
        <w:pageBreakBefore w:val="0"/>
        <w:widowControl w:val="0"/>
        <w:kinsoku/>
        <w:wordWrap/>
        <w:overflowPunct/>
        <w:topLinePunct w:val="0"/>
        <w:autoSpaceDE/>
        <w:autoSpaceDN/>
        <w:bidi w:val="0"/>
        <w:adjustRightInd/>
        <w:snapToGrid/>
        <w:spacing w:before="0" w:beforeLines="0" w:after="0" w:line="360" w:lineRule="auto"/>
        <w:textAlignment w:val="auto"/>
        <w:rPr>
          <w:rFonts w:hint="eastAsia" w:ascii="宋体" w:hAnsi="宋体" w:cs="宋体"/>
          <w:color w:val="000000"/>
          <w:kern w:val="44"/>
          <w:sz w:val="24"/>
          <w:szCs w:val="24"/>
          <w:highlight w:val="none"/>
          <w:lang w:val="en-US" w:eastAsia="zh-CN"/>
        </w:rPr>
      </w:pPr>
      <w:r>
        <w:rPr>
          <w:rFonts w:hint="eastAsia" w:ascii="宋体" w:hAnsi="宋体" w:cs="宋体"/>
          <w:color w:val="000000"/>
          <w:kern w:val="44"/>
          <w:sz w:val="24"/>
          <w:szCs w:val="24"/>
          <w:highlight w:val="none"/>
          <w:lang w:val="en-US" w:eastAsia="zh-CN"/>
        </w:rPr>
        <w:t>5.联系方式</w:t>
      </w:r>
    </w:p>
    <w:p>
      <w:pPr>
        <w:spacing w:line="400" w:lineRule="exact"/>
        <w:ind w:firstLine="315" w:firstLineChars="150"/>
        <w:rPr>
          <w:rFonts w:hint="eastAsia" w:ascii="宋体" w:hAnsi="宋体" w:cs="宋体"/>
          <w:color w:val="000000"/>
          <w:sz w:val="21"/>
          <w:szCs w:val="21"/>
          <w:highlight w:val="none"/>
        </w:rPr>
      </w:pPr>
      <w:r>
        <w:rPr>
          <w:rFonts w:hint="eastAsia" w:ascii="宋体" w:hAnsi="宋体" w:cs="宋体"/>
          <w:color w:val="000000"/>
          <w:sz w:val="21"/>
          <w:szCs w:val="21"/>
          <w:highlight w:val="none"/>
        </w:rPr>
        <w:t>招标人：吉林省高速公路集团有限公司</w:t>
      </w:r>
    </w:p>
    <w:p>
      <w:pPr>
        <w:spacing w:line="400" w:lineRule="exact"/>
        <w:ind w:firstLine="315" w:firstLineChars="150"/>
        <w:rPr>
          <w:rFonts w:hint="eastAsia" w:ascii="宋体" w:hAnsi="宋体" w:cs="宋体"/>
          <w:color w:val="000000"/>
          <w:sz w:val="21"/>
          <w:szCs w:val="21"/>
          <w:highlight w:val="none"/>
        </w:rPr>
      </w:pPr>
      <w:r>
        <w:rPr>
          <w:rFonts w:hint="eastAsia" w:ascii="宋体" w:hAnsi="宋体" w:cs="宋体"/>
          <w:color w:val="000000"/>
          <w:sz w:val="21"/>
          <w:szCs w:val="21"/>
          <w:highlight w:val="none"/>
        </w:rPr>
        <w:t>地  址：长春市南关区人民大街11511号</w:t>
      </w:r>
    </w:p>
    <w:p>
      <w:pPr>
        <w:spacing w:line="400" w:lineRule="exact"/>
        <w:ind w:firstLine="315" w:firstLineChars="150"/>
        <w:rPr>
          <w:rFonts w:hint="eastAsia" w:ascii="宋体" w:hAnsi="宋体" w:cs="宋体"/>
          <w:color w:val="000000"/>
          <w:sz w:val="21"/>
          <w:szCs w:val="21"/>
          <w:highlight w:val="none"/>
        </w:rPr>
      </w:pPr>
      <w:r>
        <w:rPr>
          <w:rFonts w:hint="eastAsia" w:ascii="宋体" w:hAnsi="宋体" w:cs="宋体"/>
          <w:color w:val="000000"/>
          <w:sz w:val="21"/>
          <w:szCs w:val="21"/>
          <w:highlight w:val="none"/>
        </w:rPr>
        <w:t>邮政编码：130028</w:t>
      </w:r>
    </w:p>
    <w:p>
      <w:pPr>
        <w:spacing w:line="400" w:lineRule="exact"/>
        <w:ind w:firstLine="315" w:firstLineChars="150"/>
        <w:rPr>
          <w:rFonts w:hint="eastAsia" w:ascii="宋体" w:hAnsi="宋体" w:eastAsia="宋体"/>
          <w:color w:val="000000"/>
          <w:sz w:val="21"/>
          <w:szCs w:val="21"/>
          <w:highlight w:val="none"/>
          <w:lang w:eastAsia="zh-CN"/>
        </w:rPr>
      </w:pPr>
      <w:r>
        <w:rPr>
          <w:rFonts w:hint="eastAsia" w:ascii="宋体" w:hAnsi="宋体"/>
          <w:color w:val="000000"/>
          <w:sz w:val="21"/>
          <w:szCs w:val="21"/>
          <w:highlight w:val="none"/>
        </w:rPr>
        <w:t>联系人：</w:t>
      </w:r>
      <w:r>
        <w:rPr>
          <w:rFonts w:hint="eastAsia" w:ascii="宋体" w:hAnsi="宋体"/>
          <w:color w:val="000000"/>
          <w:sz w:val="21"/>
          <w:szCs w:val="21"/>
          <w:highlight w:val="none"/>
          <w:lang w:eastAsia="zh-CN"/>
        </w:rPr>
        <w:t>于忠宏</w:t>
      </w:r>
    </w:p>
    <w:p>
      <w:pPr>
        <w:spacing w:line="400" w:lineRule="exact"/>
        <w:ind w:firstLine="315" w:firstLineChars="150"/>
        <w:rPr>
          <w:rFonts w:hint="eastAsia" w:ascii="宋体" w:hAnsi="宋体" w:cs="宋体"/>
          <w:color w:val="000000"/>
          <w:sz w:val="21"/>
          <w:szCs w:val="21"/>
          <w:highlight w:val="none"/>
        </w:rPr>
      </w:pPr>
      <w:r>
        <w:rPr>
          <w:rFonts w:hint="eastAsia" w:ascii="宋体" w:hAnsi="宋体" w:cs="宋体"/>
          <w:color w:val="000000"/>
          <w:sz w:val="21"/>
          <w:szCs w:val="21"/>
          <w:highlight w:val="none"/>
        </w:rPr>
        <w:t>电  话：0431-</w:t>
      </w:r>
      <w:r>
        <w:rPr>
          <w:rFonts w:ascii="宋体" w:hAnsi="宋体" w:cs="宋体"/>
          <w:color w:val="000000"/>
          <w:sz w:val="21"/>
          <w:szCs w:val="21"/>
          <w:highlight w:val="none"/>
        </w:rPr>
        <w:t>852540</w:t>
      </w:r>
      <w:r>
        <w:rPr>
          <w:rFonts w:hint="eastAsia" w:ascii="宋体" w:hAnsi="宋体" w:cs="宋体"/>
          <w:color w:val="000000"/>
          <w:sz w:val="21"/>
          <w:szCs w:val="21"/>
          <w:highlight w:val="none"/>
        </w:rPr>
        <w:t>20</w:t>
      </w:r>
    </w:p>
    <w:p>
      <w:pPr>
        <w:spacing w:line="400" w:lineRule="exact"/>
        <w:ind w:firstLine="315" w:firstLineChars="150"/>
        <w:rPr>
          <w:rFonts w:hint="eastAsia" w:ascii="宋体" w:hAnsi="宋体" w:cs="宋体"/>
          <w:color w:val="000000"/>
          <w:sz w:val="21"/>
          <w:szCs w:val="21"/>
          <w:highlight w:val="none"/>
        </w:rPr>
      </w:pPr>
      <w:r>
        <w:rPr>
          <w:rFonts w:hint="eastAsia" w:ascii="宋体" w:hAnsi="宋体" w:cs="宋体"/>
          <w:color w:val="000000"/>
          <w:sz w:val="21"/>
          <w:szCs w:val="21"/>
          <w:highlight w:val="none"/>
        </w:rPr>
        <w:t>招标代理机构：吉林省华洋工程咨询有限公司</w:t>
      </w:r>
    </w:p>
    <w:p>
      <w:pPr>
        <w:spacing w:line="400" w:lineRule="exact"/>
        <w:ind w:firstLine="315" w:firstLineChars="150"/>
        <w:rPr>
          <w:rFonts w:hint="eastAsia" w:ascii="宋体" w:hAnsi="宋体" w:cs="宋体"/>
          <w:color w:val="000000"/>
          <w:sz w:val="21"/>
          <w:szCs w:val="21"/>
          <w:highlight w:val="none"/>
        </w:rPr>
      </w:pPr>
      <w:r>
        <w:rPr>
          <w:rFonts w:hint="eastAsia" w:ascii="宋体" w:hAnsi="宋体" w:cs="宋体"/>
          <w:color w:val="000000"/>
          <w:sz w:val="21"/>
          <w:szCs w:val="21"/>
          <w:highlight w:val="none"/>
        </w:rPr>
        <w:t>地  址：长春市朝阳区和光路16号</w:t>
      </w:r>
    </w:p>
    <w:p>
      <w:pPr>
        <w:spacing w:line="400" w:lineRule="exact"/>
        <w:ind w:firstLine="315" w:firstLineChars="150"/>
        <w:rPr>
          <w:rFonts w:hint="eastAsia" w:ascii="宋体" w:hAnsi="宋体" w:cs="宋体"/>
          <w:color w:val="000000"/>
          <w:sz w:val="21"/>
          <w:szCs w:val="21"/>
          <w:highlight w:val="none"/>
        </w:rPr>
      </w:pPr>
      <w:r>
        <w:rPr>
          <w:rFonts w:hint="eastAsia" w:ascii="宋体" w:hAnsi="宋体" w:cs="宋体"/>
          <w:color w:val="000000"/>
          <w:sz w:val="21"/>
          <w:szCs w:val="21"/>
          <w:highlight w:val="none"/>
        </w:rPr>
        <w:t>邮政编码：130021</w:t>
      </w:r>
    </w:p>
    <w:p>
      <w:pPr>
        <w:spacing w:line="400" w:lineRule="exact"/>
        <w:ind w:firstLine="315" w:firstLineChars="150"/>
        <w:rPr>
          <w:rFonts w:hint="eastAsia" w:ascii="宋体" w:hAnsi="宋体" w:cs="宋体"/>
          <w:color w:val="000000"/>
          <w:sz w:val="21"/>
          <w:szCs w:val="21"/>
          <w:highlight w:val="none"/>
        </w:rPr>
      </w:pPr>
      <w:r>
        <w:rPr>
          <w:rFonts w:hint="eastAsia" w:ascii="宋体" w:hAnsi="宋体" w:cs="宋体"/>
          <w:color w:val="000000"/>
          <w:sz w:val="21"/>
          <w:szCs w:val="21"/>
          <w:highlight w:val="none"/>
        </w:rPr>
        <w:t>联系人：李洪涛、孙静、梁新通</w:t>
      </w:r>
    </w:p>
    <w:p>
      <w:pPr>
        <w:spacing w:line="400" w:lineRule="exact"/>
        <w:ind w:firstLine="315" w:firstLineChars="150"/>
        <w:rPr>
          <w:rFonts w:hint="eastAsia" w:ascii="宋体" w:hAnsi="宋体" w:cs="宋体"/>
          <w:color w:val="000000"/>
          <w:sz w:val="21"/>
          <w:szCs w:val="21"/>
          <w:highlight w:val="none"/>
        </w:rPr>
      </w:pPr>
      <w:r>
        <w:rPr>
          <w:rFonts w:hint="eastAsia" w:ascii="宋体" w:hAnsi="宋体" w:cs="宋体"/>
          <w:color w:val="000000"/>
          <w:sz w:val="21"/>
          <w:szCs w:val="21"/>
          <w:highlight w:val="none"/>
        </w:rPr>
        <w:t>电  话：0431-85368866</w:t>
      </w:r>
    </w:p>
    <w:p>
      <w:pPr>
        <w:spacing w:line="400" w:lineRule="exact"/>
        <w:ind w:firstLine="315" w:firstLineChars="150"/>
        <w:rPr>
          <w:rFonts w:ascii="宋体" w:hAnsi="宋体"/>
          <w:sz w:val="21"/>
          <w:szCs w:val="21"/>
          <w:highlight w:val="none"/>
        </w:rPr>
      </w:pPr>
      <w:r>
        <w:rPr>
          <w:rFonts w:hint="eastAsia" w:ascii="宋体" w:hAnsi="宋体" w:cs="宋体"/>
          <w:color w:val="000000"/>
          <w:sz w:val="21"/>
          <w:szCs w:val="21"/>
          <w:highlight w:val="none"/>
        </w:rPr>
        <w:t>电子邮箱：3097839680</w:t>
      </w:r>
      <w:r>
        <w:rPr>
          <w:rFonts w:ascii="宋体" w:hAnsi="宋体" w:cs="宋体"/>
          <w:color w:val="000000"/>
          <w:sz w:val="21"/>
          <w:szCs w:val="21"/>
          <w:highlight w:val="none"/>
        </w:rPr>
        <w:t>@</w:t>
      </w:r>
      <w:r>
        <w:rPr>
          <w:rFonts w:hint="eastAsia" w:ascii="宋体" w:hAnsi="宋体" w:cs="宋体"/>
          <w:color w:val="000000"/>
          <w:sz w:val="21"/>
          <w:szCs w:val="21"/>
          <w:highlight w:val="none"/>
        </w:rPr>
        <w:t>qq</w:t>
      </w:r>
      <w:r>
        <w:rPr>
          <w:rFonts w:ascii="宋体" w:hAnsi="宋体" w:cs="宋体"/>
          <w:color w:val="000000"/>
          <w:sz w:val="21"/>
          <w:szCs w:val="21"/>
          <w:highlight w:val="none"/>
        </w:rPr>
        <w:t>.com</w:t>
      </w:r>
      <w:r>
        <w:rPr>
          <w:rFonts w:hint="eastAsia" w:ascii="宋体" w:hAnsi="宋体" w:cs="宋体"/>
          <w:color w:val="000000"/>
          <w:sz w:val="21"/>
          <w:szCs w:val="21"/>
          <w:highlight w:val="none"/>
        </w:rPr>
        <w:t xml:space="preserve"> </w:t>
      </w:r>
    </w:p>
    <w:sectPr>
      <w:footnotePr>
        <w:numFmt w:val="decimalEnclosedCircleChinese"/>
        <w:numRestart w:val="eachPage"/>
      </w:footnotePr>
      <w:pgSz w:w="11906" w:h="16838"/>
      <w:pgMar w:top="1440" w:right="1134" w:bottom="1440"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9"/>
        <w:rPr>
          <w:rFonts w:hint="eastAsia" w:ascii="楷体" w:hAnsi="楷体" w:eastAsia="楷体"/>
        </w:rPr>
      </w:pPr>
      <w:r>
        <w:rPr>
          <w:rStyle w:val="15"/>
          <w:rFonts w:ascii="楷体" w:hAnsi="楷体" w:eastAsia="楷体"/>
        </w:rPr>
        <w:footnoteRef/>
      </w:r>
      <w:r>
        <w:rPr>
          <w:rFonts w:hint="eastAsia" w:ascii="楷体" w:hAnsi="楷体" w:eastAsia="楷体"/>
        </w:rPr>
        <w:t>各评分因素（投标报价评分项除外）得分一般不得低于其权重分值的60%，且各评分因素得分应以评标委员会各成员的打分平均值确定，评标委员会成员总数为7人以上时，该平均值以去掉一个最高分和一个最低分后计算。评标委员会成员对某一项评分因素的评分低于权重分值60%的，应在评标报告中作出说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6B6A8A"/>
    <w:multiLevelType w:val="multilevel"/>
    <w:tmpl w:val="576B6A8A"/>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976577"/>
    <w:rsid w:val="0005335B"/>
    <w:rsid w:val="001E7FD4"/>
    <w:rsid w:val="0021703D"/>
    <w:rsid w:val="00231F0D"/>
    <w:rsid w:val="00233745"/>
    <w:rsid w:val="00282745"/>
    <w:rsid w:val="002B7B92"/>
    <w:rsid w:val="002E465D"/>
    <w:rsid w:val="004C5613"/>
    <w:rsid w:val="004F05E3"/>
    <w:rsid w:val="00502E88"/>
    <w:rsid w:val="00532828"/>
    <w:rsid w:val="005514D3"/>
    <w:rsid w:val="005B2A43"/>
    <w:rsid w:val="005C21E4"/>
    <w:rsid w:val="005D37F2"/>
    <w:rsid w:val="006C38E4"/>
    <w:rsid w:val="007118D4"/>
    <w:rsid w:val="00791974"/>
    <w:rsid w:val="00861859"/>
    <w:rsid w:val="00871362"/>
    <w:rsid w:val="008746CD"/>
    <w:rsid w:val="00916D20"/>
    <w:rsid w:val="00923518"/>
    <w:rsid w:val="00976577"/>
    <w:rsid w:val="009E021E"/>
    <w:rsid w:val="00A011BD"/>
    <w:rsid w:val="00AE752B"/>
    <w:rsid w:val="00B06859"/>
    <w:rsid w:val="00B608ED"/>
    <w:rsid w:val="00B834AC"/>
    <w:rsid w:val="00B94549"/>
    <w:rsid w:val="00BD06B8"/>
    <w:rsid w:val="00C55B37"/>
    <w:rsid w:val="00D94845"/>
    <w:rsid w:val="00E2099B"/>
    <w:rsid w:val="00EE2448"/>
    <w:rsid w:val="00EF5088"/>
    <w:rsid w:val="00F66AB9"/>
    <w:rsid w:val="224569F1"/>
    <w:rsid w:val="2C9F5647"/>
    <w:rsid w:val="32735A9B"/>
    <w:rsid w:val="32C263C3"/>
    <w:rsid w:val="4C543164"/>
    <w:rsid w:val="51125472"/>
    <w:rsid w:val="6D9F58BD"/>
    <w:rsid w:val="765401C6"/>
    <w:rsid w:val="7B4C1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uiPriority="99" w:name="annotation text"/>
    <w:lsdException w:unhideWhenUsed="0"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9"/>
    <w:pPr>
      <w:keepNext/>
      <w:keepLines/>
      <w:spacing w:before="340" w:after="330" w:line="578" w:lineRule="auto"/>
      <w:outlineLvl w:val="0"/>
    </w:pPr>
    <w:rPr>
      <w:rFonts w:ascii="Calibri" w:hAnsi="Calibri"/>
      <w:b/>
      <w:bCs/>
      <w:kern w:val="44"/>
      <w:sz w:val="44"/>
      <w:szCs w:val="44"/>
      <w:lang w:val="zh-CN" w:eastAsia="zh-CN"/>
    </w:rPr>
  </w:style>
  <w:style w:type="paragraph" w:styleId="3">
    <w:name w:val="heading 2"/>
    <w:basedOn w:val="1"/>
    <w:next w:val="1"/>
    <w:link w:val="2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3"/>
    <w:qFormat/>
    <w:uiPriority w:val="99"/>
    <w:pPr>
      <w:keepNext/>
      <w:keepLines/>
      <w:spacing w:before="260" w:after="260" w:line="416" w:lineRule="auto"/>
      <w:outlineLvl w:val="2"/>
    </w:pPr>
    <w:rPr>
      <w:rFonts w:ascii="Calibri" w:hAnsi="Calibri"/>
      <w:b/>
      <w:bCs/>
      <w:kern w:val="0"/>
      <w:sz w:val="32"/>
      <w:szCs w:val="32"/>
      <w:lang w:val="zh-CN" w:eastAsia="zh-CN"/>
    </w:rPr>
  </w:style>
  <w:style w:type="paragraph" w:styleId="5">
    <w:name w:val="heading 4"/>
    <w:basedOn w:val="1"/>
    <w:next w:val="1"/>
    <w:qFormat/>
    <w:uiPriority w:val="0"/>
    <w:pPr>
      <w:keepNext/>
      <w:keepLines/>
      <w:spacing w:before="280" w:beforeLines="0" w:after="290" w:afterLines="0" w:line="376" w:lineRule="auto"/>
      <w:outlineLvl w:val="3"/>
    </w:pPr>
    <w:rPr>
      <w:rFonts w:ascii="Cambria" w:hAnsi="Cambria"/>
      <w:b/>
      <w:bCs/>
      <w:sz w:val="28"/>
      <w:szCs w:val="28"/>
    </w:rPr>
  </w:style>
  <w:style w:type="character" w:default="1" w:styleId="13">
    <w:name w:val="Default Paragraph Font"/>
    <w:semiHidden/>
    <w:unhideWhenUsed/>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6">
    <w:name w:val="Balloon Text"/>
    <w:basedOn w:val="1"/>
    <w:link w:val="20"/>
    <w:semiHidden/>
    <w:unhideWhenUsed/>
    <w:qFormat/>
    <w:uiPriority w:val="99"/>
    <w:rPr>
      <w:sz w:val="18"/>
      <w:szCs w:val="18"/>
    </w:rPr>
  </w:style>
  <w:style w:type="paragraph" w:styleId="7">
    <w:name w:val="footer"/>
    <w:basedOn w:val="1"/>
    <w:link w:val="21"/>
    <w:unhideWhenUsed/>
    <w:uiPriority w:val="99"/>
    <w:pPr>
      <w:tabs>
        <w:tab w:val="center" w:pos="4153"/>
        <w:tab w:val="right" w:pos="8306"/>
      </w:tabs>
      <w:snapToGrid w:val="0"/>
      <w:jc w:val="left"/>
    </w:pPr>
    <w:rPr>
      <w:sz w:val="18"/>
      <w:szCs w:val="18"/>
    </w:rPr>
  </w:style>
  <w:style w:type="paragraph" w:styleId="8">
    <w:name w:val="header"/>
    <w:basedOn w:val="1"/>
    <w:link w:val="18"/>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17"/>
    <w:unhideWhenUsed/>
    <w:qFormat/>
    <w:uiPriority w:val="0"/>
    <w:pPr>
      <w:snapToGrid w:val="0"/>
      <w:jc w:val="left"/>
    </w:pPr>
    <w:rPr>
      <w:rFonts w:ascii="Calibri" w:hAnsi="Calibri"/>
      <w:kern w:val="0"/>
      <w:sz w:val="18"/>
      <w:szCs w:val="18"/>
    </w:rPr>
  </w:style>
  <w:style w:type="paragraph" w:styleId="10">
    <w:name w:val="Body Text Indent 3"/>
    <w:basedOn w:val="1"/>
    <w:link w:val="16"/>
    <w:qFormat/>
    <w:uiPriority w:val="0"/>
    <w:pPr>
      <w:spacing w:after="120"/>
      <w:ind w:left="420" w:leftChars="200"/>
    </w:pPr>
    <w:rPr>
      <w:sz w:val="16"/>
      <w:szCs w:val="16"/>
    </w:rPr>
  </w:style>
  <w:style w:type="paragraph" w:styleId="11">
    <w:name w:val="Title"/>
    <w:basedOn w:val="1"/>
    <w:next w:val="1"/>
    <w:link w:val="19"/>
    <w:qFormat/>
    <w:uiPriority w:val="0"/>
    <w:pPr>
      <w:spacing w:before="240" w:after="60"/>
      <w:jc w:val="center"/>
      <w:outlineLvl w:val="0"/>
    </w:pPr>
    <w:rPr>
      <w:rFonts w:ascii="Cambria" w:hAnsi="Cambria"/>
      <w:b/>
      <w:bCs/>
      <w:sz w:val="32"/>
      <w:szCs w:val="32"/>
    </w:rPr>
  </w:style>
  <w:style w:type="character" w:styleId="14">
    <w:name w:val="Hyperlink"/>
    <w:unhideWhenUsed/>
    <w:qFormat/>
    <w:uiPriority w:val="99"/>
    <w:rPr>
      <w:color w:val="0000FF"/>
      <w:u w:val="single"/>
    </w:rPr>
  </w:style>
  <w:style w:type="character" w:styleId="15">
    <w:name w:val="footnote reference"/>
    <w:qFormat/>
    <w:uiPriority w:val="0"/>
    <w:rPr>
      <w:vertAlign w:val="superscript"/>
    </w:rPr>
  </w:style>
  <w:style w:type="character" w:customStyle="1" w:styleId="16">
    <w:name w:val="正文文本缩进 3 Char"/>
    <w:basedOn w:val="13"/>
    <w:link w:val="10"/>
    <w:qFormat/>
    <w:uiPriority w:val="0"/>
    <w:rPr>
      <w:rFonts w:ascii="Times New Roman" w:hAnsi="Times New Roman" w:eastAsia="宋体" w:cs="Times New Roman"/>
      <w:sz w:val="16"/>
      <w:szCs w:val="16"/>
    </w:rPr>
  </w:style>
  <w:style w:type="character" w:customStyle="1" w:styleId="17">
    <w:name w:val="脚注文本 Char"/>
    <w:basedOn w:val="13"/>
    <w:link w:val="9"/>
    <w:qFormat/>
    <w:uiPriority w:val="0"/>
    <w:rPr>
      <w:rFonts w:ascii="Calibri" w:hAnsi="Calibri" w:eastAsia="宋体" w:cs="Times New Roman"/>
      <w:kern w:val="0"/>
      <w:sz w:val="18"/>
      <w:szCs w:val="18"/>
    </w:rPr>
  </w:style>
  <w:style w:type="character" w:customStyle="1" w:styleId="18">
    <w:name w:val="页眉 Char"/>
    <w:basedOn w:val="13"/>
    <w:link w:val="8"/>
    <w:qFormat/>
    <w:uiPriority w:val="99"/>
    <w:rPr>
      <w:rFonts w:ascii="Times New Roman" w:hAnsi="Times New Roman" w:eastAsia="宋体" w:cs="Times New Roman"/>
      <w:sz w:val="18"/>
      <w:szCs w:val="18"/>
    </w:rPr>
  </w:style>
  <w:style w:type="character" w:customStyle="1" w:styleId="19">
    <w:name w:val="标题 Char"/>
    <w:basedOn w:val="13"/>
    <w:link w:val="11"/>
    <w:qFormat/>
    <w:uiPriority w:val="0"/>
    <w:rPr>
      <w:rFonts w:ascii="Cambria" w:hAnsi="Cambria" w:eastAsia="宋体" w:cs="Times New Roman"/>
      <w:b/>
      <w:bCs/>
      <w:sz w:val="32"/>
      <w:szCs w:val="32"/>
    </w:rPr>
  </w:style>
  <w:style w:type="character" w:customStyle="1" w:styleId="20">
    <w:name w:val="批注框文本 Char"/>
    <w:basedOn w:val="13"/>
    <w:link w:val="6"/>
    <w:semiHidden/>
    <w:qFormat/>
    <w:uiPriority w:val="99"/>
    <w:rPr>
      <w:rFonts w:ascii="Times New Roman" w:hAnsi="Times New Roman" w:eastAsia="宋体" w:cs="Times New Roman"/>
      <w:sz w:val="18"/>
      <w:szCs w:val="18"/>
    </w:rPr>
  </w:style>
  <w:style w:type="character" w:customStyle="1" w:styleId="21">
    <w:name w:val="页脚 Char"/>
    <w:basedOn w:val="13"/>
    <w:link w:val="7"/>
    <w:qFormat/>
    <w:uiPriority w:val="99"/>
    <w:rPr>
      <w:rFonts w:ascii="Times New Roman" w:hAnsi="Times New Roman" w:eastAsia="宋体" w:cs="Times New Roman"/>
      <w:sz w:val="18"/>
      <w:szCs w:val="18"/>
    </w:rPr>
  </w:style>
  <w:style w:type="character" w:customStyle="1" w:styleId="22">
    <w:name w:val="标题 1 Char"/>
    <w:basedOn w:val="13"/>
    <w:link w:val="2"/>
    <w:qFormat/>
    <w:uiPriority w:val="9"/>
    <w:rPr>
      <w:rFonts w:ascii="Calibri" w:hAnsi="Calibri" w:eastAsia="宋体" w:cs="Times New Roman"/>
      <w:b/>
      <w:bCs/>
      <w:kern w:val="44"/>
      <w:sz w:val="44"/>
      <w:szCs w:val="44"/>
      <w:lang w:val="zh-CN" w:eastAsia="zh-CN"/>
    </w:rPr>
  </w:style>
  <w:style w:type="character" w:customStyle="1" w:styleId="23">
    <w:name w:val="标题 3 Char"/>
    <w:basedOn w:val="13"/>
    <w:link w:val="4"/>
    <w:qFormat/>
    <w:uiPriority w:val="99"/>
    <w:rPr>
      <w:rFonts w:ascii="Calibri" w:hAnsi="Calibri" w:eastAsia="宋体" w:cs="Times New Roman"/>
      <w:b/>
      <w:bCs/>
      <w:kern w:val="0"/>
      <w:sz w:val="32"/>
      <w:szCs w:val="32"/>
      <w:lang w:val="zh-CN" w:eastAsia="zh-CN"/>
    </w:rPr>
  </w:style>
  <w:style w:type="character" w:customStyle="1" w:styleId="24">
    <w:name w:val="标题 2 Char"/>
    <w:basedOn w:val="13"/>
    <w:link w:val="3"/>
    <w:semiHidden/>
    <w:uiPriority w:val="9"/>
    <w:rPr>
      <w:rFonts w:asciiTheme="majorHAnsi" w:hAnsiTheme="majorHAnsi" w:eastAsiaTheme="majorEastAsia" w:cstheme="majorBidi"/>
      <w:b/>
      <w:bCs/>
      <w:sz w:val="32"/>
      <w:szCs w:val="32"/>
    </w:rPr>
  </w:style>
  <w:style w:type="paragraph" w:customStyle="1" w:styleId="25">
    <w:name w:val="正文文本 (2)"/>
    <w:basedOn w:val="1"/>
    <w:qFormat/>
    <w:uiPriority w:val="0"/>
    <w:pPr>
      <w:shd w:val="clear" w:color="auto" w:fill="FFFFFF"/>
      <w:spacing w:before="300" w:line="439" w:lineRule="exact"/>
      <w:jc w:val="distribute"/>
    </w:pPr>
    <w:rPr>
      <w:rFonts w:ascii="宋体" w:hAnsi="宋体"/>
      <w:kern w:val="0"/>
      <w:sz w:val="22"/>
    </w:rPr>
  </w:style>
  <w:style w:type="paragraph" w:customStyle="1" w:styleId="26">
    <w:name w:val="正文文本 (7)"/>
    <w:basedOn w:val="1"/>
    <w:qFormat/>
    <w:uiPriority w:val="0"/>
    <w:pPr>
      <w:shd w:val="clear" w:color="auto" w:fill="FFFFFF"/>
      <w:spacing w:before="120" w:after="300" w:line="0" w:lineRule="atLeast"/>
      <w:jc w:val="center"/>
    </w:pPr>
    <w:rPr>
      <w:rFonts w:ascii="宋体" w:hAnsi="宋体"/>
      <w:spacing w:val="10"/>
      <w:kern w:val="0"/>
      <w:sz w:val="22"/>
    </w:rPr>
  </w:style>
  <w:style w:type="character" w:customStyle="1" w:styleId="27">
    <w:name w:val="正文文本 (7) + 间距 0 pt Exact"/>
    <w:qFormat/>
    <w:uiPriority w:val="0"/>
    <w:rPr>
      <w:rFonts w:ascii="宋体" w:hAnsi="宋体" w:eastAsia="宋体" w:cs="宋体"/>
      <w:color w:val="000000"/>
      <w:spacing w:val="0"/>
      <w:w w:val="100"/>
      <w:position w:val="0"/>
      <w:sz w:val="22"/>
      <w:szCs w:val="22"/>
      <w:u w:val="none"/>
      <w:lang w:val="zh-TW" w:eastAsia="zh-TW" w:bidi="zh-TW"/>
    </w:rPr>
  </w:style>
  <w:style w:type="paragraph" w:customStyle="1" w:styleId="28">
    <w:name w:val="Table Paragraph"/>
    <w:basedOn w:val="1"/>
    <w:qFormat/>
    <w:uiPriority w:val="1"/>
    <w:pPr>
      <w:jc w:val="left"/>
    </w:pPr>
    <w:rPr>
      <w:kern w:val="0"/>
      <w:sz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A7CB26-F140-4670-83F2-13A4E17DE472}">
  <ds:schemaRefs/>
</ds:datastoreItem>
</file>

<file path=docProps/app.xml><?xml version="1.0" encoding="utf-8"?>
<Properties xmlns="http://schemas.openxmlformats.org/officeDocument/2006/extended-properties" xmlns:vt="http://schemas.openxmlformats.org/officeDocument/2006/docPropsVTypes">
  <Template>Normal</Template>
  <Pages>18</Pages>
  <Words>2113</Words>
  <Characters>12047</Characters>
  <Lines>100</Lines>
  <Paragraphs>28</Paragraphs>
  <TotalTime>0</TotalTime>
  <ScaleCrop>false</ScaleCrop>
  <LinksUpToDate>false</LinksUpToDate>
  <CharactersWithSpaces>14132</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2018-05-08T11:13:00Z</dcterms:created>
  <dc:creator>Administrator</dc:creator>
  <cp:lastModifiedBy>yuxiang</cp:lastModifiedBy>
  <cp:lastPrinted>2021-01-28T07:09:59Z</cp:lastPrinted>
  <dcterms:modified xsi:type="dcterms:W3CDTF">2021-01-28T07:10:23Z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