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sz w:val="32"/>
          <w:szCs w:val="32"/>
        </w:rPr>
      </w:pPr>
      <w:bookmarkStart w:id="0" w:name="_Hlk49077054"/>
      <w:r>
        <w:rPr>
          <w:rFonts w:hint="eastAsia" w:ascii="宋体" w:hAnsi="宋体" w:eastAsia="宋体" w:cs="宋体"/>
          <w:sz w:val="32"/>
          <w:szCs w:val="32"/>
        </w:rPr>
        <w:t>吉林省高速公路通信基站建设第一批工程监理招标</w:t>
      </w:r>
    </w:p>
    <w:p>
      <w:pPr>
        <w:pStyle w:val="2"/>
        <w:rPr>
          <w:rFonts w:hint="eastAsia"/>
        </w:rPr>
      </w:pPr>
    </w:p>
    <w:p>
      <w:pPr>
        <w:adjustRightInd w:val="0"/>
        <w:snapToGrid w:val="0"/>
        <w:rPr>
          <w:rFonts w:hint="eastAsia" w:ascii="宋体" w:hAnsi="宋体" w:eastAsia="宋体" w:cs="宋体"/>
          <w:szCs w:val="21"/>
        </w:rPr>
      </w:pPr>
      <w:r>
        <w:rPr>
          <w:rFonts w:hint="eastAsia" w:ascii="宋体" w:hAnsi="宋体" w:eastAsia="宋体" w:cs="宋体"/>
          <w:szCs w:val="21"/>
        </w:rPr>
        <w:t>项目概况详见本次招标项目招标公告。</w:t>
      </w:r>
    </w:p>
    <w:p>
      <w:pPr>
        <w:adjustRightInd w:val="0"/>
        <w:snapToGrid w:val="0"/>
        <w:rPr>
          <w:rFonts w:hint="eastAsia" w:ascii="宋体" w:hAnsi="宋体" w:eastAsia="宋体" w:cs="宋体"/>
          <w:szCs w:val="21"/>
        </w:rPr>
      </w:pPr>
    </w:p>
    <w:p>
      <w:pPr>
        <w:pStyle w:val="4"/>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投标人须知前附表</w:t>
      </w:r>
    </w:p>
    <w:p>
      <w:pPr>
        <w:snapToGrid w:val="0"/>
        <w:jc w:val="center"/>
        <w:rPr>
          <w:rFonts w:hint="eastAsia" w:ascii="宋体" w:hAnsi="宋体" w:eastAsia="宋体" w:cs="宋体"/>
          <w:color w:val="000000"/>
          <w:szCs w:val="21"/>
        </w:rPr>
      </w:pPr>
    </w:p>
    <w:bookmarkEnd w:id="0"/>
    <w:tbl>
      <w:tblPr>
        <w:tblStyle w:val="10"/>
        <w:tblW w:w="9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13"/>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964" w:type="dxa"/>
            <w:vAlign w:val="center"/>
          </w:tcPr>
          <w:p>
            <w:pPr>
              <w:adjustRightInd w:val="0"/>
              <w:snapToGrid w:val="0"/>
              <w:jc w:val="center"/>
              <w:rPr>
                <w:rFonts w:hint="eastAsia" w:ascii="宋体" w:hAnsi="宋体" w:eastAsia="宋体" w:cs="宋体"/>
                <w:color w:val="000000"/>
                <w:szCs w:val="21"/>
              </w:rPr>
            </w:pPr>
            <w:bookmarkStart w:id="1" w:name="_Toc478456012"/>
            <w:bookmarkStart w:id="2" w:name="_Toc527626936"/>
            <w:bookmarkStart w:id="3" w:name="_Toc327432506"/>
            <w:bookmarkStart w:id="4" w:name="_Hlk49077372"/>
            <w:r>
              <w:rPr>
                <w:rFonts w:hint="eastAsia" w:ascii="宋体" w:hAnsi="宋体" w:eastAsia="宋体" w:cs="宋体"/>
                <w:color w:val="000000"/>
                <w:szCs w:val="21"/>
              </w:rPr>
              <w:t>条款号</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条 款 名 称</w:t>
            </w:r>
          </w:p>
        </w:tc>
        <w:tc>
          <w:tcPr>
            <w:tcW w:w="6669"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1.4.1</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投标人资质条件、能力、信誉</w:t>
            </w:r>
          </w:p>
        </w:tc>
        <w:tc>
          <w:tcPr>
            <w:tcW w:w="6669" w:type="dxa"/>
            <w:vAlign w:val="center"/>
          </w:tcPr>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（1）资质最低要求：</w:t>
            </w:r>
            <w:r>
              <w:rPr>
                <w:rFonts w:hint="eastAsia" w:ascii="宋体" w:hAnsi="宋体" w:eastAsia="宋体" w:cs="宋体"/>
                <w:color w:val="000000"/>
                <w:szCs w:val="21"/>
              </w:rPr>
              <w:t>见附录1</w:t>
            </w:r>
          </w:p>
          <w:p>
            <w:pPr>
              <w:adjustRightInd w:val="0"/>
              <w:snapToGrid w:val="0"/>
              <w:ind w:firstLine="210" w:firstLineChars="100"/>
              <w:rPr>
                <w:rFonts w:hint="eastAsia" w:ascii="宋体" w:hAnsi="宋体" w:eastAsia="宋体" w:cs="宋体"/>
                <w:szCs w:val="21"/>
              </w:rPr>
            </w:pPr>
            <w:r>
              <w:rPr>
                <w:rFonts w:hint="eastAsia" w:ascii="宋体" w:hAnsi="宋体" w:eastAsia="宋体" w:cs="宋体"/>
                <w:szCs w:val="21"/>
              </w:rPr>
              <w:t>（2）财务最低要求：见附录2</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（3）投标人业绩最低要求：见附录</w:t>
            </w:r>
            <w:r>
              <w:rPr>
                <w:rFonts w:hint="eastAsia" w:ascii="宋体" w:hAnsi="宋体" w:eastAsia="宋体" w:cs="宋体"/>
                <w:szCs w:val="21"/>
                <w:lang w:val="en-US" w:eastAsia="zh-CN"/>
              </w:rPr>
              <w:t>3</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（4）信誉最低要求：见附录</w:t>
            </w:r>
            <w:r>
              <w:rPr>
                <w:rFonts w:hint="eastAsia" w:ascii="宋体" w:hAnsi="宋体" w:eastAsia="宋体" w:cs="宋体"/>
                <w:szCs w:val="21"/>
                <w:lang w:val="en-US" w:eastAsia="zh-CN"/>
              </w:rPr>
              <w:t>4</w:t>
            </w:r>
          </w:p>
          <w:p>
            <w:pPr>
              <w:adjustRightInd w:val="0"/>
              <w:snapToGrid w:val="0"/>
              <w:ind w:firstLine="210" w:firstLineChars="100"/>
              <w:rPr>
                <w:rFonts w:hint="eastAsia" w:ascii="宋体" w:hAnsi="宋体" w:eastAsia="宋体" w:cs="宋体"/>
                <w:szCs w:val="21"/>
                <w:lang w:val="en-US" w:eastAsia="zh-CN"/>
              </w:rPr>
            </w:pPr>
            <w:r>
              <w:rPr>
                <w:rFonts w:hint="eastAsia" w:ascii="宋体" w:hAnsi="宋体" w:eastAsia="宋体" w:cs="宋体"/>
                <w:szCs w:val="21"/>
              </w:rPr>
              <w:t>（5）其他最低要求：见附录</w:t>
            </w:r>
            <w:r>
              <w:rPr>
                <w:rFonts w:hint="eastAsia" w:ascii="宋体" w:hAnsi="宋体" w:eastAsia="宋体" w:cs="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3.2.4</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最高投标限价</w:t>
            </w:r>
          </w:p>
        </w:tc>
        <w:tc>
          <w:tcPr>
            <w:tcW w:w="6669" w:type="dxa"/>
            <w:vAlign w:val="center"/>
          </w:tcPr>
          <w:p>
            <w:pPr>
              <w:adjustRightInd w:val="0"/>
              <w:snapToGrid w:val="0"/>
              <w:ind w:firstLine="211" w:firstLineChars="100"/>
              <w:rPr>
                <w:rFonts w:hint="eastAsia" w:ascii="宋体" w:hAnsi="宋体" w:eastAsia="宋体" w:cs="宋体"/>
                <w:b/>
                <w:bCs/>
                <w:color w:val="000000"/>
                <w:szCs w:val="21"/>
              </w:rPr>
            </w:pPr>
            <w:r>
              <w:rPr>
                <w:rFonts w:hint="eastAsia" w:ascii="宋体" w:hAnsi="宋体" w:eastAsia="宋体" w:cs="宋体"/>
                <w:b/>
                <w:bCs/>
                <w:color w:val="000000"/>
                <w:szCs w:val="21"/>
              </w:rPr>
              <w:t>有，最高投标限价：100万元。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4"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3.4.1</w:t>
            </w:r>
          </w:p>
        </w:tc>
        <w:tc>
          <w:tcPr>
            <w:tcW w:w="2013" w:type="dxa"/>
            <w:vAlign w:val="center"/>
          </w:tcPr>
          <w:p>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6669" w:type="dxa"/>
            <w:vAlign w:val="center"/>
          </w:tcPr>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是否要求投标人递交投标保证金：</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sym w:font="Wingdings 2" w:char="0052"/>
            </w:r>
            <w:r>
              <w:rPr>
                <w:rFonts w:hint="eastAsia" w:ascii="宋体" w:hAnsi="宋体" w:eastAsia="宋体" w:cs="宋体"/>
                <w:color w:val="000000"/>
                <w:szCs w:val="21"/>
              </w:rPr>
              <w:t>要求，投标保证金的形式：现金，银行出具的现金支票、保兑支票、银行汇票，银行</w:t>
            </w:r>
            <w:r>
              <w:rPr>
                <w:rFonts w:hint="eastAsia" w:ascii="宋体" w:hAnsi="宋体" w:eastAsia="宋体" w:cs="宋体"/>
                <w:color w:val="000000"/>
                <w:szCs w:val="21"/>
                <w:lang w:val="en-US"/>
              </w:rPr>
              <w:t>保函或</w:t>
            </w:r>
            <w:r>
              <w:rPr>
                <w:rFonts w:hint="eastAsia" w:ascii="宋体" w:hAnsi="宋体" w:eastAsia="宋体" w:cs="宋体"/>
                <w:color w:val="000000"/>
                <w:szCs w:val="21"/>
              </w:rPr>
              <w:t>工程担保机构出具的保函。</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投标保证金的金额：</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0,000元人民币</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开户银行：中国工商银行股份有限公司长春经济技术开发区支行</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帐户名称：吉林省高速公路集团经营开发有限公司</w:t>
            </w:r>
          </w:p>
          <w:p>
            <w:pPr>
              <w:adjustRightInd w:val="0"/>
              <w:snapToGrid w:val="0"/>
              <w:jc w:val="left"/>
              <w:rPr>
                <w:rFonts w:hint="eastAsia" w:ascii="宋体" w:hAnsi="宋体" w:eastAsia="宋体" w:cs="宋体"/>
                <w:color w:val="000000"/>
                <w:szCs w:val="21"/>
                <w:lang w:val="en-US"/>
              </w:rPr>
            </w:pPr>
            <w:r>
              <w:rPr>
                <w:rFonts w:hint="eastAsia" w:ascii="宋体" w:hAnsi="宋体" w:eastAsia="宋体" w:cs="宋体"/>
                <w:color w:val="000000"/>
                <w:szCs w:val="21"/>
              </w:rPr>
              <w:t>帐号：</w:t>
            </w:r>
            <w:r>
              <w:rPr>
                <w:rFonts w:hint="eastAsia" w:ascii="宋体" w:hAnsi="宋体" w:eastAsia="宋体" w:cs="宋体"/>
                <w:color w:val="000000"/>
                <w:szCs w:val="21"/>
                <w:lang w:val="en-US"/>
              </w:rPr>
              <w:t>4200223209200427324</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注：（</w:t>
            </w:r>
            <w:r>
              <w:rPr>
                <w:rFonts w:hint="eastAsia" w:ascii="宋体" w:hAnsi="宋体" w:eastAsia="宋体" w:cs="宋体"/>
                <w:color w:val="000000"/>
                <w:szCs w:val="21"/>
                <w:lang w:val="en-US"/>
              </w:rPr>
              <w:t>1</w:t>
            </w:r>
            <w:r>
              <w:rPr>
                <w:rFonts w:hint="eastAsia" w:ascii="宋体" w:hAnsi="宋体" w:eastAsia="宋体" w:cs="宋体"/>
                <w:color w:val="000000"/>
                <w:szCs w:val="21"/>
              </w:rPr>
              <w:t>）以现金或支票形式提交的投标保证金应从投标人基本账户转出，应在开标截止时间前提交，以实际到帐为准。</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rPr>
              <w:t>2</w:t>
            </w:r>
            <w:r>
              <w:rPr>
                <w:rFonts w:hint="eastAsia" w:ascii="宋体" w:hAnsi="宋体" w:eastAsia="宋体" w:cs="宋体"/>
                <w:color w:val="000000"/>
                <w:szCs w:val="21"/>
              </w:rPr>
              <w:t>）若采用工程担保机构出具的保函，出具保函的担保机构应选择注册资本金不低于10亿元的长春市区境内的专业担保机构，且出具保函的工程担保机构必须事先通过招标人认可。</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rPr>
              <w:t>3</w:t>
            </w:r>
            <w:r>
              <w:rPr>
                <w:rFonts w:hint="eastAsia" w:ascii="宋体" w:hAnsi="宋体" w:eastAsia="宋体" w:cs="宋体"/>
                <w:color w:val="000000"/>
                <w:szCs w:val="21"/>
              </w:rPr>
              <w:t>）采用银行保函时，出具保函的银行级别：应由“工商银行、农业银行、中国银行、建设银行、交通银行、中国邮政储蓄银行”六大国有商业银行之一或全国性股份制商业银行开具，银行应为地市级分、支行或以上级别。</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rPr>
              <w:t>4</w:t>
            </w:r>
            <w:r>
              <w:rPr>
                <w:rFonts w:hint="eastAsia" w:ascii="宋体" w:hAnsi="宋体" w:eastAsia="宋体" w:cs="宋体"/>
                <w:color w:val="000000"/>
                <w:szCs w:val="21"/>
              </w:rPr>
              <w:t>）招标人最迟将在中标通知书发出后5日内向中标候选人以外的其他投标人退还投标保证金，与中标人签订合同后5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利息计算原则如下：</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1、</w:t>
            </w:r>
            <w:r>
              <w:rPr>
                <w:rFonts w:hint="eastAsia" w:ascii="宋体" w:hAnsi="宋体" w:eastAsia="宋体" w:cs="宋体"/>
                <w:color w:val="000000"/>
                <w:szCs w:val="21"/>
              </w:rPr>
              <w:t>计算利息的起始日期为投标截止当日，终止日期为招标人退还投标保证金日期的前一日；</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2、</w:t>
            </w:r>
            <w:r>
              <w:rPr>
                <w:rFonts w:hint="eastAsia" w:ascii="宋体" w:hAnsi="宋体" w:eastAsia="宋体" w:cs="宋体"/>
                <w:color w:val="000000"/>
                <w:szCs w:val="21"/>
              </w:rPr>
              <w:t>投标保证金的利息按照第(1)款所述计息时间段内招标人指定汇入银行公告的活期存款利率计付，并扣除招标人汇款手续费；</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3、</w:t>
            </w:r>
            <w:r>
              <w:rPr>
                <w:rFonts w:hint="eastAsia" w:ascii="宋体" w:hAnsi="宋体" w:eastAsia="宋体" w:cs="宋体"/>
                <w:color w:val="000000"/>
                <w:szCs w:val="21"/>
              </w:rPr>
              <w:t>利息金额计算至分位，分以下尾数四舍五入。</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注意：投标人必须自本次招标的中标候选人公示期满后5日内及时向招标人递交退还投标保证金的有关资料。</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退还投标保证金时，投标人应向招标人提供的资料如下:</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1.</w:t>
            </w:r>
            <w:r>
              <w:rPr>
                <w:rFonts w:hint="eastAsia" w:ascii="宋体" w:hAnsi="宋体" w:eastAsia="宋体" w:cs="宋体"/>
                <w:color w:val="000000"/>
                <w:szCs w:val="21"/>
              </w:rPr>
              <w:t>基本账户开户许可证彩色复印件（清晰可辨）；</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2.</w:t>
            </w:r>
            <w:r>
              <w:rPr>
                <w:rFonts w:hint="eastAsia" w:ascii="宋体" w:hAnsi="宋体" w:eastAsia="宋体" w:cs="宋体"/>
                <w:color w:val="000000"/>
                <w:szCs w:val="21"/>
              </w:rPr>
              <w:t>给招标人开据的退还投标保证金财务收据原件；</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3.</w:t>
            </w:r>
            <w:r>
              <w:rPr>
                <w:rFonts w:hint="eastAsia" w:ascii="宋体" w:hAnsi="宋体" w:eastAsia="宋体" w:cs="宋体"/>
                <w:color w:val="000000"/>
                <w:szCs w:val="21"/>
              </w:rPr>
              <w:t>汇款凭证复印件；</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lang w:val="en-US"/>
              </w:rPr>
              <w:t>4.</w:t>
            </w:r>
            <w:r>
              <w:rPr>
                <w:rFonts w:hint="eastAsia" w:ascii="宋体" w:hAnsi="宋体" w:eastAsia="宋体" w:cs="宋体"/>
                <w:color w:val="000000"/>
                <w:szCs w:val="21"/>
              </w:rPr>
              <w:t>如果投标人未在上述期限内将相关手续送达招标人，投标人放弃利息的，需出具放弃索要利息的情况说明，也可以在投标保证金收据上注明自愿放弃收取利息，索要利息的，需同时提供增值税发票</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招标人：吉林省高速公路集团经营开发有限公司</w:t>
            </w:r>
          </w:p>
          <w:p>
            <w:pPr>
              <w:adjustRightInd w:val="0"/>
              <w:snapToGrid w:val="0"/>
              <w:jc w:val="left"/>
              <w:rPr>
                <w:rFonts w:hint="eastAsia" w:ascii="宋体" w:hAnsi="宋体" w:eastAsia="宋体" w:cs="宋体"/>
                <w:color w:val="000000"/>
                <w:szCs w:val="21"/>
                <w:lang w:val="en-US"/>
              </w:rPr>
            </w:pPr>
            <w:r>
              <w:rPr>
                <w:rFonts w:hint="eastAsia" w:ascii="宋体" w:hAnsi="宋体" w:eastAsia="宋体" w:cs="宋体"/>
                <w:color w:val="000000"/>
                <w:szCs w:val="21"/>
              </w:rPr>
              <w:t>联系人：</w:t>
            </w:r>
            <w:r>
              <w:rPr>
                <w:rFonts w:hint="eastAsia" w:ascii="宋体" w:hAnsi="宋体" w:eastAsia="宋体" w:cs="宋体"/>
                <w:color w:val="000000"/>
                <w:szCs w:val="21"/>
                <w:lang w:val="en-US"/>
              </w:rPr>
              <w:t>路雪梅</w:t>
            </w:r>
          </w:p>
          <w:p>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rPr>
              <w:t>联系电话：</w:t>
            </w:r>
            <w:r>
              <w:rPr>
                <w:rFonts w:hint="eastAsia" w:ascii="宋体" w:hAnsi="宋体" w:eastAsia="宋体" w:cs="宋体"/>
                <w:color w:val="000000"/>
                <w:szCs w:val="21"/>
                <w:lang w:val="en-US"/>
              </w:rPr>
              <w:t>18943006888</w:t>
            </w:r>
          </w:p>
        </w:tc>
      </w:tr>
      <w:bookmarkEnd w:id="1"/>
      <w:bookmarkEnd w:id="2"/>
      <w:bookmarkEnd w:id="3"/>
    </w:tbl>
    <w:p>
      <w:pPr>
        <w:widowControl/>
        <w:snapToGrid w:val="0"/>
        <w:jc w:val="left"/>
        <w:rPr>
          <w:rFonts w:hint="eastAsia" w:ascii="宋体" w:hAnsi="宋体" w:eastAsia="宋体" w:cs="宋体"/>
          <w:b/>
          <w:szCs w:val="21"/>
        </w:rPr>
      </w:pPr>
    </w:p>
    <w:p>
      <w:pPr>
        <w:snapToGrid w:val="0"/>
        <w:jc w:val="left"/>
        <w:rPr>
          <w:rFonts w:hint="eastAsia" w:ascii="宋体" w:hAnsi="宋体" w:eastAsia="宋体" w:cs="宋体"/>
          <w:bCs/>
          <w:kern w:val="44"/>
          <w:szCs w:val="21"/>
        </w:rPr>
      </w:pPr>
      <w:r>
        <w:rPr>
          <w:rFonts w:hint="eastAsia" w:ascii="宋体" w:hAnsi="宋体" w:eastAsia="宋体" w:cs="宋体"/>
          <w:bCs/>
          <w:kern w:val="44"/>
          <w:szCs w:val="21"/>
        </w:rPr>
        <w:t>附录1   资格审查条件（资质最低要求）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资质最低要求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本次招标要求投标人须具备建设行政主管部门核发的通信工程监理乙级及以上资质，并在人员、试验检测仪器设备方面具有相应的监理能力。</w:t>
            </w:r>
          </w:p>
        </w:tc>
      </w:tr>
    </w:tbl>
    <w:p>
      <w:pPr>
        <w:snapToGrid w:val="0"/>
        <w:rPr>
          <w:rFonts w:hint="eastAsia" w:ascii="宋体" w:hAnsi="宋体" w:eastAsia="宋体" w:cs="宋体"/>
          <w:szCs w:val="21"/>
        </w:rPr>
      </w:pPr>
    </w:p>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附录2   资格审查条件（财务最低要求）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财务最低要求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3.32019年经会计师事务所或审计机构审计的财务会计报表中流动资产大于流动负债。</w:t>
            </w:r>
          </w:p>
        </w:tc>
      </w:tr>
    </w:tbl>
    <w:p>
      <w:pPr>
        <w:pStyle w:val="4"/>
        <w:keepNext w:val="0"/>
        <w:adjustRightInd w:val="0"/>
        <w:snapToGrid w:val="0"/>
        <w:spacing w:before="0" w:after="0" w:line="240" w:lineRule="auto"/>
        <w:jc w:val="center"/>
        <w:rPr>
          <w:rFonts w:hint="eastAsia" w:ascii="宋体" w:hAnsi="宋体" w:eastAsia="宋体" w:cs="宋体"/>
          <w:sz w:val="21"/>
          <w:szCs w:val="21"/>
        </w:rPr>
      </w:pPr>
    </w:p>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3</w:t>
      </w:r>
      <w:r>
        <w:rPr>
          <w:rFonts w:hint="eastAsia" w:ascii="宋体" w:hAnsi="宋体" w:eastAsia="宋体" w:cs="宋体"/>
          <w:bCs/>
          <w:kern w:val="44"/>
          <w:szCs w:val="21"/>
        </w:rPr>
        <w:t xml:space="preserve">   资格审查条件（投标人业绩最低要求）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bCs/>
                <w:kern w:val="44"/>
                <w:szCs w:val="21"/>
              </w:rPr>
              <w:t>业绩最低要求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sz w:val="21"/>
              </w:rPr>
              <w:t>2017年1月1日至今至少完成过1项通信基站或通信铁塔类</w:t>
            </w:r>
            <w:r>
              <w:rPr>
                <w:rFonts w:hint="eastAsia"/>
                <w:sz w:val="21"/>
                <w:lang w:eastAsia="zh-CN"/>
              </w:rPr>
              <w:t>监理</w:t>
            </w:r>
            <w:r>
              <w:rPr>
                <w:rFonts w:hint="eastAsia"/>
                <w:sz w:val="21"/>
              </w:rPr>
              <w:t>业绩。</w:t>
            </w:r>
          </w:p>
        </w:tc>
      </w:tr>
    </w:tbl>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4</w:t>
      </w:r>
      <w:r>
        <w:rPr>
          <w:rFonts w:hint="eastAsia" w:ascii="宋体" w:hAnsi="宋体" w:eastAsia="宋体" w:cs="宋体"/>
          <w:bCs/>
          <w:kern w:val="44"/>
          <w:szCs w:val="21"/>
        </w:rPr>
        <w:t xml:space="preserve">   资格审查条件（信誉最低要求）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信誉最低要求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拒绝列入政府取消投标资格记录期间的企业或个人投标，拒绝被工商行政管理机关在全国企业信用信息公示系统（http://www.gsxt.gov.cn/index.html）中列入严重违法失信企业名单的企业参与投标。拒绝被最高人民法院在“信用中国”网站（www.creditchina.gov.cn）或各级信用信息共享平台中列入失信被执行人名单的参与投标。投标人不存在行贿犯罪记录，投标时提供“中国裁判文书网”（http://wenshu.court.gov.cn/）查询企业无行贿犯罪记录的网页截图。</w:t>
            </w:r>
          </w:p>
        </w:tc>
      </w:tr>
    </w:tbl>
    <w:p>
      <w:pPr>
        <w:snapToGrid w:val="0"/>
        <w:jc w:val="left"/>
        <w:rPr>
          <w:rFonts w:hint="eastAsia" w:ascii="宋体" w:hAnsi="宋体" w:eastAsia="宋体" w:cs="宋体"/>
          <w:szCs w:val="21"/>
          <w:vertAlign w:val="superscript"/>
        </w:rPr>
      </w:pPr>
      <w:r>
        <w:rPr>
          <w:rFonts w:hint="eastAsia" w:ascii="宋体" w:hAnsi="宋体" w:eastAsia="宋体" w:cs="宋体"/>
          <w:bCs/>
          <w:kern w:val="44"/>
          <w:szCs w:val="21"/>
        </w:rPr>
        <w:t>附录</w:t>
      </w:r>
      <w:r>
        <w:rPr>
          <w:rFonts w:hint="eastAsia" w:ascii="宋体" w:hAnsi="宋体" w:eastAsia="宋体" w:cs="宋体"/>
          <w:bCs/>
          <w:kern w:val="44"/>
          <w:szCs w:val="21"/>
          <w:lang w:val="en-US" w:eastAsia="zh-CN"/>
        </w:rPr>
        <w:t>5</w:t>
      </w:r>
      <w:r>
        <w:rPr>
          <w:rFonts w:hint="eastAsia" w:ascii="宋体" w:hAnsi="宋体" w:eastAsia="宋体" w:cs="宋体"/>
          <w:bCs/>
          <w:kern w:val="44"/>
          <w:szCs w:val="21"/>
        </w:rPr>
        <w:t xml:space="preserve">   资格审查条件（其他最低要求）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其他最低要求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854" w:type="dxa"/>
            <w:tcBorders>
              <w:left w:val="single" w:color="auto" w:sz="4" w:space="0"/>
            </w:tcBorders>
            <w:vAlign w:val="center"/>
          </w:tcPr>
          <w:p>
            <w:pPr>
              <w:pStyle w:val="2"/>
              <w:numPr>
                <w:ilvl w:val="0"/>
                <w:numId w:val="0"/>
              </w:numPr>
              <w:ind w:leftChars="200"/>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总监理工程师：具备注册监理工程师（通信工程专业），2017年1月1日至今至少完成一项通信工程类任职总监理工程师业绩。</w:t>
            </w:r>
          </w:p>
          <w:p>
            <w:pPr>
              <w:pStyle w:val="2"/>
              <w:numPr>
                <w:ilvl w:val="0"/>
                <w:numId w:val="0"/>
              </w:numPr>
              <w:ind w:firstLine="420" w:firstLineChars="200"/>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其他主要人员：相对应的注册证书或职称证书。</w:t>
            </w:r>
          </w:p>
          <w:p>
            <w:pPr>
              <w:pStyle w:val="2"/>
              <w:numPr>
                <w:ilvl w:val="0"/>
                <w:numId w:val="0"/>
              </w:numPr>
              <w:ind w:firstLine="420" w:firstLineChars="200"/>
              <w:rPr>
                <w:rFonts w:hint="eastAsia"/>
                <w:sz w:val="21"/>
              </w:rPr>
            </w:pPr>
            <w:r>
              <w:rPr>
                <w:rFonts w:hint="eastAsia" w:ascii="宋体" w:hAnsi="宋体" w:cs="宋体"/>
                <w:lang w:val="en-US" w:eastAsia="zh-CN"/>
              </w:rPr>
              <w:t>3.</w:t>
            </w:r>
            <w:r>
              <w:rPr>
                <w:rFonts w:hint="eastAsia"/>
                <w:sz w:val="21"/>
              </w:rPr>
              <w:t>试验检测仪器设备：附试验检测仪器设备相关证明材料。</w:t>
            </w:r>
          </w:p>
          <w:p>
            <w:pPr>
              <w:pStyle w:val="2"/>
              <w:numPr>
                <w:ilvl w:val="0"/>
                <w:numId w:val="0"/>
              </w:numPr>
              <w:ind w:firstLine="420" w:firstLineChars="200"/>
              <w:rPr>
                <w:rFonts w:hint="default" w:ascii="宋体" w:hAnsi="宋体" w:eastAsia="宋体" w:cs="宋体"/>
                <w:lang w:val="en-US" w:eastAsia="zh-CN"/>
              </w:rPr>
            </w:pPr>
            <w:r>
              <w:rPr>
                <w:rFonts w:hint="eastAsia" w:ascii="宋体" w:hAnsi="宋体" w:cs="宋体"/>
                <w:lang w:val="en-US" w:eastAsia="zh-CN"/>
              </w:rPr>
              <w:t>4.本次招标不接受联合体投标。</w:t>
            </w:r>
          </w:p>
        </w:tc>
      </w:tr>
    </w:tbl>
    <w:p>
      <w:pPr>
        <w:pStyle w:val="3"/>
        <w:tabs>
          <w:tab w:val="left" w:pos="1545"/>
        </w:tabs>
        <w:spacing w:line="240" w:lineRule="auto"/>
        <w:ind w:firstLine="2940" w:firstLineChars="1400"/>
        <w:rPr>
          <w:rFonts w:hint="eastAsia" w:ascii="宋体" w:hAnsi="宋体" w:eastAsia="宋体" w:cs="宋体"/>
          <w:b w:val="0"/>
          <w:bCs/>
          <w:kern w:val="44"/>
          <w:sz w:val="21"/>
          <w:szCs w:val="21"/>
        </w:rPr>
      </w:pPr>
      <w:bookmarkStart w:id="5" w:name="_Toc49863741"/>
      <w:r>
        <w:rPr>
          <w:rFonts w:hint="eastAsia" w:ascii="宋体" w:hAnsi="宋体" w:eastAsia="宋体" w:cs="宋体"/>
          <w:b w:val="0"/>
          <w:bCs/>
          <w:kern w:val="44"/>
          <w:sz w:val="21"/>
          <w:szCs w:val="21"/>
        </w:rPr>
        <w:t xml:space="preserve">第三章  </w:t>
      </w:r>
      <w:bookmarkEnd w:id="4"/>
      <w:bookmarkEnd w:id="5"/>
      <w:r>
        <w:rPr>
          <w:rFonts w:hint="eastAsia" w:ascii="宋体" w:hAnsi="宋体" w:eastAsia="宋体" w:cs="宋体"/>
          <w:b w:val="0"/>
          <w:bCs/>
          <w:kern w:val="44"/>
          <w:sz w:val="21"/>
          <w:szCs w:val="21"/>
        </w:rPr>
        <w:t>评标办法（综合评估法）</w:t>
      </w:r>
    </w:p>
    <w:p>
      <w:pPr>
        <w:pStyle w:val="6"/>
        <w:pageBreakBefore w:val="0"/>
        <w:kinsoku/>
        <w:wordWrap/>
        <w:overflowPunct/>
        <w:topLinePunct w:val="0"/>
        <w:bidi w:val="0"/>
        <w:spacing w:before="1" w:line="240" w:lineRule="auto"/>
        <w:ind w:left="232" w:firstLine="0"/>
        <w:textAlignment w:val="auto"/>
        <w:rPr>
          <w:rFonts w:hint="eastAsia" w:ascii="宋体" w:hAnsi="宋体" w:eastAsia="宋体" w:cs="宋体"/>
          <w:b w:val="0"/>
          <w:bCs/>
          <w:kern w:val="44"/>
          <w:sz w:val="21"/>
          <w:szCs w:val="21"/>
          <w:lang w:val="en-US" w:eastAsia="zh-CN" w:bidi="ar-SA"/>
        </w:rPr>
      </w:pPr>
      <w:bookmarkStart w:id="6" w:name="评标办法前附表"/>
      <w:bookmarkEnd w:id="6"/>
      <w:bookmarkStart w:id="7" w:name="_Toc19463"/>
      <w:bookmarkStart w:id="8" w:name="_Toc8400"/>
      <w:bookmarkStart w:id="9" w:name="_Toc28390"/>
      <w:r>
        <w:rPr>
          <w:rFonts w:hint="eastAsia" w:ascii="宋体" w:hAnsi="宋体" w:eastAsia="宋体" w:cs="宋体"/>
          <w:b w:val="0"/>
          <w:bCs/>
          <w:kern w:val="44"/>
          <w:sz w:val="21"/>
          <w:szCs w:val="21"/>
          <w:lang w:val="en-US" w:eastAsia="zh-CN" w:bidi="ar-SA"/>
        </w:rPr>
        <w:t>评标办法前附表</w:t>
      </w:r>
      <w:bookmarkEnd w:id="7"/>
      <w:bookmarkEnd w:id="8"/>
      <w:bookmarkEnd w:id="9"/>
    </w:p>
    <w:tbl>
      <w:tblPr>
        <w:tblStyle w:val="10"/>
        <w:tblW w:w="9181"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148"/>
        <w:gridCol w:w="5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23" w:type="dxa"/>
            <w:gridSpan w:val="2"/>
          </w:tcPr>
          <w:p>
            <w:pPr>
              <w:pStyle w:val="25"/>
              <w:spacing w:before="74" w:line="360" w:lineRule="auto"/>
              <w:ind w:left="675" w:right="668"/>
              <w:jc w:val="center"/>
              <w:rPr>
                <w:b/>
                <w:sz w:val="21"/>
              </w:rPr>
            </w:pPr>
            <w:bookmarkStart w:id="10" w:name="_bookmark83"/>
            <w:bookmarkEnd w:id="10"/>
            <w:bookmarkStart w:id="11" w:name="1.评标方法"/>
            <w:bookmarkEnd w:id="11"/>
            <w:r>
              <w:rPr>
                <w:rFonts w:hint="eastAsia"/>
                <w:b/>
                <w:sz w:val="21"/>
              </w:rPr>
              <w:t>条款号</w:t>
            </w:r>
          </w:p>
        </w:tc>
        <w:tc>
          <w:tcPr>
            <w:tcW w:w="2148" w:type="dxa"/>
          </w:tcPr>
          <w:p>
            <w:pPr>
              <w:pStyle w:val="25"/>
              <w:spacing w:before="74" w:line="360" w:lineRule="auto"/>
              <w:ind w:left="62" w:right="52"/>
              <w:jc w:val="center"/>
              <w:rPr>
                <w:b/>
                <w:sz w:val="21"/>
              </w:rPr>
            </w:pPr>
            <w:r>
              <w:rPr>
                <w:rFonts w:hint="eastAsia"/>
                <w:b/>
                <w:sz w:val="21"/>
              </w:rPr>
              <w:t>评审因素</w:t>
            </w:r>
          </w:p>
        </w:tc>
        <w:tc>
          <w:tcPr>
            <w:tcW w:w="5010" w:type="dxa"/>
          </w:tcPr>
          <w:p>
            <w:pPr>
              <w:pStyle w:val="25"/>
              <w:spacing w:before="74" w:line="360" w:lineRule="auto"/>
              <w:ind w:left="1900" w:right="1890"/>
              <w:jc w:val="center"/>
              <w:rPr>
                <w:b/>
                <w:sz w:val="21"/>
              </w:rPr>
            </w:pPr>
            <w:r>
              <w:rPr>
                <w:rFonts w:hint="eastAsia"/>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0" w:type="dxa"/>
          </w:tcPr>
          <w:p>
            <w:pPr>
              <w:pStyle w:val="25"/>
              <w:spacing w:before="190" w:line="360" w:lineRule="auto"/>
              <w:ind w:left="7"/>
              <w:jc w:val="center"/>
              <w:rPr>
                <w:sz w:val="21"/>
              </w:rPr>
            </w:pPr>
            <w:r>
              <w:rPr>
                <w:rFonts w:hint="eastAsia"/>
                <w:sz w:val="21"/>
              </w:rPr>
              <w:t>1</w:t>
            </w:r>
          </w:p>
        </w:tc>
        <w:tc>
          <w:tcPr>
            <w:tcW w:w="1123" w:type="dxa"/>
          </w:tcPr>
          <w:p>
            <w:pPr>
              <w:pStyle w:val="25"/>
              <w:spacing w:before="176" w:line="360" w:lineRule="auto"/>
              <w:ind w:left="141"/>
              <w:rPr>
                <w:sz w:val="21"/>
              </w:rPr>
            </w:pPr>
            <w:r>
              <w:rPr>
                <w:rFonts w:hint="eastAsia"/>
                <w:sz w:val="21"/>
              </w:rPr>
              <w:t>评标方法</w:t>
            </w:r>
          </w:p>
        </w:tc>
        <w:tc>
          <w:tcPr>
            <w:tcW w:w="2148" w:type="dxa"/>
          </w:tcPr>
          <w:p>
            <w:pPr>
              <w:pStyle w:val="25"/>
              <w:spacing w:before="176" w:line="360" w:lineRule="auto"/>
              <w:ind w:left="63" w:right="50"/>
              <w:jc w:val="center"/>
              <w:rPr>
                <w:sz w:val="21"/>
              </w:rPr>
            </w:pPr>
            <w:r>
              <w:rPr>
                <w:rFonts w:hint="eastAsia"/>
                <w:sz w:val="21"/>
              </w:rPr>
              <w:t>中标候选人排序方法</w:t>
            </w:r>
          </w:p>
        </w:tc>
        <w:tc>
          <w:tcPr>
            <w:tcW w:w="5010" w:type="dxa"/>
            <w:vAlign w:val="center"/>
          </w:tcPr>
          <w:p>
            <w:pPr>
              <w:pStyle w:val="25"/>
              <w:spacing w:line="360" w:lineRule="auto"/>
              <w:jc w:val="both"/>
              <w:rPr>
                <w:sz w:val="20"/>
              </w:rPr>
            </w:pPr>
            <w:r>
              <w:rPr>
                <w:rFonts w:hint="eastAsia"/>
                <w:sz w:val="20"/>
              </w:rPr>
              <w:t>按照综合得分由高到低的顺序进行排序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restart"/>
          </w:tcPr>
          <w:p>
            <w:pPr>
              <w:pStyle w:val="25"/>
              <w:spacing w:line="360" w:lineRule="auto"/>
              <w:rPr>
                <w:b/>
              </w:rPr>
            </w:pPr>
          </w:p>
          <w:p>
            <w:pPr>
              <w:pStyle w:val="25"/>
              <w:spacing w:line="360" w:lineRule="auto"/>
              <w:rPr>
                <w:b/>
              </w:rPr>
            </w:pPr>
          </w:p>
          <w:p>
            <w:pPr>
              <w:pStyle w:val="25"/>
              <w:spacing w:line="360" w:lineRule="auto"/>
              <w:rPr>
                <w:b/>
              </w:rPr>
            </w:pPr>
          </w:p>
          <w:p>
            <w:pPr>
              <w:pStyle w:val="25"/>
              <w:spacing w:line="360" w:lineRule="auto"/>
              <w:rPr>
                <w:b/>
              </w:rPr>
            </w:pPr>
          </w:p>
          <w:p>
            <w:pPr>
              <w:pStyle w:val="25"/>
              <w:spacing w:line="360" w:lineRule="auto"/>
              <w:rPr>
                <w:b/>
              </w:rPr>
            </w:pPr>
          </w:p>
          <w:p>
            <w:pPr>
              <w:pStyle w:val="25"/>
              <w:spacing w:before="9" w:line="360" w:lineRule="auto"/>
              <w:rPr>
                <w:b/>
                <w:sz w:val="31"/>
              </w:rPr>
            </w:pPr>
          </w:p>
          <w:p>
            <w:pPr>
              <w:pStyle w:val="25"/>
              <w:spacing w:line="360" w:lineRule="auto"/>
              <w:ind w:left="239"/>
              <w:rPr>
                <w:sz w:val="21"/>
              </w:rPr>
            </w:pPr>
            <w:r>
              <w:rPr>
                <w:rFonts w:hint="eastAsia"/>
                <w:sz w:val="21"/>
              </w:rPr>
              <w:t>2.1.1</w:t>
            </w:r>
          </w:p>
        </w:tc>
        <w:tc>
          <w:tcPr>
            <w:tcW w:w="1123" w:type="dxa"/>
            <w:vMerge w:val="restart"/>
          </w:tcPr>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before="16" w:line="360" w:lineRule="auto"/>
              <w:rPr>
                <w:b/>
                <w:sz w:val="28"/>
              </w:rPr>
            </w:pPr>
          </w:p>
          <w:p>
            <w:pPr>
              <w:pStyle w:val="25"/>
              <w:spacing w:line="360" w:lineRule="auto"/>
              <w:ind w:left="350" w:right="127" w:hanging="209"/>
              <w:rPr>
                <w:sz w:val="21"/>
              </w:rPr>
            </w:pPr>
            <w:r>
              <w:rPr>
                <w:rFonts w:hint="eastAsia"/>
                <w:sz w:val="21"/>
              </w:rPr>
              <w:t>形式评审标准</w:t>
            </w:r>
          </w:p>
        </w:tc>
        <w:tc>
          <w:tcPr>
            <w:tcW w:w="2148" w:type="dxa"/>
          </w:tcPr>
          <w:p>
            <w:pPr>
              <w:pStyle w:val="25"/>
              <w:spacing w:before="145" w:line="360" w:lineRule="auto"/>
              <w:ind w:left="63" w:right="50"/>
              <w:jc w:val="center"/>
              <w:rPr>
                <w:sz w:val="21"/>
              </w:rPr>
            </w:pPr>
            <w:r>
              <w:rPr>
                <w:rFonts w:hint="eastAsia"/>
                <w:sz w:val="21"/>
              </w:rPr>
              <w:t>投标人名称</w:t>
            </w:r>
          </w:p>
        </w:tc>
        <w:tc>
          <w:tcPr>
            <w:tcW w:w="5010" w:type="dxa"/>
          </w:tcPr>
          <w:p>
            <w:pPr>
              <w:pStyle w:val="25"/>
              <w:spacing w:before="145" w:line="360" w:lineRule="auto"/>
              <w:ind w:left="108"/>
              <w:rPr>
                <w:sz w:val="21"/>
              </w:rPr>
            </w:pPr>
            <w:r>
              <w:rPr>
                <w:rFonts w:hint="eastAsia"/>
                <w:sz w:val="21"/>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148" w:type="dxa"/>
          </w:tcPr>
          <w:p>
            <w:pPr>
              <w:pStyle w:val="25"/>
              <w:spacing w:line="360" w:lineRule="auto"/>
              <w:rPr>
                <w:b/>
                <w:sz w:val="20"/>
              </w:rPr>
            </w:pPr>
          </w:p>
          <w:p>
            <w:pPr>
              <w:pStyle w:val="25"/>
              <w:spacing w:line="360" w:lineRule="auto"/>
              <w:ind w:left="350" w:right="127" w:hanging="209"/>
              <w:rPr>
                <w:sz w:val="21"/>
              </w:rPr>
            </w:pPr>
          </w:p>
          <w:p>
            <w:pPr>
              <w:pStyle w:val="25"/>
              <w:spacing w:line="360" w:lineRule="auto"/>
              <w:ind w:left="350" w:right="127" w:hanging="209"/>
              <w:rPr>
                <w:sz w:val="21"/>
              </w:rPr>
            </w:pPr>
            <w:r>
              <w:rPr>
                <w:rFonts w:hint="eastAsia"/>
                <w:sz w:val="21"/>
              </w:rPr>
              <w:t>投标函及投标函附录签字盖章</w:t>
            </w:r>
          </w:p>
        </w:tc>
        <w:tc>
          <w:tcPr>
            <w:tcW w:w="5010" w:type="dxa"/>
          </w:tcPr>
          <w:p>
            <w:pPr>
              <w:pStyle w:val="25"/>
              <w:spacing w:before="142" w:line="360" w:lineRule="auto"/>
              <w:ind w:left="108" w:right="90"/>
              <w:jc w:val="both"/>
              <w:rPr>
                <w:sz w:val="21"/>
              </w:rPr>
            </w:pPr>
            <w:r>
              <w:rPr>
                <w:rFonts w:hint="eastAsia"/>
                <w:sz w:val="21"/>
              </w:rPr>
              <w:t>有法定代表人或其委托代理人签字或加盖单位章。由法定代表人签字的，应附法定代表人身份证明，由代理人签字的，应附授权委托书，身份证明或授权委托书应符合第五章“</w:t>
            </w:r>
            <w:r>
              <w:rPr>
                <w:rFonts w:hint="eastAsia"/>
                <w:sz w:val="21"/>
                <w:lang w:eastAsia="zh-CN"/>
              </w:rPr>
              <w:t>招标</w:t>
            </w:r>
            <w:r>
              <w:rPr>
                <w:rFonts w:hint="eastAsia"/>
                <w:sz w:val="21"/>
              </w:rPr>
              <w:t>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bottom w:val="single" w:color="auto" w:sz="4" w:space="0"/>
            </w:tcBorders>
          </w:tcPr>
          <w:p>
            <w:pPr>
              <w:spacing w:line="360" w:lineRule="auto"/>
              <w:rPr>
                <w:sz w:val="2"/>
                <w:szCs w:val="2"/>
              </w:rPr>
            </w:pPr>
          </w:p>
        </w:tc>
        <w:tc>
          <w:tcPr>
            <w:tcW w:w="1123" w:type="dxa"/>
            <w:vMerge w:val="continue"/>
            <w:tcBorders>
              <w:top w:val="nil"/>
              <w:bottom w:val="single" w:color="auto" w:sz="4" w:space="0"/>
            </w:tcBorders>
          </w:tcPr>
          <w:p>
            <w:pPr>
              <w:spacing w:line="360" w:lineRule="auto"/>
              <w:rPr>
                <w:sz w:val="2"/>
                <w:szCs w:val="2"/>
              </w:rPr>
            </w:pPr>
          </w:p>
        </w:tc>
        <w:tc>
          <w:tcPr>
            <w:tcW w:w="2148" w:type="dxa"/>
          </w:tcPr>
          <w:p>
            <w:pPr>
              <w:pStyle w:val="25"/>
              <w:spacing w:before="142" w:line="360" w:lineRule="auto"/>
              <w:ind w:left="62" w:right="52"/>
              <w:jc w:val="center"/>
              <w:rPr>
                <w:sz w:val="21"/>
              </w:rPr>
            </w:pPr>
            <w:r>
              <w:rPr>
                <w:rFonts w:hint="eastAsia"/>
                <w:sz w:val="21"/>
              </w:rPr>
              <w:t>投标文件格式</w:t>
            </w:r>
          </w:p>
        </w:tc>
        <w:tc>
          <w:tcPr>
            <w:tcW w:w="5010" w:type="dxa"/>
          </w:tcPr>
          <w:p>
            <w:pPr>
              <w:pStyle w:val="25"/>
              <w:spacing w:before="142" w:line="360" w:lineRule="auto"/>
              <w:ind w:left="108"/>
              <w:rPr>
                <w:sz w:val="21"/>
              </w:rPr>
            </w:pPr>
            <w:r>
              <w:rPr>
                <w:rFonts w:hint="eastAsia"/>
                <w:sz w:val="21"/>
              </w:rPr>
              <w:t>符合第五章“</w:t>
            </w:r>
            <w:r>
              <w:rPr>
                <w:rFonts w:hint="eastAsia"/>
                <w:sz w:val="21"/>
                <w:lang w:eastAsia="zh-CN"/>
              </w:rPr>
              <w:t>招标</w:t>
            </w:r>
            <w:r>
              <w:rPr>
                <w:rFonts w:hint="eastAsia"/>
                <w:sz w:val="21"/>
              </w:rPr>
              <w:t>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00" w:type="dxa"/>
            <w:vMerge w:val="restart"/>
            <w:tcBorders>
              <w:top w:val="single" w:color="auto" w:sz="4" w:space="0"/>
              <w:left w:val="single" w:color="auto" w:sz="4" w:space="0"/>
              <w:bottom w:val="single" w:color="auto" w:sz="4" w:space="0"/>
            </w:tcBorders>
          </w:tcPr>
          <w:p>
            <w:pPr>
              <w:pStyle w:val="25"/>
              <w:spacing w:line="360" w:lineRule="auto"/>
              <w:rPr>
                <w:b/>
              </w:rPr>
            </w:pPr>
          </w:p>
          <w:p>
            <w:pPr>
              <w:pStyle w:val="25"/>
              <w:spacing w:line="360" w:lineRule="auto"/>
              <w:rPr>
                <w:b/>
              </w:rPr>
            </w:pPr>
          </w:p>
          <w:p>
            <w:pPr>
              <w:pStyle w:val="25"/>
              <w:spacing w:line="360" w:lineRule="auto"/>
              <w:rPr>
                <w:b/>
              </w:rPr>
            </w:pPr>
          </w:p>
          <w:p>
            <w:pPr>
              <w:pStyle w:val="25"/>
              <w:spacing w:line="360" w:lineRule="auto"/>
              <w:rPr>
                <w:b/>
                <w:sz w:val="28"/>
              </w:rPr>
            </w:pPr>
          </w:p>
          <w:p>
            <w:pPr>
              <w:pStyle w:val="25"/>
              <w:spacing w:line="360" w:lineRule="auto"/>
              <w:ind w:left="239"/>
              <w:rPr>
                <w:sz w:val="21"/>
              </w:rPr>
            </w:pPr>
            <w:r>
              <w:rPr>
                <w:rFonts w:hint="eastAsia"/>
                <w:sz w:val="21"/>
              </w:rPr>
              <w:t>2.1.2</w:t>
            </w:r>
          </w:p>
        </w:tc>
        <w:tc>
          <w:tcPr>
            <w:tcW w:w="1123" w:type="dxa"/>
            <w:vMerge w:val="restart"/>
            <w:tcBorders>
              <w:top w:val="single" w:color="auto" w:sz="4" w:space="0"/>
              <w:bottom w:val="single" w:color="auto" w:sz="4" w:space="0"/>
              <w:right w:val="single" w:color="auto" w:sz="4" w:space="0"/>
            </w:tcBorders>
          </w:tcPr>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before="4" w:line="360" w:lineRule="auto"/>
              <w:rPr>
                <w:b/>
                <w:sz w:val="21"/>
              </w:rPr>
            </w:pPr>
          </w:p>
          <w:p>
            <w:pPr>
              <w:pStyle w:val="25"/>
              <w:spacing w:line="360" w:lineRule="auto"/>
              <w:ind w:left="350" w:right="127" w:hanging="209"/>
              <w:rPr>
                <w:sz w:val="21"/>
              </w:rPr>
            </w:pPr>
            <w:r>
              <w:rPr>
                <w:rFonts w:hint="eastAsia"/>
                <w:sz w:val="21"/>
              </w:rPr>
              <w:t>资格评审标准</w:t>
            </w:r>
          </w:p>
        </w:tc>
        <w:tc>
          <w:tcPr>
            <w:tcW w:w="2148" w:type="dxa"/>
            <w:tcBorders>
              <w:left w:val="single" w:color="auto" w:sz="4" w:space="0"/>
            </w:tcBorders>
          </w:tcPr>
          <w:p>
            <w:pPr>
              <w:pStyle w:val="25"/>
              <w:spacing w:before="3" w:line="360" w:lineRule="auto"/>
              <w:ind w:right="175"/>
              <w:rPr>
                <w:sz w:val="21"/>
              </w:rPr>
            </w:pPr>
          </w:p>
          <w:p>
            <w:pPr>
              <w:pStyle w:val="25"/>
              <w:spacing w:before="3" w:line="360" w:lineRule="auto"/>
              <w:ind w:right="175" w:firstLine="630" w:firstLineChars="300"/>
              <w:rPr>
                <w:sz w:val="21"/>
              </w:rPr>
            </w:pPr>
            <w:r>
              <w:rPr>
                <w:rFonts w:hint="eastAsia"/>
                <w:sz w:val="21"/>
              </w:rPr>
              <w:t>营业执照</w:t>
            </w:r>
          </w:p>
        </w:tc>
        <w:tc>
          <w:tcPr>
            <w:tcW w:w="5010" w:type="dxa"/>
          </w:tcPr>
          <w:p>
            <w:pPr>
              <w:pStyle w:val="25"/>
              <w:spacing w:before="140" w:line="360" w:lineRule="auto"/>
              <w:ind w:left="63" w:right="50"/>
              <w:jc w:val="both"/>
              <w:rPr>
                <w:sz w:val="21"/>
              </w:rPr>
            </w:pPr>
            <w:r>
              <w:rPr>
                <w:rFonts w:hint="eastAsia"/>
                <w:sz w:val="21"/>
              </w:rPr>
              <w:t>具备有效的营业执照</w:t>
            </w:r>
          </w:p>
          <w:p>
            <w:pPr>
              <w:pStyle w:val="25"/>
              <w:spacing w:before="140" w:line="360" w:lineRule="auto"/>
              <w:ind w:left="63" w:right="50"/>
              <w:jc w:val="both"/>
              <w:rPr>
                <w:sz w:val="21"/>
              </w:rPr>
            </w:pPr>
            <w:r>
              <w:rPr>
                <w:rFonts w:hint="eastAsia" w:asciiTheme="majorEastAsia" w:hAnsiTheme="majorEastAsia" w:eastAsiaTheme="majorEastAsia" w:cstheme="majorEastAsia"/>
                <w:b/>
                <w:bCs/>
                <w:sz w:val="21"/>
                <w:szCs w:val="21"/>
                <w:lang w:val="en-US"/>
              </w:rPr>
              <w:t>投标人需提供营业执照复印件并加盖公章。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0" w:line="360" w:lineRule="auto"/>
              <w:ind w:left="63" w:right="50"/>
              <w:jc w:val="center"/>
              <w:rPr>
                <w:sz w:val="21"/>
              </w:rPr>
            </w:pPr>
            <w:r>
              <w:rPr>
                <w:rFonts w:hint="eastAsia"/>
                <w:sz w:val="21"/>
              </w:rPr>
              <w:t>资质要求</w:t>
            </w:r>
          </w:p>
        </w:tc>
        <w:tc>
          <w:tcPr>
            <w:tcW w:w="5010" w:type="dxa"/>
          </w:tcPr>
          <w:p>
            <w:pPr>
              <w:pStyle w:val="25"/>
              <w:spacing w:before="140" w:line="360" w:lineRule="auto"/>
              <w:ind w:left="63" w:right="50"/>
              <w:rPr>
                <w:rFonts w:hint="eastAsia" w:asciiTheme="majorEastAsia" w:hAnsiTheme="majorEastAsia" w:eastAsiaTheme="majorEastAsia" w:cstheme="majorEastAsia"/>
                <w:b w:val="0"/>
                <w:bCs w:val="0"/>
                <w:sz w:val="21"/>
              </w:rPr>
            </w:pPr>
            <w:r>
              <w:rPr>
                <w:rFonts w:hint="eastAsia" w:asciiTheme="majorEastAsia" w:hAnsiTheme="majorEastAsia" w:eastAsiaTheme="majorEastAsia" w:cstheme="majorEastAsia"/>
                <w:b w:val="0"/>
                <w:bCs w:val="0"/>
                <w:sz w:val="21"/>
              </w:rPr>
              <w:t>本次招标要求投标人须具备建设行政主管部门核发的通信工程监理乙级及以上资质，并在人员、试验检测仪器设备方面具有相应的监理能力。</w:t>
            </w:r>
          </w:p>
          <w:p>
            <w:pPr>
              <w:pStyle w:val="25"/>
              <w:spacing w:before="140" w:line="360" w:lineRule="auto"/>
              <w:ind w:left="63" w:right="50"/>
              <w:rPr>
                <w:sz w:val="21"/>
              </w:rPr>
            </w:pPr>
            <w:r>
              <w:rPr>
                <w:rFonts w:hint="eastAsia" w:asciiTheme="majorEastAsia" w:hAnsiTheme="majorEastAsia" w:eastAsiaTheme="majorEastAsia" w:cstheme="majorEastAsia"/>
                <w:b/>
                <w:bCs/>
                <w:sz w:val="21"/>
              </w:rPr>
              <w:t>提供资质证书复印件加盖公章。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2" w:line="360" w:lineRule="auto"/>
              <w:ind w:left="63" w:right="50"/>
              <w:jc w:val="center"/>
              <w:rPr>
                <w:sz w:val="21"/>
              </w:rPr>
            </w:pPr>
          </w:p>
          <w:p>
            <w:pPr>
              <w:pStyle w:val="25"/>
              <w:spacing w:before="142" w:line="360" w:lineRule="auto"/>
              <w:ind w:left="63" w:right="50"/>
              <w:jc w:val="center"/>
              <w:rPr>
                <w:sz w:val="21"/>
              </w:rPr>
            </w:pPr>
            <w:r>
              <w:rPr>
                <w:rFonts w:hint="eastAsia"/>
                <w:sz w:val="21"/>
              </w:rPr>
              <w:t>财务要求</w:t>
            </w:r>
          </w:p>
        </w:tc>
        <w:tc>
          <w:tcPr>
            <w:tcW w:w="5010" w:type="dxa"/>
          </w:tcPr>
          <w:p>
            <w:pPr>
              <w:pStyle w:val="25"/>
              <w:spacing w:before="142" w:line="360" w:lineRule="auto"/>
              <w:ind w:left="108"/>
              <w:rPr>
                <w:sz w:val="21"/>
              </w:rPr>
            </w:pPr>
            <w:r>
              <w:rPr>
                <w:rFonts w:hint="eastAsia"/>
                <w:sz w:val="21"/>
              </w:rPr>
              <w:t>2019年经会计师事务所或审计机构审计的财务会计报表中流动资产大于流动负债。</w:t>
            </w:r>
          </w:p>
          <w:p>
            <w:pPr>
              <w:pStyle w:val="25"/>
              <w:spacing w:before="142" w:line="360" w:lineRule="auto"/>
              <w:ind w:left="108"/>
              <w:rPr>
                <w:sz w:val="21"/>
              </w:rPr>
            </w:pPr>
            <w:r>
              <w:rPr>
                <w:rFonts w:hint="eastAsia" w:asciiTheme="majorEastAsia" w:hAnsiTheme="majorEastAsia" w:eastAsiaTheme="majorEastAsia" w:cstheme="majorEastAsia"/>
                <w:b/>
                <w:bCs/>
                <w:sz w:val="21"/>
                <w:szCs w:val="21"/>
                <w:lang w:val="en-US"/>
              </w:rPr>
              <w:t>投标人需提供财务审计报告复印件并加盖公章。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2" w:line="360" w:lineRule="auto"/>
              <w:ind w:left="63" w:right="50"/>
              <w:jc w:val="center"/>
              <w:rPr>
                <w:sz w:val="21"/>
              </w:rPr>
            </w:pPr>
          </w:p>
          <w:p>
            <w:pPr>
              <w:pStyle w:val="25"/>
              <w:spacing w:before="142" w:line="360" w:lineRule="auto"/>
              <w:ind w:left="63" w:right="50"/>
              <w:jc w:val="center"/>
              <w:rPr>
                <w:sz w:val="21"/>
              </w:rPr>
            </w:pPr>
            <w:r>
              <w:rPr>
                <w:rFonts w:hint="eastAsia"/>
                <w:sz w:val="21"/>
              </w:rPr>
              <w:t>业绩要求</w:t>
            </w:r>
          </w:p>
        </w:tc>
        <w:tc>
          <w:tcPr>
            <w:tcW w:w="5010" w:type="dxa"/>
          </w:tcPr>
          <w:p>
            <w:pPr>
              <w:pStyle w:val="25"/>
              <w:spacing w:before="142" w:line="360" w:lineRule="auto"/>
              <w:ind w:left="108"/>
              <w:rPr>
                <w:sz w:val="21"/>
              </w:rPr>
            </w:pPr>
            <w:r>
              <w:rPr>
                <w:rFonts w:hint="eastAsia"/>
                <w:sz w:val="21"/>
              </w:rPr>
              <w:t>2017年1月1日至今</w:t>
            </w:r>
            <w:r>
              <w:rPr>
                <w:rFonts w:hint="eastAsia" w:asciiTheme="majorEastAsia" w:hAnsiTheme="majorEastAsia" w:eastAsiaTheme="majorEastAsia" w:cstheme="majorEastAsia"/>
                <w:sz w:val="21"/>
                <w:lang w:val="en-US"/>
              </w:rPr>
              <w:t>至少完成过1项</w:t>
            </w:r>
            <w:r>
              <w:rPr>
                <w:rFonts w:hint="eastAsia"/>
                <w:sz w:val="21"/>
              </w:rPr>
              <w:t>通信基站或通信铁塔类</w:t>
            </w:r>
            <w:r>
              <w:rPr>
                <w:rFonts w:hint="eastAsia"/>
                <w:sz w:val="21"/>
                <w:lang w:eastAsia="zh-CN"/>
              </w:rPr>
              <w:t>监理</w:t>
            </w:r>
            <w:r>
              <w:rPr>
                <w:rFonts w:hint="eastAsia"/>
                <w:sz w:val="21"/>
              </w:rPr>
              <w:t>业绩合同。</w:t>
            </w:r>
          </w:p>
          <w:p>
            <w:pPr>
              <w:pStyle w:val="25"/>
              <w:spacing w:before="142" w:line="360" w:lineRule="auto"/>
              <w:ind w:left="108"/>
              <w:rPr>
                <w:sz w:val="21"/>
              </w:rPr>
            </w:pPr>
            <w:r>
              <w:rPr>
                <w:rFonts w:hint="eastAsia" w:asciiTheme="majorEastAsia" w:hAnsiTheme="majorEastAsia" w:eastAsiaTheme="majorEastAsia" w:cstheme="majorEastAsia"/>
                <w:b/>
                <w:bCs/>
                <w:sz w:val="21"/>
                <w:szCs w:val="21"/>
                <w:lang w:val="en-US"/>
              </w:rPr>
              <w:t>投标人需提供合同协议书复印件并加盖公章。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2" w:line="360" w:lineRule="auto"/>
              <w:ind w:left="63" w:right="50"/>
              <w:jc w:val="center"/>
              <w:rPr>
                <w:sz w:val="21"/>
              </w:rPr>
            </w:pPr>
          </w:p>
          <w:p>
            <w:pPr>
              <w:pStyle w:val="25"/>
              <w:spacing w:before="142" w:line="360" w:lineRule="auto"/>
              <w:ind w:left="63" w:right="50"/>
              <w:jc w:val="center"/>
              <w:rPr>
                <w:sz w:val="21"/>
              </w:rPr>
            </w:pPr>
            <w:r>
              <w:rPr>
                <w:rFonts w:hint="eastAsia"/>
                <w:sz w:val="21"/>
              </w:rPr>
              <w:t>信誉要求</w:t>
            </w:r>
          </w:p>
        </w:tc>
        <w:tc>
          <w:tcPr>
            <w:tcW w:w="5010" w:type="dxa"/>
          </w:tcPr>
          <w:p>
            <w:pPr>
              <w:pStyle w:val="25"/>
              <w:spacing w:before="142" w:line="360" w:lineRule="auto"/>
              <w:ind w:left="108"/>
              <w:rPr>
                <w:sz w:val="21"/>
              </w:rPr>
            </w:pPr>
            <w:r>
              <w:rPr>
                <w:rFonts w:hint="eastAsia"/>
                <w:sz w:val="21"/>
              </w:rPr>
              <w:t>拒绝列入政府取消投标资格记录期间的企业或个人投标，拒绝被工商行政管理机关在全国企业信用信息公示系统（http://www.gsxt.gov.cn/index.html）中列入严重违法失信企业名单的企业参与投标。拒绝被最高人民法院在“信用中国”网站（www.creditchina.gov.cn）或各级信用信息共享平台中列入失信被执行人名单的参与投标。投标人不存在行贿犯罪记录，投标时提供“中国裁判文书网”（http://wenshu.court.gov.cn/）查询企业无行贿犯罪记录的网页截图。</w:t>
            </w:r>
          </w:p>
          <w:p>
            <w:pPr>
              <w:pStyle w:val="25"/>
              <w:spacing w:before="142" w:line="360" w:lineRule="auto"/>
              <w:ind w:left="108"/>
              <w:rPr>
                <w:sz w:val="21"/>
              </w:rPr>
            </w:pPr>
            <w:r>
              <w:rPr>
                <w:rFonts w:hint="eastAsia" w:asciiTheme="majorEastAsia" w:hAnsiTheme="majorEastAsia" w:eastAsiaTheme="majorEastAsia" w:cstheme="majorEastAsia"/>
                <w:b/>
                <w:bCs/>
                <w:sz w:val="21"/>
                <w:szCs w:val="21"/>
                <w:lang w:val="en-US"/>
              </w:rPr>
              <w:t>投标人</w:t>
            </w:r>
            <w:r>
              <w:rPr>
                <w:rFonts w:hint="eastAsia" w:asciiTheme="majorEastAsia" w:hAnsiTheme="majorEastAsia" w:eastAsiaTheme="majorEastAsia" w:cstheme="majorEastAsia"/>
                <w:b/>
                <w:bCs/>
                <w:sz w:val="21"/>
              </w:rPr>
              <w:t>需提供“信用中国”网站、工商行政管理机关在全国企业信用信息公示系统及“中国裁判文书网”截图加盖单位公章。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3" w:line="360" w:lineRule="auto"/>
              <w:ind w:left="62" w:right="52"/>
              <w:jc w:val="center"/>
              <w:rPr>
                <w:sz w:val="21"/>
                <w:highlight w:val="none"/>
              </w:rPr>
            </w:pPr>
          </w:p>
          <w:p>
            <w:pPr>
              <w:pStyle w:val="25"/>
              <w:spacing w:before="143" w:line="360" w:lineRule="auto"/>
              <w:ind w:left="62" w:right="52"/>
              <w:jc w:val="center"/>
              <w:rPr>
                <w:sz w:val="21"/>
                <w:highlight w:val="none"/>
              </w:rPr>
            </w:pPr>
          </w:p>
          <w:p>
            <w:pPr>
              <w:pStyle w:val="25"/>
              <w:spacing w:before="143" w:line="360" w:lineRule="auto"/>
              <w:ind w:left="62" w:right="52"/>
              <w:jc w:val="center"/>
              <w:rPr>
                <w:sz w:val="21"/>
                <w:highlight w:val="none"/>
              </w:rPr>
            </w:pPr>
            <w:r>
              <w:rPr>
                <w:rFonts w:hint="eastAsia"/>
                <w:sz w:val="21"/>
                <w:highlight w:val="none"/>
              </w:rPr>
              <w:t>总监理工程师</w:t>
            </w:r>
          </w:p>
        </w:tc>
        <w:tc>
          <w:tcPr>
            <w:tcW w:w="5010" w:type="dxa"/>
          </w:tcPr>
          <w:p>
            <w:pPr>
              <w:pStyle w:val="25"/>
              <w:spacing w:before="143" w:line="360" w:lineRule="auto"/>
              <w:ind w:left="108"/>
              <w:rPr>
                <w:sz w:val="21"/>
                <w:highlight w:val="none"/>
              </w:rPr>
            </w:pPr>
            <w:r>
              <w:rPr>
                <w:rFonts w:hint="eastAsia"/>
                <w:sz w:val="21"/>
                <w:highlight w:val="none"/>
              </w:rPr>
              <w:t>注册监理工程师（通信工程专业）</w:t>
            </w:r>
          </w:p>
          <w:p>
            <w:pPr>
              <w:pStyle w:val="25"/>
              <w:numPr>
                <w:ilvl w:val="0"/>
                <w:numId w:val="1"/>
              </w:numPr>
              <w:spacing w:before="145" w:line="360" w:lineRule="auto"/>
              <w:ind w:left="199" w:leftChars="95"/>
              <w:rPr>
                <w:rFonts w:asciiTheme="majorEastAsia" w:hAnsiTheme="majorEastAsia" w:eastAsiaTheme="majorEastAsia" w:cstheme="majorEastAsia"/>
                <w:b/>
                <w:bCs/>
                <w:sz w:val="21"/>
                <w:highlight w:val="none"/>
                <w:lang w:val="en-US"/>
              </w:rPr>
            </w:pPr>
            <w:r>
              <w:rPr>
                <w:rFonts w:hint="eastAsia" w:asciiTheme="majorEastAsia" w:hAnsiTheme="majorEastAsia" w:eastAsiaTheme="majorEastAsia" w:cstheme="majorEastAsia"/>
                <w:b/>
                <w:bCs/>
                <w:sz w:val="21"/>
                <w:highlight w:val="none"/>
              </w:rPr>
              <w:t>提供注册监理工程师执业证书复印件</w:t>
            </w:r>
            <w:r>
              <w:rPr>
                <w:rFonts w:hint="eastAsia" w:asciiTheme="majorEastAsia" w:hAnsiTheme="majorEastAsia" w:eastAsiaTheme="majorEastAsia" w:cstheme="majorEastAsia"/>
                <w:b/>
                <w:bCs/>
                <w:sz w:val="21"/>
                <w:highlight w:val="none"/>
                <w:lang w:val="en-US"/>
              </w:rPr>
              <w:t xml:space="preserve">加盖单位公章。 </w:t>
            </w:r>
          </w:p>
          <w:p>
            <w:pPr>
              <w:pStyle w:val="25"/>
              <w:spacing w:before="145" w:line="360" w:lineRule="auto"/>
              <w:ind w:left="199" w:leftChars="95"/>
              <w:rPr>
                <w:rFonts w:asciiTheme="majorEastAsia" w:hAnsiTheme="majorEastAsia" w:eastAsiaTheme="majorEastAsia" w:cstheme="majorEastAsia"/>
                <w:b/>
                <w:bCs/>
                <w:sz w:val="21"/>
                <w:highlight w:val="none"/>
              </w:rPr>
            </w:pPr>
            <w:r>
              <w:rPr>
                <w:rFonts w:hint="eastAsia" w:asciiTheme="majorEastAsia" w:hAnsiTheme="majorEastAsia" w:eastAsiaTheme="majorEastAsia" w:cstheme="majorEastAsia"/>
                <w:b/>
                <w:bCs/>
                <w:sz w:val="21"/>
                <w:highlight w:val="none"/>
                <w:lang w:val="en-US"/>
              </w:rPr>
              <w:t>2、</w:t>
            </w:r>
            <w:r>
              <w:rPr>
                <w:rFonts w:hint="eastAsia" w:asciiTheme="majorEastAsia" w:hAnsiTheme="majorEastAsia" w:eastAsiaTheme="majorEastAsia" w:cstheme="majorEastAsia"/>
                <w:b/>
                <w:bCs/>
                <w:sz w:val="21"/>
                <w:highlight w:val="none"/>
              </w:rPr>
              <w:t>由法定代表人或授权代理人签字并加盖单位公章的无在建项目承诺书。</w:t>
            </w:r>
          </w:p>
          <w:p>
            <w:pPr>
              <w:pStyle w:val="25"/>
              <w:spacing w:before="143" w:line="360" w:lineRule="auto"/>
              <w:ind w:left="108"/>
              <w:rPr>
                <w:sz w:val="21"/>
                <w:highlight w:val="none"/>
              </w:rPr>
            </w:pPr>
            <w:r>
              <w:rPr>
                <w:rFonts w:hint="eastAsia" w:asciiTheme="majorEastAsia" w:hAnsiTheme="majorEastAsia" w:eastAsiaTheme="majorEastAsia" w:cstheme="majorEastAsia"/>
                <w:b/>
                <w:bCs/>
                <w:sz w:val="21"/>
                <w:highlight w:val="none"/>
                <w:lang w:val="en-US"/>
              </w:rPr>
              <w:t>3、</w:t>
            </w:r>
            <w:r>
              <w:rPr>
                <w:rFonts w:hint="eastAsia" w:asciiTheme="majorEastAsia" w:hAnsiTheme="majorEastAsia" w:eastAsiaTheme="majorEastAsia" w:cstheme="majorEastAsia"/>
                <w:b/>
                <w:bCs/>
                <w:sz w:val="21"/>
                <w:highlight w:val="none"/>
              </w:rPr>
              <w:t>2017年1月1日至今至少完成一项通信工程类</w:t>
            </w:r>
            <w:r>
              <w:rPr>
                <w:rFonts w:hint="eastAsia" w:asciiTheme="majorEastAsia" w:hAnsiTheme="majorEastAsia" w:eastAsiaTheme="majorEastAsia" w:cstheme="majorEastAsia"/>
                <w:b/>
                <w:bCs/>
                <w:sz w:val="21"/>
                <w:highlight w:val="none"/>
                <w:lang w:val="en-US"/>
              </w:rPr>
              <w:t>任职总监理工程师</w:t>
            </w:r>
            <w:r>
              <w:rPr>
                <w:rFonts w:hint="eastAsia" w:asciiTheme="majorEastAsia" w:hAnsiTheme="majorEastAsia" w:eastAsiaTheme="majorEastAsia" w:cstheme="majorEastAsia"/>
                <w:b/>
                <w:bCs/>
                <w:sz w:val="21"/>
                <w:highlight w:val="none"/>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2" w:line="360" w:lineRule="auto"/>
              <w:ind w:left="62" w:right="52"/>
              <w:jc w:val="center"/>
              <w:rPr>
                <w:sz w:val="21"/>
              </w:rPr>
            </w:pPr>
            <w:r>
              <w:rPr>
                <w:rFonts w:hint="eastAsia"/>
                <w:sz w:val="21"/>
              </w:rPr>
              <w:t>其他主要人员</w:t>
            </w:r>
          </w:p>
        </w:tc>
        <w:tc>
          <w:tcPr>
            <w:tcW w:w="5010" w:type="dxa"/>
          </w:tcPr>
          <w:p>
            <w:pPr>
              <w:pStyle w:val="25"/>
              <w:numPr>
                <w:ilvl w:val="0"/>
                <w:numId w:val="1"/>
              </w:numPr>
              <w:spacing w:before="145" w:line="360" w:lineRule="auto"/>
              <w:ind w:left="199" w:leftChars="95"/>
              <w:rPr>
                <w:sz w:val="21"/>
              </w:rPr>
            </w:pPr>
            <w:r>
              <w:rPr>
                <w:rFonts w:hint="eastAsia"/>
                <w:sz w:val="21"/>
              </w:rPr>
              <w:t>附主要人员相对应的注册证书或职称证书复印件</w:t>
            </w:r>
            <w:r>
              <w:rPr>
                <w:rFonts w:hint="eastAsia"/>
                <w:sz w:val="21"/>
                <w:lang w:val="en-US"/>
              </w:rPr>
              <w:t>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restart"/>
            <w:tcBorders>
              <w:top w:val="single" w:color="auto" w:sz="4" w:space="0"/>
              <w:left w:val="single" w:color="auto" w:sz="4" w:space="0"/>
              <w:bottom w:val="single" w:color="auto" w:sz="4" w:space="0"/>
            </w:tcBorders>
          </w:tcPr>
          <w:p>
            <w:pPr>
              <w:pStyle w:val="25"/>
              <w:spacing w:line="360" w:lineRule="auto"/>
              <w:rPr>
                <w:sz w:val="20"/>
              </w:rPr>
            </w:pPr>
          </w:p>
        </w:tc>
        <w:tc>
          <w:tcPr>
            <w:tcW w:w="1123" w:type="dxa"/>
            <w:vMerge w:val="restart"/>
            <w:tcBorders>
              <w:top w:val="single" w:color="auto" w:sz="4" w:space="0"/>
              <w:bottom w:val="single" w:color="auto" w:sz="4" w:space="0"/>
              <w:right w:val="single" w:color="auto" w:sz="4" w:space="0"/>
            </w:tcBorders>
          </w:tcPr>
          <w:p>
            <w:pPr>
              <w:pStyle w:val="25"/>
              <w:spacing w:line="360" w:lineRule="auto"/>
              <w:rPr>
                <w:sz w:val="20"/>
              </w:rPr>
            </w:pPr>
          </w:p>
        </w:tc>
        <w:tc>
          <w:tcPr>
            <w:tcW w:w="2148" w:type="dxa"/>
            <w:tcBorders>
              <w:left w:val="single" w:color="auto" w:sz="4" w:space="0"/>
            </w:tcBorders>
          </w:tcPr>
          <w:p>
            <w:pPr>
              <w:pStyle w:val="25"/>
              <w:spacing w:before="142" w:line="360" w:lineRule="auto"/>
              <w:ind w:left="62" w:right="52"/>
              <w:jc w:val="center"/>
              <w:rPr>
                <w:sz w:val="21"/>
              </w:rPr>
            </w:pPr>
            <w:r>
              <w:rPr>
                <w:rFonts w:hint="eastAsia"/>
                <w:sz w:val="21"/>
              </w:rPr>
              <w:t>试验检测仪器设备</w:t>
            </w:r>
          </w:p>
        </w:tc>
        <w:tc>
          <w:tcPr>
            <w:tcW w:w="5010" w:type="dxa"/>
          </w:tcPr>
          <w:p>
            <w:pPr>
              <w:pStyle w:val="25"/>
              <w:spacing w:before="142" w:line="360" w:lineRule="auto"/>
              <w:ind w:left="108"/>
              <w:rPr>
                <w:sz w:val="21"/>
              </w:rPr>
            </w:pPr>
            <w:r>
              <w:rPr>
                <w:rFonts w:hint="eastAsia"/>
                <w:sz w:val="21"/>
              </w:rPr>
              <w:t xml:space="preserve">标书中提供设备列表及设备相关证明材料1、复印件加盖单位公章。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42" w:line="360" w:lineRule="auto"/>
              <w:ind w:left="63" w:right="50"/>
              <w:jc w:val="center"/>
              <w:rPr>
                <w:sz w:val="21"/>
              </w:rPr>
            </w:pPr>
            <w:r>
              <w:rPr>
                <w:rFonts w:hint="eastAsia"/>
                <w:sz w:val="21"/>
              </w:rPr>
              <w:t>其他要求</w:t>
            </w:r>
          </w:p>
        </w:tc>
        <w:tc>
          <w:tcPr>
            <w:tcW w:w="5010" w:type="dxa"/>
          </w:tcPr>
          <w:p>
            <w:pPr>
              <w:pStyle w:val="25"/>
              <w:spacing w:before="142" w:line="360" w:lineRule="auto"/>
              <w:ind w:left="108"/>
              <w:rPr>
                <w:sz w:val="21"/>
              </w:rPr>
            </w:pPr>
            <w:r>
              <w:rPr>
                <w:rFonts w:hint="eastAsia"/>
                <w:sz w:val="21"/>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900" w:type="dxa"/>
            <w:vMerge w:val="continue"/>
            <w:tcBorders>
              <w:top w:val="single" w:color="auto" w:sz="4" w:space="0"/>
              <w:left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right w:val="single" w:color="auto" w:sz="4" w:space="0"/>
            </w:tcBorders>
          </w:tcPr>
          <w:p>
            <w:pPr>
              <w:spacing w:line="360" w:lineRule="auto"/>
              <w:rPr>
                <w:sz w:val="2"/>
                <w:szCs w:val="2"/>
              </w:rPr>
            </w:pPr>
          </w:p>
        </w:tc>
        <w:tc>
          <w:tcPr>
            <w:tcW w:w="2148" w:type="dxa"/>
            <w:tcBorders>
              <w:left w:val="single" w:color="auto" w:sz="4" w:space="0"/>
            </w:tcBorders>
          </w:tcPr>
          <w:p>
            <w:pPr>
              <w:pStyle w:val="25"/>
              <w:spacing w:before="11" w:line="360" w:lineRule="auto"/>
              <w:rPr>
                <w:b/>
                <w:sz w:val="19"/>
              </w:rPr>
            </w:pPr>
          </w:p>
          <w:p>
            <w:pPr>
              <w:pStyle w:val="25"/>
              <w:spacing w:line="360" w:lineRule="auto"/>
              <w:ind w:left="61" w:right="52"/>
              <w:jc w:val="center"/>
              <w:rPr>
                <w:sz w:val="21"/>
              </w:rPr>
            </w:pPr>
            <w:r>
              <w:rPr>
                <w:rFonts w:hint="eastAsia"/>
                <w:sz w:val="21"/>
              </w:rPr>
              <w:t>不存在禁止投标的情形</w:t>
            </w:r>
          </w:p>
        </w:tc>
        <w:tc>
          <w:tcPr>
            <w:tcW w:w="5010" w:type="dxa"/>
          </w:tcPr>
          <w:p>
            <w:pPr>
              <w:pStyle w:val="25"/>
              <w:spacing w:line="360" w:lineRule="auto"/>
              <w:ind w:left="108" w:right="16"/>
              <w:rPr>
                <w:sz w:val="21"/>
              </w:rPr>
            </w:pPr>
            <w:r>
              <w:rPr>
                <w:rFonts w:hint="eastAsia"/>
                <w:sz w:val="21"/>
              </w:rPr>
              <w:t>投标人不得存在下列情形之一：</w:t>
            </w:r>
          </w:p>
          <w:p>
            <w:pPr>
              <w:pStyle w:val="25"/>
              <w:spacing w:line="360" w:lineRule="auto"/>
              <w:ind w:left="108" w:right="16"/>
              <w:rPr>
                <w:sz w:val="21"/>
              </w:rPr>
            </w:pPr>
            <w:r>
              <w:rPr>
                <w:rFonts w:hint="eastAsia"/>
                <w:sz w:val="21"/>
              </w:rPr>
              <w:t xml:space="preserve">(1) 为招标人不具有独立法人资格的附属机构（单位）； </w:t>
            </w:r>
          </w:p>
          <w:p>
            <w:pPr>
              <w:pStyle w:val="25"/>
              <w:spacing w:line="360" w:lineRule="auto"/>
              <w:ind w:left="108" w:right="16"/>
              <w:rPr>
                <w:sz w:val="21"/>
              </w:rPr>
            </w:pPr>
            <w:r>
              <w:rPr>
                <w:rFonts w:hint="eastAsia"/>
                <w:sz w:val="21"/>
              </w:rPr>
              <w:t xml:space="preserve">(2) 为本招标项目的设计人； </w:t>
            </w:r>
          </w:p>
          <w:p>
            <w:pPr>
              <w:pStyle w:val="25"/>
              <w:spacing w:line="360" w:lineRule="auto"/>
              <w:ind w:left="108" w:right="16"/>
              <w:rPr>
                <w:sz w:val="21"/>
              </w:rPr>
            </w:pPr>
            <w:r>
              <w:rPr>
                <w:rFonts w:hint="eastAsia"/>
                <w:sz w:val="21"/>
              </w:rPr>
              <w:t xml:space="preserve">(3) 为本招标项目的代建人； </w:t>
            </w:r>
          </w:p>
          <w:p>
            <w:pPr>
              <w:pStyle w:val="25"/>
              <w:spacing w:line="360" w:lineRule="auto"/>
              <w:ind w:left="108" w:right="16"/>
              <w:rPr>
                <w:sz w:val="21"/>
              </w:rPr>
            </w:pPr>
            <w:r>
              <w:rPr>
                <w:rFonts w:hint="eastAsia"/>
                <w:sz w:val="21"/>
              </w:rPr>
              <w:t xml:space="preserve">(4) 为本招标项目提供招标代理服务的； </w:t>
            </w:r>
          </w:p>
          <w:p>
            <w:pPr>
              <w:pStyle w:val="25"/>
              <w:spacing w:line="360" w:lineRule="auto"/>
              <w:ind w:left="108" w:right="16"/>
              <w:rPr>
                <w:sz w:val="21"/>
              </w:rPr>
            </w:pPr>
            <w:r>
              <w:rPr>
                <w:rFonts w:hint="eastAsia"/>
                <w:sz w:val="21"/>
              </w:rPr>
              <w:t xml:space="preserve">(5) 与本招标项目的设计人或代建人或招标代理机构同为一个法定代表人的； </w:t>
            </w:r>
          </w:p>
          <w:p>
            <w:pPr>
              <w:pStyle w:val="25"/>
              <w:spacing w:line="360" w:lineRule="auto"/>
              <w:ind w:left="108" w:right="16"/>
              <w:rPr>
                <w:sz w:val="21"/>
              </w:rPr>
            </w:pPr>
            <w:r>
              <w:rPr>
                <w:rFonts w:hint="eastAsia"/>
                <w:sz w:val="21"/>
              </w:rPr>
              <w:t xml:space="preserve">(6) 与本招标项目的设计人或代建人或招标代理机构相互控股或参股的； </w:t>
            </w:r>
          </w:p>
          <w:p>
            <w:pPr>
              <w:pStyle w:val="25"/>
              <w:spacing w:line="360" w:lineRule="auto"/>
              <w:ind w:left="108" w:right="16"/>
              <w:rPr>
                <w:sz w:val="21"/>
              </w:rPr>
            </w:pPr>
            <w:r>
              <w:rPr>
                <w:rFonts w:hint="eastAsia"/>
                <w:sz w:val="21"/>
              </w:rPr>
              <w:t xml:space="preserve">(7) 与本招标项目的设计人或代建人或招标代理机构相互任职或工作的； </w:t>
            </w:r>
          </w:p>
          <w:p>
            <w:pPr>
              <w:pStyle w:val="25"/>
              <w:spacing w:line="360" w:lineRule="auto"/>
              <w:ind w:left="108" w:right="16"/>
              <w:rPr>
                <w:sz w:val="21"/>
              </w:rPr>
            </w:pPr>
            <w:r>
              <w:rPr>
                <w:rFonts w:hint="eastAsia"/>
                <w:sz w:val="21"/>
              </w:rPr>
              <w:t xml:space="preserve">(8) 被责令停业的； </w:t>
            </w:r>
          </w:p>
          <w:p>
            <w:pPr>
              <w:pStyle w:val="25"/>
              <w:spacing w:line="360" w:lineRule="auto"/>
              <w:ind w:left="108" w:right="16"/>
              <w:rPr>
                <w:sz w:val="21"/>
              </w:rPr>
            </w:pPr>
            <w:r>
              <w:rPr>
                <w:rFonts w:hint="eastAsia"/>
                <w:sz w:val="21"/>
              </w:rPr>
              <w:t xml:space="preserve">(9) 被暂停或取消投标资格的； </w:t>
            </w:r>
          </w:p>
          <w:p>
            <w:pPr>
              <w:pStyle w:val="25"/>
              <w:spacing w:line="360" w:lineRule="auto"/>
              <w:ind w:left="108" w:right="16"/>
              <w:rPr>
                <w:sz w:val="21"/>
              </w:rPr>
            </w:pPr>
            <w:r>
              <w:rPr>
                <w:rFonts w:hint="eastAsia"/>
                <w:sz w:val="21"/>
              </w:rPr>
              <w:t xml:space="preserve">(10) 财产被接管或冻结的； </w:t>
            </w:r>
          </w:p>
          <w:p>
            <w:pPr>
              <w:pStyle w:val="25"/>
              <w:spacing w:line="360" w:lineRule="auto"/>
              <w:ind w:left="108" w:right="16"/>
              <w:rPr>
                <w:sz w:val="21"/>
              </w:rPr>
            </w:pPr>
            <w:r>
              <w:rPr>
                <w:rFonts w:hint="eastAsia"/>
                <w:sz w:val="21"/>
              </w:rPr>
              <w:t xml:space="preserve">(11) 在最近三年内有骗取中标或严重违约或重大工程质量问题的。 </w:t>
            </w:r>
          </w:p>
          <w:p>
            <w:pPr>
              <w:pStyle w:val="25"/>
              <w:spacing w:line="360" w:lineRule="auto"/>
              <w:ind w:left="108" w:right="16"/>
              <w:rPr>
                <w:sz w:val="21"/>
              </w:rPr>
            </w:pPr>
            <w:r>
              <w:rPr>
                <w:rFonts w:hint="eastAsia"/>
                <w:sz w:val="21"/>
              </w:rPr>
              <w:t>(12) 单位负责人为同一人或者存在控股、管理关系的不同单位，不得同时参加本招标项目投标。</w:t>
            </w:r>
          </w:p>
          <w:p>
            <w:pPr>
              <w:pStyle w:val="25"/>
              <w:spacing w:line="360" w:lineRule="auto"/>
              <w:ind w:left="108" w:right="16"/>
              <w:rPr>
                <w:sz w:val="21"/>
              </w:rPr>
            </w:pPr>
            <w:r>
              <w:rPr>
                <w:rFonts w:hint="eastAsia"/>
                <w:sz w:val="21"/>
              </w:rPr>
              <w:t>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00" w:type="dxa"/>
            <w:vMerge w:val="restart"/>
            <w:tcBorders>
              <w:top w:val="single" w:color="auto" w:sz="4" w:space="0"/>
              <w:bottom w:val="single" w:color="auto" w:sz="4" w:space="0"/>
            </w:tcBorders>
          </w:tcPr>
          <w:p>
            <w:pPr>
              <w:pStyle w:val="25"/>
              <w:spacing w:line="360" w:lineRule="auto"/>
              <w:rPr>
                <w:b/>
              </w:rPr>
            </w:pPr>
          </w:p>
          <w:p>
            <w:pPr>
              <w:pStyle w:val="25"/>
              <w:spacing w:line="360" w:lineRule="auto"/>
              <w:rPr>
                <w:b/>
              </w:rPr>
            </w:pPr>
          </w:p>
          <w:p>
            <w:pPr>
              <w:pStyle w:val="25"/>
              <w:spacing w:line="360" w:lineRule="auto"/>
              <w:rPr>
                <w:b/>
              </w:rPr>
            </w:pPr>
          </w:p>
          <w:p>
            <w:pPr>
              <w:pStyle w:val="25"/>
              <w:spacing w:line="360" w:lineRule="auto"/>
              <w:rPr>
                <w:b/>
              </w:rPr>
            </w:pPr>
          </w:p>
          <w:p>
            <w:pPr>
              <w:pStyle w:val="25"/>
              <w:spacing w:before="8" w:line="360" w:lineRule="auto"/>
              <w:rPr>
                <w:b/>
                <w:sz w:val="30"/>
              </w:rPr>
            </w:pPr>
          </w:p>
          <w:p>
            <w:pPr>
              <w:pStyle w:val="25"/>
              <w:spacing w:line="360" w:lineRule="auto"/>
              <w:ind w:left="239"/>
              <w:rPr>
                <w:sz w:val="21"/>
              </w:rPr>
            </w:pPr>
            <w:r>
              <w:rPr>
                <w:rFonts w:hint="eastAsia"/>
                <w:sz w:val="21"/>
              </w:rPr>
              <w:t>2.1.3</w:t>
            </w:r>
          </w:p>
        </w:tc>
        <w:tc>
          <w:tcPr>
            <w:tcW w:w="1123" w:type="dxa"/>
            <w:vMerge w:val="restart"/>
            <w:tcBorders>
              <w:top w:val="single" w:color="auto" w:sz="4" w:space="0"/>
              <w:bottom w:val="single" w:color="auto" w:sz="4" w:space="0"/>
            </w:tcBorders>
          </w:tcPr>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before="12" w:line="360" w:lineRule="auto"/>
              <w:rPr>
                <w:b/>
                <w:sz w:val="25"/>
              </w:rPr>
            </w:pPr>
          </w:p>
          <w:p>
            <w:pPr>
              <w:pStyle w:val="25"/>
              <w:spacing w:line="360" w:lineRule="auto"/>
              <w:ind w:left="244" w:right="127" w:hanging="104"/>
              <w:rPr>
                <w:sz w:val="21"/>
              </w:rPr>
            </w:pPr>
            <w:r>
              <w:rPr>
                <w:rFonts w:hint="eastAsia"/>
                <w:sz w:val="21"/>
              </w:rPr>
              <w:t>响应性评审标准</w:t>
            </w:r>
          </w:p>
        </w:tc>
        <w:tc>
          <w:tcPr>
            <w:tcW w:w="2148" w:type="dxa"/>
          </w:tcPr>
          <w:p>
            <w:pPr>
              <w:pStyle w:val="25"/>
              <w:spacing w:before="143" w:line="360" w:lineRule="auto"/>
              <w:ind w:left="63" w:right="50"/>
              <w:jc w:val="center"/>
              <w:rPr>
                <w:sz w:val="21"/>
              </w:rPr>
            </w:pPr>
            <w:r>
              <w:rPr>
                <w:rFonts w:hint="eastAsia"/>
                <w:sz w:val="21"/>
              </w:rPr>
              <w:t>投标报价</w:t>
            </w:r>
          </w:p>
        </w:tc>
        <w:tc>
          <w:tcPr>
            <w:tcW w:w="5010" w:type="dxa"/>
          </w:tcPr>
          <w:p>
            <w:pPr>
              <w:pStyle w:val="25"/>
              <w:spacing w:before="143" w:line="360" w:lineRule="auto"/>
              <w:ind w:left="108"/>
              <w:rPr>
                <w:sz w:val="21"/>
              </w:rPr>
            </w:pPr>
            <w:r>
              <w:rPr>
                <w:rFonts w:hint="eastAsia"/>
                <w:sz w:val="21"/>
              </w:rPr>
              <w:t>不超过最高限价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5" w:line="360" w:lineRule="auto"/>
              <w:ind w:left="63" w:right="50"/>
              <w:jc w:val="center"/>
              <w:rPr>
                <w:sz w:val="21"/>
              </w:rPr>
            </w:pPr>
            <w:r>
              <w:rPr>
                <w:rFonts w:hint="eastAsia"/>
                <w:sz w:val="21"/>
              </w:rPr>
              <w:t>投标内容</w:t>
            </w:r>
          </w:p>
        </w:tc>
        <w:tc>
          <w:tcPr>
            <w:tcW w:w="5010" w:type="dxa"/>
          </w:tcPr>
          <w:p>
            <w:pPr>
              <w:pStyle w:val="25"/>
              <w:spacing w:before="145" w:line="360" w:lineRule="auto"/>
              <w:ind w:left="108"/>
              <w:rPr>
                <w:sz w:val="21"/>
              </w:rPr>
            </w:pPr>
            <w:r>
              <w:rPr>
                <w:rFonts w:hint="eastAsia"/>
                <w:sz w:val="21"/>
              </w:rPr>
              <w:t>吉林省高速公路通信基站建设第一批工程监理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2" w:line="360" w:lineRule="auto"/>
              <w:ind w:left="62" w:right="52"/>
              <w:jc w:val="center"/>
              <w:rPr>
                <w:sz w:val="21"/>
              </w:rPr>
            </w:pPr>
            <w:r>
              <w:rPr>
                <w:rFonts w:hint="eastAsia"/>
                <w:sz w:val="21"/>
              </w:rPr>
              <w:t>监理服务期限</w:t>
            </w:r>
          </w:p>
        </w:tc>
        <w:tc>
          <w:tcPr>
            <w:tcW w:w="5010" w:type="dxa"/>
          </w:tcPr>
          <w:p>
            <w:pPr>
              <w:pStyle w:val="25"/>
              <w:spacing w:before="142" w:line="360" w:lineRule="auto"/>
              <w:ind w:left="108"/>
              <w:rPr>
                <w:sz w:val="21"/>
              </w:rPr>
            </w:pPr>
            <w:r>
              <w:rPr>
                <w:rFonts w:hint="eastAsia"/>
                <w:sz w:val="21"/>
              </w:rPr>
              <w:t>与建设工程施工工期对应,监理结束日期相应顺延至工程竣工验收合格、备案结束和施工保修期结束之日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5" w:line="360" w:lineRule="auto"/>
              <w:ind w:left="63" w:right="50"/>
              <w:jc w:val="center"/>
              <w:rPr>
                <w:sz w:val="21"/>
              </w:rPr>
            </w:pPr>
            <w:r>
              <w:rPr>
                <w:rFonts w:hint="eastAsia"/>
                <w:sz w:val="21"/>
              </w:rPr>
              <w:t>质量标准</w:t>
            </w:r>
          </w:p>
        </w:tc>
        <w:tc>
          <w:tcPr>
            <w:tcW w:w="5010" w:type="dxa"/>
          </w:tcPr>
          <w:p>
            <w:pPr>
              <w:pStyle w:val="25"/>
              <w:spacing w:before="145" w:line="360" w:lineRule="auto"/>
              <w:ind w:left="108"/>
              <w:rPr>
                <w:sz w:val="21"/>
              </w:rPr>
            </w:pPr>
            <w:r>
              <w:rPr>
                <w:rFonts w:hint="eastAsia"/>
                <w:sz w:val="21"/>
              </w:rPr>
              <w:t>合格，符合国家标准《建设工程监理规范》及吉林省地方标准《建设工程监理规范实施细则》的要求。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2" w:line="360" w:lineRule="auto"/>
              <w:ind w:left="63" w:right="50"/>
              <w:jc w:val="center"/>
              <w:rPr>
                <w:sz w:val="21"/>
              </w:rPr>
            </w:pPr>
            <w:r>
              <w:rPr>
                <w:rFonts w:hint="eastAsia"/>
                <w:sz w:val="21"/>
              </w:rPr>
              <w:t>投标有效期</w:t>
            </w:r>
          </w:p>
        </w:tc>
        <w:tc>
          <w:tcPr>
            <w:tcW w:w="5010" w:type="dxa"/>
          </w:tcPr>
          <w:p>
            <w:pPr>
              <w:pStyle w:val="25"/>
              <w:spacing w:before="142" w:line="360" w:lineRule="auto"/>
              <w:ind w:left="108"/>
              <w:rPr>
                <w:sz w:val="21"/>
                <w:lang w:val="en-US"/>
              </w:rPr>
            </w:pPr>
            <w:r>
              <w:rPr>
                <w:rFonts w:hint="eastAsia"/>
                <w:sz w:val="21"/>
                <w:lang w:val="en-US"/>
              </w:rPr>
              <w:t>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5" w:line="360" w:lineRule="auto"/>
              <w:ind w:left="63" w:right="50"/>
              <w:jc w:val="center"/>
              <w:rPr>
                <w:sz w:val="21"/>
              </w:rPr>
            </w:pPr>
            <w:r>
              <w:rPr>
                <w:rFonts w:hint="eastAsia"/>
                <w:sz w:val="21"/>
              </w:rPr>
              <w:t>投标保证金</w:t>
            </w:r>
          </w:p>
        </w:tc>
        <w:tc>
          <w:tcPr>
            <w:tcW w:w="5010" w:type="dxa"/>
          </w:tcPr>
          <w:p>
            <w:pPr>
              <w:pStyle w:val="25"/>
              <w:spacing w:before="145" w:line="360" w:lineRule="auto"/>
              <w:ind w:left="108"/>
              <w:rPr>
                <w:sz w:val="21"/>
                <w:lang w:val="en-US"/>
              </w:rPr>
            </w:pPr>
            <w:r>
              <w:rPr>
                <w:rFonts w:hint="eastAsia"/>
                <w:sz w:val="21"/>
              </w:rPr>
              <w:t>有，人民币</w:t>
            </w:r>
            <w:r>
              <w:rPr>
                <w:rFonts w:hint="eastAsia"/>
                <w:sz w:val="21"/>
                <w:lang w:val="en-US" w:eastAsia="zh-CN"/>
              </w:rPr>
              <w:t>2</w:t>
            </w:r>
            <w:r>
              <w:rPr>
                <w:rFonts w:hint="eastAsia"/>
                <w:sz w:val="21"/>
                <w:lang w:val="en-US"/>
              </w:rPr>
              <w:t>0000.00元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2" w:line="360" w:lineRule="auto"/>
              <w:ind w:left="63" w:right="50"/>
              <w:jc w:val="center"/>
              <w:rPr>
                <w:sz w:val="21"/>
              </w:rPr>
            </w:pPr>
            <w:r>
              <w:rPr>
                <w:rFonts w:hint="eastAsia"/>
                <w:sz w:val="21"/>
              </w:rPr>
              <w:t>权利义务</w:t>
            </w:r>
          </w:p>
        </w:tc>
        <w:tc>
          <w:tcPr>
            <w:tcW w:w="5010" w:type="dxa"/>
          </w:tcPr>
          <w:p>
            <w:pPr>
              <w:pStyle w:val="25"/>
              <w:spacing w:line="360" w:lineRule="auto"/>
              <w:ind w:left="108" w:right="95"/>
              <w:rPr>
                <w:sz w:val="21"/>
              </w:rPr>
            </w:pPr>
            <w:r>
              <w:rPr>
                <w:rFonts w:hint="eastAsia"/>
                <w:sz w:val="21"/>
              </w:rPr>
              <w:t>符合第二章“投标人须知”第 1.12.1 项规定和第四章“合同条款及格式”中的实质性要求和条件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single" w:color="auto" w:sz="4" w:space="0"/>
              <w:bottom w:val="single" w:color="auto" w:sz="4" w:space="0"/>
            </w:tcBorders>
          </w:tcPr>
          <w:p>
            <w:pPr>
              <w:spacing w:line="360" w:lineRule="auto"/>
              <w:rPr>
                <w:sz w:val="2"/>
                <w:szCs w:val="2"/>
              </w:rPr>
            </w:pPr>
          </w:p>
        </w:tc>
        <w:tc>
          <w:tcPr>
            <w:tcW w:w="1123" w:type="dxa"/>
            <w:vMerge w:val="continue"/>
            <w:tcBorders>
              <w:top w:val="single" w:color="auto" w:sz="4" w:space="0"/>
              <w:bottom w:val="single" w:color="auto" w:sz="4" w:space="0"/>
            </w:tcBorders>
          </w:tcPr>
          <w:p>
            <w:pPr>
              <w:spacing w:line="360" w:lineRule="auto"/>
              <w:rPr>
                <w:sz w:val="2"/>
                <w:szCs w:val="2"/>
              </w:rPr>
            </w:pPr>
          </w:p>
        </w:tc>
        <w:tc>
          <w:tcPr>
            <w:tcW w:w="2148" w:type="dxa"/>
          </w:tcPr>
          <w:p>
            <w:pPr>
              <w:pStyle w:val="25"/>
              <w:spacing w:before="142" w:line="360" w:lineRule="auto"/>
              <w:ind w:left="63" w:right="50"/>
              <w:jc w:val="center"/>
              <w:rPr>
                <w:sz w:val="21"/>
              </w:rPr>
            </w:pPr>
            <w:r>
              <w:rPr>
                <w:rFonts w:hint="eastAsia"/>
                <w:sz w:val="21"/>
              </w:rPr>
              <w:t>监理大纲</w:t>
            </w:r>
          </w:p>
        </w:tc>
        <w:tc>
          <w:tcPr>
            <w:tcW w:w="5010" w:type="dxa"/>
          </w:tcPr>
          <w:p>
            <w:pPr>
              <w:pStyle w:val="25"/>
              <w:spacing w:before="142" w:line="360" w:lineRule="auto"/>
              <w:ind w:left="108"/>
              <w:rPr>
                <w:sz w:val="21"/>
              </w:rPr>
            </w:pPr>
            <w:r>
              <w:rPr>
                <w:rFonts w:hint="eastAsia"/>
                <w:sz w:val="21"/>
              </w:rPr>
              <w:t>符合招标人要求</w:t>
            </w:r>
          </w:p>
        </w:tc>
      </w:tr>
    </w:tbl>
    <w:p>
      <w:pPr>
        <w:pStyle w:val="25"/>
        <w:spacing w:before="73" w:line="360" w:lineRule="auto"/>
        <w:ind w:left="675" w:right="668"/>
        <w:jc w:val="center"/>
        <w:rPr>
          <w:b/>
          <w:sz w:val="21"/>
        </w:rPr>
      </w:pPr>
      <w:bookmarkStart w:id="12" w:name="_bookmark84"/>
      <w:bookmarkEnd w:id="12"/>
      <w:bookmarkStart w:id="13" w:name="_Toc12952"/>
      <w:bookmarkStart w:id="14" w:name="_Toc26874"/>
    </w:p>
    <w:p>
      <w:pPr>
        <w:pStyle w:val="25"/>
        <w:spacing w:before="73" w:line="360" w:lineRule="auto"/>
        <w:ind w:left="675" w:right="668"/>
        <w:jc w:val="center"/>
        <w:rPr>
          <w:b/>
          <w:sz w:val="21"/>
        </w:rPr>
      </w:pPr>
    </w:p>
    <w:p>
      <w:pPr>
        <w:pStyle w:val="25"/>
        <w:spacing w:before="73" w:line="360" w:lineRule="auto"/>
        <w:ind w:left="675" w:right="668"/>
        <w:jc w:val="center"/>
        <w:rPr>
          <w:b/>
          <w:sz w:val="21"/>
        </w:rPr>
      </w:pPr>
    </w:p>
    <w:p>
      <w:pPr>
        <w:pStyle w:val="25"/>
        <w:spacing w:before="73" w:line="360" w:lineRule="auto"/>
        <w:ind w:left="675" w:right="668"/>
        <w:jc w:val="center"/>
        <w:rPr>
          <w:b/>
          <w:sz w:val="21"/>
        </w:rPr>
      </w:pPr>
    </w:p>
    <w:p>
      <w:pPr>
        <w:pStyle w:val="25"/>
        <w:spacing w:before="73" w:line="360" w:lineRule="auto"/>
        <w:ind w:left="675" w:right="668"/>
        <w:jc w:val="center"/>
        <w:rPr>
          <w:b/>
          <w:sz w:val="21"/>
        </w:rPr>
      </w:pPr>
    </w:p>
    <w:tbl>
      <w:tblPr>
        <w:tblStyle w:val="10"/>
        <w:tblW w:w="9181"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23" w:type="dxa"/>
            <w:gridSpan w:val="2"/>
          </w:tcPr>
          <w:p>
            <w:pPr>
              <w:pStyle w:val="25"/>
              <w:spacing w:before="73" w:line="360" w:lineRule="auto"/>
              <w:ind w:left="675" w:right="668"/>
              <w:jc w:val="center"/>
              <w:rPr>
                <w:b/>
                <w:sz w:val="21"/>
              </w:rPr>
            </w:pPr>
            <w:r>
              <w:rPr>
                <w:rFonts w:hint="eastAsia"/>
                <w:b/>
                <w:sz w:val="21"/>
              </w:rPr>
              <w:t>条款号</w:t>
            </w:r>
          </w:p>
        </w:tc>
        <w:tc>
          <w:tcPr>
            <w:tcW w:w="2477" w:type="dxa"/>
          </w:tcPr>
          <w:p>
            <w:pPr>
              <w:pStyle w:val="25"/>
              <w:spacing w:before="73" w:line="360" w:lineRule="auto"/>
              <w:ind w:left="62" w:right="52"/>
              <w:jc w:val="center"/>
              <w:rPr>
                <w:b/>
                <w:sz w:val="21"/>
              </w:rPr>
            </w:pPr>
            <w:r>
              <w:rPr>
                <w:rFonts w:hint="eastAsia"/>
                <w:b/>
                <w:sz w:val="21"/>
              </w:rPr>
              <w:t>条款内容</w:t>
            </w:r>
          </w:p>
        </w:tc>
        <w:tc>
          <w:tcPr>
            <w:tcW w:w="4681" w:type="dxa"/>
          </w:tcPr>
          <w:p>
            <w:pPr>
              <w:pStyle w:val="25"/>
              <w:spacing w:before="73" w:line="360" w:lineRule="auto"/>
              <w:ind w:left="1900" w:right="1890"/>
              <w:jc w:val="center"/>
              <w:rPr>
                <w:b/>
                <w:sz w:val="21"/>
              </w:rPr>
            </w:pPr>
            <w:r>
              <w:rPr>
                <w:rFonts w:hint="eastAsia"/>
                <w:b/>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2023" w:type="dxa"/>
            <w:gridSpan w:val="2"/>
          </w:tcPr>
          <w:p>
            <w:pPr>
              <w:pStyle w:val="25"/>
              <w:spacing w:line="360" w:lineRule="auto"/>
              <w:rPr>
                <w:b/>
              </w:rPr>
            </w:pPr>
          </w:p>
          <w:p>
            <w:pPr>
              <w:pStyle w:val="25"/>
              <w:spacing w:before="7" w:line="360" w:lineRule="auto"/>
              <w:rPr>
                <w:b/>
              </w:rPr>
            </w:pPr>
          </w:p>
          <w:p>
            <w:pPr>
              <w:pStyle w:val="25"/>
              <w:spacing w:line="360" w:lineRule="auto"/>
              <w:ind w:left="675" w:right="663"/>
              <w:jc w:val="center"/>
              <w:rPr>
                <w:sz w:val="21"/>
              </w:rPr>
            </w:pPr>
            <w:r>
              <w:rPr>
                <w:rFonts w:hint="eastAsia"/>
                <w:sz w:val="21"/>
              </w:rPr>
              <w:t>2.2.1</w:t>
            </w:r>
          </w:p>
        </w:tc>
        <w:tc>
          <w:tcPr>
            <w:tcW w:w="2477" w:type="dxa"/>
          </w:tcPr>
          <w:p>
            <w:pPr>
              <w:pStyle w:val="25"/>
              <w:spacing w:line="360" w:lineRule="auto"/>
              <w:rPr>
                <w:b/>
                <w:sz w:val="20"/>
              </w:rPr>
            </w:pPr>
          </w:p>
          <w:p>
            <w:pPr>
              <w:pStyle w:val="25"/>
              <w:spacing w:before="14" w:line="360" w:lineRule="auto"/>
              <w:rPr>
                <w:b/>
                <w:sz w:val="11"/>
              </w:rPr>
            </w:pPr>
          </w:p>
          <w:p>
            <w:pPr>
              <w:pStyle w:val="25"/>
              <w:spacing w:line="360" w:lineRule="auto"/>
              <w:ind w:left="63" w:right="50"/>
              <w:jc w:val="center"/>
              <w:rPr>
                <w:sz w:val="21"/>
              </w:rPr>
            </w:pPr>
            <w:r>
              <w:rPr>
                <w:rFonts w:hint="eastAsia"/>
                <w:sz w:val="21"/>
              </w:rPr>
              <w:t>分值构成</w:t>
            </w:r>
          </w:p>
          <w:p>
            <w:pPr>
              <w:pStyle w:val="25"/>
              <w:spacing w:before="170" w:line="360" w:lineRule="auto"/>
              <w:ind w:left="63" w:right="50"/>
              <w:jc w:val="center"/>
              <w:rPr>
                <w:sz w:val="21"/>
              </w:rPr>
            </w:pPr>
            <w:r>
              <w:rPr>
                <w:rFonts w:hint="eastAsia"/>
                <w:sz w:val="21"/>
              </w:rPr>
              <w:t>(总分 100 分)</w:t>
            </w:r>
          </w:p>
        </w:tc>
        <w:tc>
          <w:tcPr>
            <w:tcW w:w="4681" w:type="dxa"/>
          </w:tcPr>
          <w:p>
            <w:pPr>
              <w:pStyle w:val="25"/>
              <w:tabs>
                <w:tab w:val="left" w:pos="1894"/>
                <w:tab w:val="left" w:pos="2314"/>
              </w:tabs>
              <w:spacing w:before="142" w:line="360" w:lineRule="auto"/>
              <w:ind w:left="108" w:right="2143"/>
              <w:jc w:val="both"/>
              <w:rPr>
                <w:rFonts w:hint="eastAsia"/>
                <w:spacing w:val="-18"/>
                <w:sz w:val="21"/>
              </w:rPr>
            </w:pPr>
            <w:r>
              <w:rPr>
                <w:rFonts w:hint="eastAsia"/>
                <w:sz w:val="21"/>
              </w:rPr>
              <w:t>资信</w:t>
            </w:r>
            <w:r>
              <w:rPr>
                <w:rFonts w:hint="eastAsia"/>
                <w:spacing w:val="-3"/>
                <w:sz w:val="21"/>
              </w:rPr>
              <w:t>业</w:t>
            </w:r>
            <w:r>
              <w:rPr>
                <w:rFonts w:hint="eastAsia"/>
                <w:sz w:val="21"/>
              </w:rPr>
              <w:t>绩</w:t>
            </w:r>
            <w:r>
              <w:rPr>
                <w:rFonts w:hint="eastAsia"/>
                <w:spacing w:val="-3"/>
                <w:sz w:val="21"/>
              </w:rPr>
              <w:t>部</w:t>
            </w:r>
            <w:r>
              <w:rPr>
                <w:rFonts w:hint="eastAsia"/>
                <w:sz w:val="21"/>
              </w:rPr>
              <w:t>分</w:t>
            </w:r>
            <w:r>
              <w:rPr>
                <w:rFonts w:hint="eastAsia"/>
                <w:spacing w:val="-3"/>
                <w:sz w:val="21"/>
              </w:rPr>
              <w:t>：</w:t>
            </w:r>
            <w:r>
              <w:rPr>
                <w:rFonts w:hint="eastAsia"/>
                <w:spacing w:val="-3"/>
                <w:sz w:val="21"/>
                <w:u w:val="single"/>
                <w:lang w:val="en-US" w:eastAsia="zh-CN"/>
              </w:rPr>
              <w:t>20</w:t>
            </w:r>
            <w:r>
              <w:rPr>
                <w:rFonts w:hint="eastAsia"/>
                <w:spacing w:val="-18"/>
                <w:sz w:val="21"/>
              </w:rPr>
              <w:t>分</w:t>
            </w:r>
          </w:p>
          <w:p>
            <w:pPr>
              <w:pStyle w:val="25"/>
              <w:tabs>
                <w:tab w:val="left" w:pos="1894"/>
                <w:tab w:val="left" w:pos="2314"/>
              </w:tabs>
              <w:spacing w:before="142" w:line="360" w:lineRule="auto"/>
              <w:ind w:left="108" w:right="2143"/>
              <w:jc w:val="both"/>
              <w:rPr>
                <w:spacing w:val="-18"/>
                <w:sz w:val="21"/>
              </w:rPr>
            </w:pPr>
            <w:r>
              <w:rPr>
                <w:rFonts w:hint="eastAsia"/>
                <w:sz w:val="21"/>
              </w:rPr>
              <w:t>监理</w:t>
            </w:r>
            <w:r>
              <w:rPr>
                <w:rFonts w:hint="eastAsia"/>
                <w:spacing w:val="-3"/>
                <w:sz w:val="21"/>
              </w:rPr>
              <w:t>大</w:t>
            </w:r>
            <w:r>
              <w:rPr>
                <w:rFonts w:hint="eastAsia"/>
                <w:sz w:val="21"/>
              </w:rPr>
              <w:t>纲</w:t>
            </w:r>
            <w:r>
              <w:rPr>
                <w:rFonts w:hint="eastAsia"/>
                <w:spacing w:val="-3"/>
                <w:sz w:val="21"/>
              </w:rPr>
              <w:t>部</w:t>
            </w:r>
            <w:r>
              <w:rPr>
                <w:rFonts w:hint="eastAsia"/>
                <w:sz w:val="21"/>
              </w:rPr>
              <w:t>分</w:t>
            </w:r>
            <w:r>
              <w:rPr>
                <w:rFonts w:hint="eastAsia"/>
                <w:spacing w:val="-3"/>
                <w:sz w:val="21"/>
              </w:rPr>
              <w:t>：</w:t>
            </w:r>
            <w:r>
              <w:rPr>
                <w:rFonts w:hint="eastAsia"/>
                <w:spacing w:val="-3"/>
                <w:sz w:val="21"/>
                <w:u w:val="single"/>
                <w:lang w:val="en-US" w:eastAsia="zh-CN"/>
              </w:rPr>
              <w:t>40</w:t>
            </w:r>
            <w:r>
              <w:rPr>
                <w:rFonts w:hint="eastAsia"/>
                <w:spacing w:val="-18"/>
                <w:sz w:val="21"/>
              </w:rPr>
              <w:t>分</w:t>
            </w:r>
          </w:p>
          <w:p>
            <w:pPr>
              <w:pStyle w:val="25"/>
              <w:tabs>
                <w:tab w:val="left" w:pos="1894"/>
                <w:tab w:val="left" w:pos="2314"/>
              </w:tabs>
              <w:spacing w:before="142" w:line="360" w:lineRule="auto"/>
              <w:ind w:left="108" w:right="2143"/>
              <w:jc w:val="both"/>
              <w:rPr>
                <w:sz w:val="21"/>
              </w:rPr>
            </w:pPr>
            <w:r>
              <w:rPr>
                <w:rFonts w:hint="eastAsia"/>
                <w:sz w:val="21"/>
              </w:rPr>
              <w:t>投标</w:t>
            </w:r>
            <w:r>
              <w:rPr>
                <w:rFonts w:hint="eastAsia"/>
                <w:spacing w:val="-3"/>
                <w:sz w:val="21"/>
              </w:rPr>
              <w:t>报</w:t>
            </w:r>
            <w:r>
              <w:rPr>
                <w:rFonts w:hint="eastAsia"/>
                <w:sz w:val="21"/>
              </w:rPr>
              <w:t>价</w:t>
            </w:r>
            <w:r>
              <w:rPr>
                <w:rFonts w:hint="eastAsia"/>
                <w:spacing w:val="-3"/>
                <w:sz w:val="21"/>
              </w:rPr>
              <w:t>：</w:t>
            </w:r>
            <w:r>
              <w:rPr>
                <w:rFonts w:hint="eastAsia"/>
                <w:spacing w:val="-3"/>
                <w:sz w:val="21"/>
                <w:u w:val="single"/>
                <w:lang w:val="en-US"/>
              </w:rPr>
              <w:t>30</w:t>
            </w:r>
            <w:r>
              <w:rPr>
                <w:rFonts w:hint="eastAsia"/>
                <w:sz w:val="21"/>
              </w:rPr>
              <w:t>分</w:t>
            </w:r>
          </w:p>
          <w:p>
            <w:pPr>
              <w:pStyle w:val="25"/>
              <w:tabs>
                <w:tab w:val="left" w:pos="2314"/>
              </w:tabs>
              <w:spacing w:line="360" w:lineRule="auto"/>
              <w:ind w:left="108"/>
              <w:rPr>
                <w:sz w:val="21"/>
              </w:rPr>
            </w:pPr>
            <w:r>
              <w:rPr>
                <w:rFonts w:hint="eastAsia"/>
                <w:sz w:val="21"/>
              </w:rPr>
              <w:t>其他</w:t>
            </w:r>
            <w:r>
              <w:rPr>
                <w:rFonts w:hint="eastAsia"/>
                <w:spacing w:val="-3"/>
                <w:sz w:val="21"/>
              </w:rPr>
              <w:t>评</w:t>
            </w:r>
            <w:r>
              <w:rPr>
                <w:rFonts w:hint="eastAsia"/>
                <w:sz w:val="21"/>
              </w:rPr>
              <w:t>分</w:t>
            </w:r>
            <w:r>
              <w:rPr>
                <w:rFonts w:hint="eastAsia"/>
                <w:spacing w:val="-3"/>
                <w:sz w:val="21"/>
              </w:rPr>
              <w:t>因</w:t>
            </w:r>
            <w:r>
              <w:rPr>
                <w:rFonts w:hint="eastAsia"/>
                <w:sz w:val="21"/>
              </w:rPr>
              <w:t>素</w:t>
            </w:r>
            <w:r>
              <w:rPr>
                <w:rFonts w:hint="eastAsia"/>
                <w:spacing w:val="-3"/>
                <w:sz w:val="21"/>
              </w:rPr>
              <w:t>：</w:t>
            </w:r>
            <w:r>
              <w:rPr>
                <w:rFonts w:hint="eastAsia"/>
                <w:spacing w:val="-3"/>
                <w:sz w:val="21"/>
                <w:u w:val="single"/>
                <w:lang w:val="en-US" w:eastAsia="zh-CN"/>
              </w:rPr>
              <w:t>10</w:t>
            </w:r>
            <w:bookmarkStart w:id="32" w:name="_GoBack"/>
            <w:bookmarkEnd w:id="32"/>
            <w:r>
              <w:rPr>
                <w:rFonts w:hint="eastAsia"/>
                <w:spacing w:val="-3"/>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23" w:type="dxa"/>
            <w:gridSpan w:val="2"/>
          </w:tcPr>
          <w:p>
            <w:pPr>
              <w:pStyle w:val="25"/>
              <w:spacing w:before="156" w:line="360" w:lineRule="auto"/>
              <w:ind w:left="675" w:right="663"/>
              <w:jc w:val="center"/>
              <w:rPr>
                <w:sz w:val="21"/>
              </w:rPr>
            </w:pPr>
            <w:r>
              <w:rPr>
                <w:rFonts w:hint="eastAsia"/>
                <w:sz w:val="21"/>
              </w:rPr>
              <w:t>2.2.2</w:t>
            </w:r>
          </w:p>
        </w:tc>
        <w:tc>
          <w:tcPr>
            <w:tcW w:w="2477" w:type="dxa"/>
          </w:tcPr>
          <w:p>
            <w:pPr>
              <w:pStyle w:val="25"/>
              <w:spacing w:before="142" w:line="360" w:lineRule="auto"/>
              <w:ind w:left="63" w:right="50"/>
              <w:jc w:val="center"/>
              <w:rPr>
                <w:color w:val="0000FF"/>
                <w:sz w:val="21"/>
              </w:rPr>
            </w:pPr>
            <w:r>
              <w:rPr>
                <w:rFonts w:hint="eastAsia"/>
                <w:color w:val="0000FF"/>
                <w:sz w:val="21"/>
              </w:rPr>
              <w:t>评标基准价计算方法</w:t>
            </w:r>
          </w:p>
        </w:tc>
        <w:tc>
          <w:tcPr>
            <w:tcW w:w="4681" w:type="dxa"/>
            <w:vAlign w:val="center"/>
          </w:tcPr>
          <w:p>
            <w:pPr>
              <w:adjustRightInd w:val="0"/>
              <w:spacing w:line="340" w:lineRule="exact"/>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评标基准价：</w:t>
            </w:r>
          </w:p>
          <w:p>
            <w:pPr>
              <w:pStyle w:val="25"/>
              <w:spacing w:line="360" w:lineRule="auto"/>
              <w:jc w:val="both"/>
              <w:rPr>
                <w:color w:val="0000FF"/>
                <w:sz w:val="20"/>
                <w:lang w:val="en-US"/>
              </w:rPr>
            </w:pPr>
            <w:r>
              <w:rPr>
                <w:rFonts w:hint="eastAsia" w:asciiTheme="majorEastAsia" w:hAnsiTheme="majorEastAsia" w:eastAsiaTheme="majorEastAsia" w:cstheme="majorEastAsia"/>
                <w:sz w:val="21"/>
                <w:szCs w:val="21"/>
              </w:rPr>
              <w:t>初步评审合格的所有投标人的评标价去掉</w:t>
            </w:r>
            <w:r>
              <w:rPr>
                <w:rFonts w:hint="eastAsia" w:asciiTheme="majorEastAsia" w:hAnsiTheme="majorEastAsia" w:eastAsiaTheme="majorEastAsia" w:cstheme="majorEastAsia"/>
                <w:sz w:val="21"/>
                <w:szCs w:val="21"/>
                <w:lang w:val="en-US"/>
              </w:rPr>
              <w:t>n个最高值和n个最低值（n为投标人数量/4，向下取整）后的算数平均值即为评标价平均值（如果投标人数量少于5家时，则计算评标价平均值时不去掉最高值和最低值），将评标价平均值直接作为评标基准价。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023" w:type="dxa"/>
            <w:gridSpan w:val="2"/>
          </w:tcPr>
          <w:p>
            <w:pPr>
              <w:pStyle w:val="25"/>
              <w:spacing w:before="3" w:line="360" w:lineRule="auto"/>
              <w:rPr>
                <w:b/>
                <w:sz w:val="21"/>
              </w:rPr>
            </w:pPr>
          </w:p>
          <w:p>
            <w:pPr>
              <w:pStyle w:val="25"/>
              <w:spacing w:line="360" w:lineRule="auto"/>
              <w:ind w:left="675" w:right="663"/>
              <w:jc w:val="center"/>
              <w:rPr>
                <w:sz w:val="21"/>
              </w:rPr>
            </w:pPr>
            <w:r>
              <w:rPr>
                <w:rFonts w:hint="eastAsia"/>
                <w:sz w:val="21"/>
              </w:rPr>
              <w:t>2.2.3</w:t>
            </w:r>
          </w:p>
        </w:tc>
        <w:tc>
          <w:tcPr>
            <w:tcW w:w="2477" w:type="dxa"/>
          </w:tcPr>
          <w:p>
            <w:pPr>
              <w:pStyle w:val="25"/>
              <w:spacing w:before="12" w:line="360" w:lineRule="auto"/>
              <w:ind w:left="818" w:right="383" w:hanging="420"/>
              <w:rPr>
                <w:color w:val="0000FF"/>
                <w:sz w:val="21"/>
              </w:rPr>
            </w:pPr>
            <w:r>
              <w:rPr>
                <w:rFonts w:hint="eastAsia"/>
                <w:color w:val="0000FF"/>
                <w:sz w:val="21"/>
              </w:rPr>
              <w:t>投标报价的偏差率计算公式</w:t>
            </w:r>
          </w:p>
        </w:tc>
        <w:tc>
          <w:tcPr>
            <w:tcW w:w="4681" w:type="dxa"/>
            <w:vAlign w:val="center"/>
          </w:tcPr>
          <w:p>
            <w:pPr>
              <w:pStyle w:val="25"/>
              <w:spacing w:line="360" w:lineRule="auto"/>
              <w:jc w:val="both"/>
              <w:rPr>
                <w:color w:val="0000FF"/>
                <w:sz w:val="20"/>
              </w:rPr>
            </w:pPr>
            <w:r>
              <w:rPr>
                <w:rFonts w:hint="eastAsia" w:asciiTheme="majorEastAsia" w:hAnsiTheme="majorEastAsia" w:eastAsiaTheme="majorEastAsia" w:cstheme="majorEastAsia"/>
                <w:sz w:val="21"/>
                <w:szCs w:val="21"/>
              </w:rPr>
              <w:t>偏差率=100%×|投标人投标报价-评标基准价|/评标基准价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23" w:type="dxa"/>
            <w:gridSpan w:val="2"/>
          </w:tcPr>
          <w:p>
            <w:pPr>
              <w:pStyle w:val="25"/>
              <w:spacing w:before="73" w:line="360" w:lineRule="auto"/>
              <w:ind w:left="675" w:right="668"/>
              <w:jc w:val="center"/>
              <w:rPr>
                <w:b/>
                <w:sz w:val="21"/>
              </w:rPr>
            </w:pPr>
            <w:r>
              <w:rPr>
                <w:rFonts w:hint="eastAsia"/>
                <w:b/>
                <w:sz w:val="21"/>
              </w:rPr>
              <w:t>条款号</w:t>
            </w:r>
          </w:p>
        </w:tc>
        <w:tc>
          <w:tcPr>
            <w:tcW w:w="2477" w:type="dxa"/>
          </w:tcPr>
          <w:p>
            <w:pPr>
              <w:pStyle w:val="25"/>
              <w:spacing w:before="73" w:line="360" w:lineRule="auto"/>
              <w:ind w:left="62" w:right="52"/>
              <w:jc w:val="center"/>
              <w:rPr>
                <w:b/>
                <w:sz w:val="21"/>
              </w:rPr>
            </w:pPr>
            <w:r>
              <w:rPr>
                <w:rFonts w:hint="eastAsia"/>
                <w:b/>
                <w:sz w:val="21"/>
              </w:rPr>
              <w:t>评分因素（偏差率）</w:t>
            </w:r>
          </w:p>
        </w:tc>
        <w:tc>
          <w:tcPr>
            <w:tcW w:w="4681" w:type="dxa"/>
          </w:tcPr>
          <w:p>
            <w:pPr>
              <w:pStyle w:val="25"/>
              <w:spacing w:before="73" w:line="360" w:lineRule="auto"/>
              <w:ind w:left="1900" w:right="1890"/>
              <w:jc w:val="center"/>
              <w:rPr>
                <w:b/>
                <w:sz w:val="21"/>
              </w:rPr>
            </w:pPr>
            <w:r>
              <w:rPr>
                <w:rFonts w:hint="eastAsia"/>
                <w:b/>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900" w:type="dxa"/>
            <w:vMerge w:val="restart"/>
          </w:tcPr>
          <w:p>
            <w:pPr>
              <w:pStyle w:val="25"/>
              <w:spacing w:line="360" w:lineRule="auto"/>
              <w:rPr>
                <w:b/>
              </w:rPr>
            </w:pPr>
          </w:p>
          <w:p>
            <w:pPr>
              <w:pStyle w:val="25"/>
              <w:spacing w:line="360" w:lineRule="auto"/>
              <w:rPr>
                <w:b/>
              </w:rPr>
            </w:pPr>
          </w:p>
          <w:p>
            <w:pPr>
              <w:pStyle w:val="25"/>
              <w:spacing w:before="3" w:line="360" w:lineRule="auto"/>
              <w:rPr>
                <w:b/>
              </w:rPr>
            </w:pPr>
          </w:p>
          <w:p>
            <w:pPr>
              <w:pStyle w:val="25"/>
              <w:spacing w:line="360" w:lineRule="auto"/>
              <w:ind w:left="239"/>
              <w:rPr>
                <w:sz w:val="21"/>
              </w:rPr>
            </w:pPr>
            <w:r>
              <w:rPr>
                <w:rFonts w:hint="eastAsia"/>
                <w:sz w:val="21"/>
              </w:rPr>
              <w:t>2.2.4</w:t>
            </w:r>
          </w:p>
          <w:p>
            <w:pPr>
              <w:pStyle w:val="25"/>
              <w:spacing w:before="187" w:line="360" w:lineRule="auto"/>
              <w:ind w:left="187"/>
              <w:rPr>
                <w:sz w:val="21"/>
              </w:rPr>
            </w:pPr>
            <w:r>
              <w:rPr>
                <w:rFonts w:hint="eastAsia"/>
                <w:sz w:val="21"/>
              </w:rPr>
              <w:t>（1）</w:t>
            </w:r>
          </w:p>
        </w:tc>
        <w:tc>
          <w:tcPr>
            <w:tcW w:w="1123" w:type="dxa"/>
            <w:vMerge w:val="restart"/>
          </w:tcPr>
          <w:p>
            <w:pPr>
              <w:pStyle w:val="25"/>
              <w:spacing w:line="360" w:lineRule="auto"/>
              <w:rPr>
                <w:b/>
                <w:sz w:val="20"/>
              </w:rPr>
            </w:pPr>
          </w:p>
          <w:p>
            <w:pPr>
              <w:pStyle w:val="25"/>
              <w:spacing w:line="360" w:lineRule="auto"/>
              <w:rPr>
                <w:b/>
                <w:sz w:val="20"/>
              </w:rPr>
            </w:pPr>
          </w:p>
          <w:p>
            <w:pPr>
              <w:pStyle w:val="25"/>
              <w:spacing w:before="8" w:line="360" w:lineRule="auto"/>
              <w:rPr>
                <w:b/>
                <w:sz w:val="25"/>
              </w:rPr>
            </w:pPr>
          </w:p>
          <w:p>
            <w:pPr>
              <w:pStyle w:val="25"/>
              <w:spacing w:line="360" w:lineRule="auto"/>
              <w:ind w:left="141" w:right="127"/>
              <w:rPr>
                <w:sz w:val="21"/>
                <w:lang w:val="en-US"/>
              </w:rPr>
            </w:pPr>
            <w:r>
              <w:rPr>
                <w:rFonts w:hint="eastAsia"/>
                <w:sz w:val="21"/>
              </w:rPr>
              <w:t>资信业绩评分标准，满分</w:t>
            </w:r>
            <w:r>
              <w:rPr>
                <w:rFonts w:hint="eastAsia"/>
                <w:sz w:val="21"/>
                <w:lang w:val="en-US" w:eastAsia="zh-CN"/>
              </w:rPr>
              <w:t>20</w:t>
            </w:r>
            <w:r>
              <w:rPr>
                <w:rFonts w:hint="eastAsia"/>
                <w:sz w:val="21"/>
                <w:lang w:val="en-US"/>
              </w:rPr>
              <w:t>分</w:t>
            </w:r>
          </w:p>
        </w:tc>
        <w:tc>
          <w:tcPr>
            <w:tcW w:w="2477" w:type="dxa"/>
          </w:tcPr>
          <w:p>
            <w:pPr>
              <w:pStyle w:val="25"/>
              <w:spacing w:before="85" w:line="360" w:lineRule="auto"/>
              <w:ind w:left="62" w:right="52"/>
              <w:jc w:val="center"/>
              <w:rPr>
                <w:sz w:val="21"/>
              </w:rPr>
            </w:pPr>
            <w:r>
              <w:rPr>
                <w:rFonts w:hint="eastAsia"/>
                <w:sz w:val="21"/>
              </w:rPr>
              <w:t>类似项目业绩</w:t>
            </w:r>
          </w:p>
        </w:tc>
        <w:tc>
          <w:tcPr>
            <w:tcW w:w="4681" w:type="dxa"/>
          </w:tcPr>
          <w:p>
            <w:pPr>
              <w:pStyle w:val="25"/>
              <w:spacing w:before="85" w:line="360" w:lineRule="auto"/>
              <w:ind w:left="62" w:right="52"/>
              <w:rPr>
                <w:sz w:val="21"/>
              </w:rPr>
            </w:pPr>
            <w:r>
              <w:rPr>
                <w:rFonts w:hint="eastAsia"/>
                <w:sz w:val="21"/>
              </w:rPr>
              <w:t>类似业绩自2017年至今已完成业绩满足最低条件得基础分3.6分，在此基础上每增加一项加1.2分，最多加2.4分,本项满分6分；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 w:type="dxa"/>
            <w:vMerge w:val="continue"/>
          </w:tcPr>
          <w:p>
            <w:pPr>
              <w:spacing w:line="360" w:lineRule="auto"/>
              <w:rPr>
                <w:sz w:val="2"/>
                <w:szCs w:val="2"/>
              </w:rPr>
            </w:pPr>
          </w:p>
        </w:tc>
        <w:tc>
          <w:tcPr>
            <w:tcW w:w="1123" w:type="dxa"/>
            <w:vMerge w:val="continue"/>
          </w:tcPr>
          <w:p>
            <w:pPr>
              <w:spacing w:line="360" w:lineRule="auto"/>
              <w:rPr>
                <w:sz w:val="2"/>
                <w:szCs w:val="2"/>
              </w:rPr>
            </w:pPr>
          </w:p>
        </w:tc>
        <w:tc>
          <w:tcPr>
            <w:tcW w:w="2477" w:type="dxa"/>
          </w:tcPr>
          <w:p>
            <w:pPr>
              <w:pStyle w:val="25"/>
              <w:spacing w:before="1" w:line="360" w:lineRule="auto"/>
              <w:ind w:left="61" w:right="52"/>
              <w:jc w:val="center"/>
              <w:rPr>
                <w:sz w:val="21"/>
              </w:rPr>
            </w:pPr>
            <w:r>
              <w:rPr>
                <w:rFonts w:hint="eastAsia"/>
                <w:sz w:val="21"/>
              </w:rPr>
              <w:t>总监理工程师资历和业</w:t>
            </w:r>
          </w:p>
          <w:p>
            <w:pPr>
              <w:pStyle w:val="25"/>
              <w:spacing w:before="2" w:line="360" w:lineRule="auto"/>
              <w:ind w:left="10"/>
              <w:jc w:val="center"/>
              <w:rPr>
                <w:sz w:val="21"/>
              </w:rPr>
            </w:pPr>
            <w:r>
              <w:rPr>
                <w:rFonts w:hint="eastAsia"/>
                <w:sz w:val="21"/>
              </w:rPr>
              <w:t>绩</w:t>
            </w:r>
          </w:p>
        </w:tc>
        <w:tc>
          <w:tcPr>
            <w:tcW w:w="4681" w:type="dxa"/>
          </w:tcPr>
          <w:p>
            <w:pPr>
              <w:adjustRightInd w:val="0"/>
              <w:snapToGrid w:val="0"/>
              <w:spacing w:line="360" w:lineRule="auto"/>
              <w:rPr>
                <w:sz w:val="21"/>
              </w:rPr>
            </w:pPr>
            <w:r>
              <w:rPr>
                <w:rFonts w:hint="eastAsia" w:asciiTheme="majorEastAsia" w:hAnsiTheme="majorEastAsia" w:eastAsiaTheme="majorEastAsia" w:cstheme="majorEastAsia"/>
                <w:b/>
                <w:bCs/>
                <w:sz w:val="21"/>
                <w:highlight w:val="yellow"/>
              </w:rPr>
              <w:t>2017年1月1日至今至少完成一项通信工程类</w:t>
            </w:r>
            <w:r>
              <w:rPr>
                <w:rFonts w:hint="eastAsia" w:asciiTheme="majorEastAsia" w:hAnsiTheme="majorEastAsia" w:eastAsiaTheme="majorEastAsia" w:cstheme="majorEastAsia"/>
                <w:b/>
                <w:bCs/>
                <w:sz w:val="21"/>
                <w:highlight w:val="yellow"/>
                <w:lang w:val="en-US"/>
              </w:rPr>
              <w:t>任职总监理工程师</w:t>
            </w:r>
            <w:r>
              <w:rPr>
                <w:rFonts w:hint="eastAsia" w:asciiTheme="majorEastAsia" w:hAnsiTheme="majorEastAsia" w:eastAsiaTheme="majorEastAsia" w:cstheme="majorEastAsia"/>
                <w:b/>
                <w:bCs/>
                <w:sz w:val="21"/>
                <w:highlight w:val="yellow"/>
              </w:rPr>
              <w:t>业绩。</w:t>
            </w:r>
            <w:r>
              <w:rPr>
                <w:rFonts w:hint="eastAsia" w:asciiTheme="majorEastAsia" w:hAnsiTheme="majorEastAsia" w:eastAsiaTheme="majorEastAsia" w:cstheme="majorEastAsia"/>
                <w:sz w:val="21"/>
                <w:szCs w:val="21"/>
              </w:rPr>
              <w:t>满足最低条件得基础分</w:t>
            </w:r>
            <w:r>
              <w:rPr>
                <w:rFonts w:hint="eastAsia" w:asciiTheme="majorEastAsia" w:hAnsiTheme="majorEastAsia" w:eastAsiaTheme="majorEastAsia" w:cstheme="majorEastAsia"/>
                <w:sz w:val="21"/>
                <w:szCs w:val="21"/>
                <w:lang w:val="en-US" w:eastAsia="zh-CN"/>
              </w:rPr>
              <w:t>1.8</w:t>
            </w:r>
            <w:r>
              <w:rPr>
                <w:rFonts w:hint="eastAsia" w:asciiTheme="majorEastAsia" w:hAnsiTheme="majorEastAsia" w:eastAsiaTheme="majorEastAsia" w:cstheme="majorEastAsia"/>
                <w:sz w:val="21"/>
                <w:szCs w:val="21"/>
                <w:lang w:val="en-US"/>
              </w:rPr>
              <w:t>分</w:t>
            </w:r>
            <w:r>
              <w:rPr>
                <w:rFonts w:hint="eastAsia"/>
                <w:sz w:val="21"/>
              </w:rPr>
              <w:t>，在此基础上每增加一项加1.2分,本项满分</w:t>
            </w:r>
            <w:r>
              <w:rPr>
                <w:rFonts w:hint="eastAsia"/>
                <w:sz w:val="21"/>
                <w:lang w:val="en-US" w:eastAsia="zh-CN"/>
              </w:rPr>
              <w:t>3</w:t>
            </w:r>
            <w:r>
              <w:rPr>
                <w:rFonts w:hint="eastAsia"/>
                <w:sz w:val="21"/>
              </w:rPr>
              <w:t>分</w:t>
            </w:r>
            <w:r>
              <w:rPr>
                <w:rFonts w:hint="eastAsia"/>
                <w:sz w:val="21"/>
                <w:lang w:eastAsia="zh-CN"/>
              </w:rPr>
              <w:t>。</w:t>
            </w:r>
            <w:r>
              <w:rPr>
                <w:rFonts w:hint="eastAsia"/>
                <w:sz w:val="21"/>
                <w:lang w:val="en-US" w:eastAsia="zh-CN"/>
              </w:rPr>
              <w:t>未提供不得分</w:t>
            </w:r>
            <w:r>
              <w:rPr>
                <w:rFonts w:hint="eastAsia"/>
                <w:sz w:val="21"/>
              </w:rPr>
              <w:t>；（提供中标通知书或合同或竣工验收报告原件或建设单位</w:t>
            </w:r>
            <w:r>
              <w:rPr>
                <w:sz w:val="21"/>
              </w:rPr>
              <w:t>出具的证明材料</w:t>
            </w:r>
            <w:r>
              <w:rPr>
                <w:rFonts w:hint="eastAsia"/>
                <w:sz w:val="21"/>
              </w:rPr>
              <w:t>原件，标书内附加盖公章复印件，所有复印件必须要清晰、字迹清楚，否则不得分）。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 w:type="dxa"/>
            <w:vMerge w:val="continue"/>
          </w:tcPr>
          <w:p>
            <w:pPr>
              <w:spacing w:line="360" w:lineRule="auto"/>
              <w:rPr>
                <w:sz w:val="2"/>
                <w:szCs w:val="2"/>
              </w:rPr>
            </w:pPr>
          </w:p>
        </w:tc>
        <w:tc>
          <w:tcPr>
            <w:tcW w:w="1123" w:type="dxa"/>
            <w:vMerge w:val="continue"/>
          </w:tcPr>
          <w:p>
            <w:pPr>
              <w:spacing w:line="360" w:lineRule="auto"/>
              <w:rPr>
                <w:sz w:val="2"/>
                <w:szCs w:val="2"/>
              </w:rPr>
            </w:pPr>
          </w:p>
        </w:tc>
        <w:tc>
          <w:tcPr>
            <w:tcW w:w="2477" w:type="dxa"/>
          </w:tcPr>
          <w:p>
            <w:pPr>
              <w:pStyle w:val="25"/>
              <w:spacing w:before="1" w:line="360" w:lineRule="auto"/>
              <w:ind w:left="62" w:right="52"/>
              <w:jc w:val="center"/>
              <w:rPr>
                <w:sz w:val="21"/>
              </w:rPr>
            </w:pPr>
            <w:r>
              <w:rPr>
                <w:rFonts w:hint="eastAsia"/>
                <w:sz w:val="21"/>
              </w:rPr>
              <w:t>其他主要人员资历和业</w:t>
            </w:r>
          </w:p>
          <w:p>
            <w:pPr>
              <w:pStyle w:val="25"/>
              <w:spacing w:before="2" w:line="360" w:lineRule="auto"/>
              <w:ind w:left="10"/>
              <w:jc w:val="center"/>
              <w:rPr>
                <w:sz w:val="21"/>
              </w:rPr>
            </w:pPr>
            <w:r>
              <w:rPr>
                <w:rFonts w:hint="eastAsia"/>
                <w:sz w:val="21"/>
              </w:rPr>
              <w:t>绩</w:t>
            </w:r>
          </w:p>
        </w:tc>
        <w:tc>
          <w:tcPr>
            <w:tcW w:w="4681" w:type="dxa"/>
          </w:tcPr>
          <w:p>
            <w:pPr>
              <w:pStyle w:val="25"/>
              <w:spacing w:before="1" w:line="360" w:lineRule="auto"/>
              <w:ind w:left="62" w:right="52"/>
              <w:rPr>
                <w:sz w:val="21"/>
              </w:rPr>
            </w:pPr>
            <w:r>
              <w:rPr>
                <w:rFonts w:hint="eastAsia"/>
                <w:sz w:val="21"/>
              </w:rPr>
              <w:t>监理人员自</w:t>
            </w:r>
            <w:r>
              <w:rPr>
                <w:rFonts w:hint="eastAsia"/>
                <w:sz w:val="21"/>
                <w:lang w:val="en-US"/>
              </w:rPr>
              <w:t>2017年1月1日至今</w:t>
            </w:r>
            <w:r>
              <w:rPr>
                <w:rFonts w:hint="eastAsia"/>
                <w:sz w:val="21"/>
              </w:rPr>
              <w:t>具有本项目相类似的项目业绩，对监理人员业绩情况进行比较，优得</w:t>
            </w:r>
            <w:r>
              <w:rPr>
                <w:rFonts w:hint="eastAsia"/>
                <w:sz w:val="21"/>
                <w:lang w:val="en-US" w:eastAsia="zh-CN"/>
              </w:rPr>
              <w:t>5-6</w:t>
            </w:r>
            <w:r>
              <w:rPr>
                <w:rFonts w:hint="eastAsia"/>
                <w:sz w:val="21"/>
                <w:lang w:val="en-US"/>
              </w:rPr>
              <w:t>分，良得</w:t>
            </w:r>
            <w:r>
              <w:rPr>
                <w:rFonts w:hint="eastAsia"/>
                <w:sz w:val="21"/>
                <w:lang w:val="en-US" w:eastAsia="zh-CN"/>
              </w:rPr>
              <w:t>3-4</w:t>
            </w:r>
            <w:r>
              <w:rPr>
                <w:rFonts w:hint="eastAsia"/>
                <w:sz w:val="21"/>
                <w:lang w:val="en-US"/>
              </w:rPr>
              <w:t>分，一般得1</w:t>
            </w:r>
            <w:r>
              <w:rPr>
                <w:rFonts w:hint="eastAsia"/>
                <w:sz w:val="21"/>
                <w:lang w:val="en-US" w:eastAsia="zh-CN"/>
              </w:rPr>
              <w:t>-2</w:t>
            </w:r>
            <w:r>
              <w:rPr>
                <w:rFonts w:hint="eastAsia"/>
                <w:sz w:val="21"/>
                <w:lang w:val="en-US"/>
              </w:rPr>
              <w:t>分，无不得分。（附中标通知书或合同或竣工验收报告原件及复印件加盖公章，相关材料需体现主要人员姓名）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 w:type="dxa"/>
            <w:vMerge w:val="continue"/>
          </w:tcPr>
          <w:p>
            <w:pPr>
              <w:spacing w:line="360" w:lineRule="auto"/>
              <w:rPr>
                <w:sz w:val="2"/>
                <w:szCs w:val="2"/>
              </w:rPr>
            </w:pPr>
          </w:p>
        </w:tc>
        <w:tc>
          <w:tcPr>
            <w:tcW w:w="1123" w:type="dxa"/>
            <w:vMerge w:val="continue"/>
          </w:tcPr>
          <w:p>
            <w:pPr>
              <w:spacing w:line="360" w:lineRule="auto"/>
              <w:rPr>
                <w:sz w:val="2"/>
                <w:szCs w:val="2"/>
              </w:rPr>
            </w:pPr>
          </w:p>
        </w:tc>
        <w:tc>
          <w:tcPr>
            <w:tcW w:w="2477" w:type="dxa"/>
          </w:tcPr>
          <w:p>
            <w:pPr>
              <w:pStyle w:val="25"/>
              <w:spacing w:before="1" w:line="360" w:lineRule="auto"/>
              <w:ind w:left="61" w:right="52"/>
              <w:jc w:val="center"/>
              <w:rPr>
                <w:sz w:val="21"/>
              </w:rPr>
            </w:pPr>
            <w:r>
              <w:rPr>
                <w:rFonts w:hint="eastAsia"/>
                <w:sz w:val="21"/>
              </w:rPr>
              <w:t>拟投入的试验检测仪器</w:t>
            </w:r>
          </w:p>
          <w:p>
            <w:pPr>
              <w:pStyle w:val="25"/>
              <w:spacing w:before="1" w:line="360" w:lineRule="auto"/>
              <w:ind w:left="61" w:right="52"/>
              <w:jc w:val="center"/>
              <w:rPr>
                <w:sz w:val="21"/>
              </w:rPr>
            </w:pPr>
            <w:r>
              <w:rPr>
                <w:rFonts w:hint="eastAsia"/>
                <w:sz w:val="21"/>
              </w:rPr>
              <w:t>设备</w:t>
            </w:r>
          </w:p>
        </w:tc>
        <w:tc>
          <w:tcPr>
            <w:tcW w:w="4681" w:type="dxa"/>
          </w:tcPr>
          <w:p>
            <w:pPr>
              <w:pStyle w:val="25"/>
              <w:spacing w:before="1" w:line="360" w:lineRule="auto"/>
              <w:ind w:left="61" w:right="52"/>
              <w:rPr>
                <w:sz w:val="21"/>
              </w:rPr>
            </w:pPr>
            <w:r>
              <w:rPr>
                <w:rFonts w:hint="eastAsia"/>
                <w:sz w:val="21"/>
              </w:rPr>
              <w:t>拟投入的试验检测仪器设备配备齐全，满足监理要求，提供相关证明，对试验检测仪器设备情况进行比较，优得</w:t>
            </w:r>
            <w:r>
              <w:rPr>
                <w:rFonts w:hint="eastAsia"/>
                <w:sz w:val="21"/>
                <w:lang w:val="en-US"/>
              </w:rPr>
              <w:t>4</w:t>
            </w:r>
            <w:r>
              <w:rPr>
                <w:rFonts w:hint="eastAsia"/>
                <w:sz w:val="21"/>
                <w:lang w:val="en-US" w:eastAsia="zh-CN"/>
              </w:rPr>
              <w:t>-5</w:t>
            </w:r>
            <w:r>
              <w:rPr>
                <w:rFonts w:hint="eastAsia"/>
                <w:sz w:val="21"/>
                <w:lang w:val="en-US"/>
              </w:rPr>
              <w:t>分，良得3分，一般得1-2分，无不得分</w:t>
            </w:r>
            <w:r>
              <w:rPr>
                <w:rFonts w:hint="eastAsia"/>
                <w:sz w:val="21"/>
              </w:rPr>
              <w:t>（提供试验检测仪器设备相关证明材料复印件加盖公章）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00" w:type="dxa"/>
            <w:vMerge w:val="restart"/>
          </w:tcPr>
          <w:p>
            <w:pPr>
              <w:pStyle w:val="25"/>
              <w:spacing w:line="360" w:lineRule="auto"/>
              <w:rPr>
                <w:b/>
              </w:rPr>
            </w:pPr>
          </w:p>
          <w:p>
            <w:pPr>
              <w:pStyle w:val="25"/>
              <w:spacing w:line="360" w:lineRule="auto"/>
              <w:rPr>
                <w:b/>
              </w:rPr>
            </w:pPr>
          </w:p>
          <w:p>
            <w:pPr>
              <w:pStyle w:val="25"/>
              <w:spacing w:line="360" w:lineRule="auto"/>
              <w:rPr>
                <w:b/>
              </w:rPr>
            </w:pPr>
          </w:p>
          <w:p>
            <w:pPr>
              <w:pStyle w:val="25"/>
              <w:spacing w:line="360" w:lineRule="auto"/>
              <w:rPr>
                <w:b/>
              </w:rPr>
            </w:pPr>
          </w:p>
          <w:p>
            <w:pPr>
              <w:pStyle w:val="25"/>
              <w:spacing w:before="5" w:line="360" w:lineRule="auto"/>
              <w:rPr>
                <w:b/>
                <w:sz w:val="25"/>
              </w:rPr>
            </w:pPr>
          </w:p>
          <w:p>
            <w:pPr>
              <w:pStyle w:val="25"/>
              <w:spacing w:before="1" w:line="360" w:lineRule="auto"/>
              <w:ind w:left="239"/>
              <w:rPr>
                <w:sz w:val="21"/>
              </w:rPr>
            </w:pPr>
            <w:r>
              <w:rPr>
                <w:rFonts w:hint="eastAsia"/>
                <w:sz w:val="21"/>
              </w:rPr>
              <w:t>2.2.4</w:t>
            </w:r>
          </w:p>
          <w:p>
            <w:pPr>
              <w:pStyle w:val="25"/>
              <w:spacing w:before="184" w:line="360" w:lineRule="auto"/>
              <w:ind w:left="187"/>
              <w:rPr>
                <w:sz w:val="21"/>
              </w:rPr>
            </w:pPr>
            <w:r>
              <w:rPr>
                <w:rFonts w:hint="eastAsia"/>
                <w:sz w:val="21"/>
              </w:rPr>
              <w:t>（2）</w:t>
            </w:r>
          </w:p>
        </w:tc>
        <w:tc>
          <w:tcPr>
            <w:tcW w:w="1123" w:type="dxa"/>
            <w:vMerge w:val="restart"/>
          </w:tcPr>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line="360" w:lineRule="auto"/>
              <w:rPr>
                <w:b/>
                <w:sz w:val="20"/>
              </w:rPr>
            </w:pPr>
          </w:p>
          <w:p>
            <w:pPr>
              <w:pStyle w:val="25"/>
              <w:spacing w:before="10" w:line="360" w:lineRule="auto"/>
              <w:rPr>
                <w:b/>
                <w:sz w:val="12"/>
              </w:rPr>
            </w:pPr>
          </w:p>
          <w:p>
            <w:pPr>
              <w:pStyle w:val="25"/>
              <w:spacing w:line="360" w:lineRule="auto"/>
              <w:ind w:left="141" w:right="127"/>
              <w:rPr>
                <w:sz w:val="21"/>
                <w:lang w:val="en-US"/>
              </w:rPr>
            </w:pPr>
            <w:r>
              <w:rPr>
                <w:rFonts w:hint="eastAsia"/>
                <w:sz w:val="21"/>
              </w:rPr>
              <w:t>监理大纲评分标准，满分</w:t>
            </w:r>
            <w:r>
              <w:rPr>
                <w:rFonts w:hint="eastAsia"/>
                <w:sz w:val="21"/>
                <w:lang w:val="en-US" w:eastAsia="zh-CN"/>
              </w:rPr>
              <w:t>40</w:t>
            </w:r>
            <w:r>
              <w:rPr>
                <w:rFonts w:hint="eastAsia"/>
                <w:sz w:val="21"/>
                <w:lang w:val="en-US"/>
              </w:rPr>
              <w:t>分</w:t>
            </w:r>
          </w:p>
        </w:tc>
        <w:tc>
          <w:tcPr>
            <w:tcW w:w="2477" w:type="dxa"/>
          </w:tcPr>
          <w:p>
            <w:pPr>
              <w:pStyle w:val="25"/>
              <w:spacing w:before="94" w:line="360" w:lineRule="auto"/>
              <w:ind w:left="63" w:right="50"/>
              <w:jc w:val="center"/>
              <w:rPr>
                <w:sz w:val="21"/>
              </w:rPr>
            </w:pPr>
            <w:r>
              <w:rPr>
                <w:rFonts w:hint="eastAsia"/>
                <w:sz w:val="21"/>
              </w:rPr>
              <w:t>监理范围、监理内容</w:t>
            </w:r>
          </w:p>
        </w:tc>
        <w:tc>
          <w:tcPr>
            <w:tcW w:w="4681" w:type="dxa"/>
            <w:vAlign w:val="center"/>
          </w:tcPr>
          <w:p>
            <w:pPr>
              <w:snapToGrid w:val="0"/>
              <w:spacing w:before="72" w:beforeLines="30" w:after="72" w:afterLines="30" w:line="360" w:lineRule="auto"/>
              <w:rPr>
                <w:sz w:val="21"/>
                <w:lang w:val="en-US"/>
              </w:rPr>
            </w:pPr>
            <w:r>
              <w:rPr>
                <w:rFonts w:hint="eastAsia"/>
                <w:sz w:val="21"/>
              </w:rPr>
              <w:t>监理范围、监理内容进行比较，内容完整、合理、可行：优得</w:t>
            </w:r>
            <w:r>
              <w:rPr>
                <w:rFonts w:hint="eastAsia"/>
                <w:sz w:val="21"/>
                <w:lang w:val="en-US" w:eastAsia="zh-CN"/>
              </w:rPr>
              <w:t>5</w:t>
            </w:r>
            <w:r>
              <w:rPr>
                <w:rFonts w:hint="eastAsia"/>
                <w:sz w:val="21"/>
                <w:lang w:val="en-US"/>
              </w:rPr>
              <w:t>分，良得3</w:t>
            </w:r>
            <w:r>
              <w:rPr>
                <w:rFonts w:hint="eastAsia"/>
                <w:sz w:val="21"/>
                <w:lang w:val="en-US" w:eastAsia="zh-CN"/>
              </w:rPr>
              <w:t>-4</w:t>
            </w:r>
            <w:r>
              <w:rPr>
                <w:rFonts w:hint="eastAsia"/>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92" w:line="360" w:lineRule="auto"/>
              <w:ind w:left="63" w:right="51"/>
              <w:jc w:val="center"/>
              <w:rPr>
                <w:sz w:val="21"/>
              </w:rPr>
            </w:pPr>
            <w:r>
              <w:rPr>
                <w:rFonts w:hint="eastAsia"/>
                <w:sz w:val="21"/>
              </w:rPr>
              <w:t>监理依据、监理工作目标</w:t>
            </w:r>
          </w:p>
        </w:tc>
        <w:tc>
          <w:tcPr>
            <w:tcW w:w="4681" w:type="dxa"/>
            <w:vAlign w:val="center"/>
          </w:tcPr>
          <w:p>
            <w:pPr>
              <w:snapToGrid w:val="0"/>
              <w:spacing w:before="72" w:beforeLines="30" w:after="72" w:afterLines="30" w:line="360" w:lineRule="auto"/>
              <w:rPr>
                <w:sz w:val="21"/>
              </w:rPr>
            </w:pPr>
            <w:r>
              <w:rPr>
                <w:rFonts w:hint="eastAsia"/>
                <w:sz w:val="21"/>
              </w:rPr>
              <w:t>监理依据、监理工作目标进行比较，内容完整、合理、可行：优得</w:t>
            </w:r>
            <w:r>
              <w:rPr>
                <w:rFonts w:hint="eastAsia"/>
                <w:sz w:val="21"/>
                <w:lang w:val="en-US" w:eastAsia="zh-CN"/>
              </w:rPr>
              <w:t>5</w:t>
            </w:r>
            <w:r>
              <w:rPr>
                <w:rFonts w:hint="eastAsia"/>
                <w:sz w:val="21"/>
                <w:lang w:val="en-US"/>
              </w:rPr>
              <w:t>分，良得3</w:t>
            </w:r>
            <w:r>
              <w:rPr>
                <w:rFonts w:hint="eastAsia"/>
                <w:sz w:val="21"/>
                <w:lang w:val="en-US" w:eastAsia="zh-CN"/>
              </w:rPr>
              <w:t>-4</w:t>
            </w:r>
            <w:r>
              <w:rPr>
                <w:rFonts w:hint="eastAsia"/>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85" w:line="360" w:lineRule="auto"/>
              <w:ind w:left="61" w:right="52"/>
              <w:jc w:val="center"/>
              <w:rPr>
                <w:sz w:val="21"/>
              </w:rPr>
            </w:pPr>
            <w:r>
              <w:rPr>
                <w:rFonts w:hint="eastAsia"/>
                <w:sz w:val="21"/>
              </w:rPr>
              <w:t>监理机构设置和岗位职责</w:t>
            </w:r>
          </w:p>
        </w:tc>
        <w:tc>
          <w:tcPr>
            <w:tcW w:w="4681" w:type="dxa"/>
            <w:vAlign w:val="center"/>
          </w:tcPr>
          <w:p>
            <w:pPr>
              <w:snapToGrid w:val="0"/>
              <w:spacing w:before="72" w:beforeLines="30" w:after="72" w:afterLines="30" w:line="360" w:lineRule="auto"/>
              <w:rPr>
                <w:sz w:val="21"/>
              </w:rPr>
            </w:pPr>
            <w:r>
              <w:rPr>
                <w:rFonts w:hint="eastAsia"/>
                <w:sz w:val="21"/>
              </w:rPr>
              <w:t>监理机构设置和岗位职责进行比较，内容完整、合理、可行：优得</w:t>
            </w:r>
            <w:r>
              <w:rPr>
                <w:rFonts w:hint="eastAsia"/>
                <w:sz w:val="21"/>
                <w:lang w:val="en-US" w:eastAsia="zh-CN"/>
              </w:rPr>
              <w:t>5</w:t>
            </w:r>
            <w:r>
              <w:rPr>
                <w:rFonts w:hint="eastAsia"/>
                <w:sz w:val="21"/>
                <w:lang w:val="en-US"/>
              </w:rPr>
              <w:t>分，良得3</w:t>
            </w:r>
            <w:r>
              <w:rPr>
                <w:rFonts w:hint="eastAsia"/>
                <w:sz w:val="21"/>
                <w:lang w:val="en-US" w:eastAsia="zh-CN"/>
              </w:rPr>
              <w:t>-4</w:t>
            </w:r>
            <w:r>
              <w:rPr>
                <w:rFonts w:hint="eastAsia"/>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1" w:line="360" w:lineRule="auto"/>
              <w:ind w:left="61" w:right="52"/>
              <w:jc w:val="center"/>
              <w:rPr>
                <w:sz w:val="21"/>
              </w:rPr>
            </w:pPr>
            <w:r>
              <w:rPr>
                <w:rFonts w:hint="eastAsia"/>
                <w:sz w:val="21"/>
              </w:rPr>
              <w:t>监理工作程序、方法和制</w:t>
            </w:r>
          </w:p>
          <w:p>
            <w:pPr>
              <w:pStyle w:val="25"/>
              <w:spacing w:before="4" w:line="360" w:lineRule="auto"/>
              <w:ind w:left="10"/>
              <w:jc w:val="center"/>
              <w:rPr>
                <w:sz w:val="21"/>
              </w:rPr>
            </w:pPr>
            <w:r>
              <w:rPr>
                <w:rFonts w:hint="eastAsia"/>
                <w:sz w:val="21"/>
              </w:rPr>
              <w:t>度</w:t>
            </w:r>
          </w:p>
        </w:tc>
        <w:tc>
          <w:tcPr>
            <w:tcW w:w="4681" w:type="dxa"/>
            <w:vAlign w:val="center"/>
          </w:tcPr>
          <w:p>
            <w:pPr>
              <w:snapToGrid w:val="0"/>
              <w:spacing w:before="72" w:beforeLines="30" w:after="72" w:afterLines="30" w:line="360" w:lineRule="auto"/>
              <w:rPr>
                <w:sz w:val="21"/>
              </w:rPr>
            </w:pPr>
            <w:r>
              <w:rPr>
                <w:rFonts w:hint="eastAsia"/>
                <w:sz w:val="21"/>
              </w:rPr>
              <w:t>监理工作程序、方法和制度进行比较，内容完整、合理、可行：优得</w:t>
            </w:r>
            <w:r>
              <w:rPr>
                <w:rFonts w:hint="eastAsia"/>
                <w:sz w:val="21"/>
                <w:lang w:val="en-US" w:eastAsia="zh-CN"/>
              </w:rPr>
              <w:t>5</w:t>
            </w:r>
            <w:r>
              <w:rPr>
                <w:rFonts w:hint="eastAsia"/>
                <w:sz w:val="21"/>
                <w:lang w:val="en-US"/>
              </w:rPr>
              <w:t>分，良得3</w:t>
            </w:r>
            <w:r>
              <w:rPr>
                <w:rFonts w:hint="eastAsia"/>
                <w:sz w:val="21"/>
                <w:lang w:val="en-US" w:eastAsia="zh-CN"/>
              </w:rPr>
              <w:t>-4</w:t>
            </w:r>
            <w:r>
              <w:rPr>
                <w:rFonts w:hint="eastAsia"/>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1" w:line="360" w:lineRule="auto"/>
              <w:ind w:left="57"/>
              <w:rPr>
                <w:sz w:val="21"/>
              </w:rPr>
            </w:pPr>
            <w:r>
              <w:rPr>
                <w:rFonts w:hint="eastAsia"/>
                <w:sz w:val="21"/>
              </w:rPr>
              <w:t>质量、进度、造价、安全</w:t>
            </w:r>
          </w:p>
          <w:p>
            <w:pPr>
              <w:pStyle w:val="25"/>
              <w:spacing w:before="4" w:line="360" w:lineRule="auto"/>
              <w:ind w:left="607"/>
              <w:rPr>
                <w:sz w:val="21"/>
              </w:rPr>
            </w:pPr>
            <w:r>
              <w:rPr>
                <w:rFonts w:hint="eastAsia"/>
                <w:sz w:val="21"/>
              </w:rPr>
              <w:t>环保监理措施</w:t>
            </w:r>
          </w:p>
        </w:tc>
        <w:tc>
          <w:tcPr>
            <w:tcW w:w="4681" w:type="dxa"/>
            <w:vAlign w:val="center"/>
          </w:tcPr>
          <w:p>
            <w:pPr>
              <w:snapToGrid w:val="0"/>
              <w:spacing w:before="72" w:beforeLines="30" w:after="72" w:afterLines="30" w:line="360" w:lineRule="auto"/>
              <w:rPr>
                <w:sz w:val="21"/>
              </w:rPr>
            </w:pPr>
            <w:r>
              <w:rPr>
                <w:rFonts w:hint="eastAsia"/>
                <w:sz w:val="21"/>
              </w:rPr>
              <w:t>质量、进度、造价、安全、环保监理措施进行比较，内容完整、合理、可行：优得</w:t>
            </w:r>
            <w:r>
              <w:rPr>
                <w:rFonts w:hint="eastAsia"/>
                <w:sz w:val="21"/>
                <w:lang w:val="en-US" w:eastAsia="zh-CN"/>
              </w:rPr>
              <w:t>5</w:t>
            </w:r>
            <w:r>
              <w:rPr>
                <w:rFonts w:hint="eastAsia"/>
                <w:sz w:val="21"/>
                <w:lang w:val="en-US"/>
              </w:rPr>
              <w:t>分，良得3</w:t>
            </w:r>
            <w:r>
              <w:rPr>
                <w:rFonts w:hint="eastAsia"/>
                <w:sz w:val="21"/>
                <w:lang w:val="en-US" w:eastAsia="zh-CN"/>
              </w:rPr>
              <w:t>-4</w:t>
            </w:r>
            <w:r>
              <w:rPr>
                <w:rFonts w:hint="eastAsia"/>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87" w:line="360" w:lineRule="auto"/>
              <w:ind w:left="63" w:right="50"/>
              <w:jc w:val="center"/>
              <w:rPr>
                <w:sz w:val="21"/>
              </w:rPr>
            </w:pPr>
            <w:r>
              <w:rPr>
                <w:rFonts w:hint="eastAsia"/>
                <w:sz w:val="21"/>
              </w:rPr>
              <w:t>合同、信息管理方案</w:t>
            </w:r>
          </w:p>
        </w:tc>
        <w:tc>
          <w:tcPr>
            <w:tcW w:w="4681" w:type="dxa"/>
            <w:vAlign w:val="center"/>
          </w:tcPr>
          <w:p>
            <w:pPr>
              <w:snapToGrid w:val="0"/>
              <w:spacing w:before="72" w:beforeLines="30" w:after="72" w:afterLines="30" w:line="360" w:lineRule="auto"/>
              <w:rPr>
                <w:sz w:val="21"/>
              </w:rPr>
            </w:pPr>
            <w:r>
              <w:rPr>
                <w:rFonts w:hint="eastAsia"/>
                <w:sz w:val="21"/>
              </w:rPr>
              <w:t>合同、信息管理方案进行比较，内容完整、合理、可行：优得</w:t>
            </w:r>
            <w:r>
              <w:rPr>
                <w:rFonts w:hint="eastAsia"/>
                <w:sz w:val="21"/>
                <w:lang w:val="en-US"/>
              </w:rPr>
              <w:t>3分，良得2分，一般得1分，无不得分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85" w:line="360" w:lineRule="auto"/>
              <w:ind w:left="61" w:right="52"/>
              <w:jc w:val="center"/>
              <w:rPr>
                <w:sz w:val="21"/>
              </w:rPr>
            </w:pPr>
            <w:r>
              <w:rPr>
                <w:rFonts w:hint="eastAsia"/>
                <w:sz w:val="21"/>
              </w:rPr>
              <w:t>监理组织协调内容及措施</w:t>
            </w:r>
          </w:p>
        </w:tc>
        <w:tc>
          <w:tcPr>
            <w:tcW w:w="4681" w:type="dxa"/>
            <w:vAlign w:val="center"/>
          </w:tcPr>
          <w:p>
            <w:pPr>
              <w:snapToGrid w:val="0"/>
              <w:spacing w:before="72" w:beforeLines="30" w:after="72" w:afterLines="30" w:line="360" w:lineRule="auto"/>
              <w:rPr>
                <w:sz w:val="21"/>
              </w:rPr>
            </w:pPr>
            <w:r>
              <w:rPr>
                <w:rFonts w:hint="eastAsia"/>
                <w:sz w:val="21"/>
              </w:rPr>
              <w:t>监理组织协调内容及措施进行比较，内容完整、合理、可行：优得</w:t>
            </w:r>
            <w:r>
              <w:rPr>
                <w:rFonts w:hint="eastAsia"/>
                <w:sz w:val="21"/>
                <w:lang w:val="en-US"/>
              </w:rPr>
              <w:t>4分，良得3-2分，一般得1分，无不得分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87" w:line="360" w:lineRule="auto"/>
              <w:ind w:left="61" w:right="52"/>
              <w:jc w:val="center"/>
              <w:rPr>
                <w:sz w:val="21"/>
              </w:rPr>
            </w:pPr>
            <w:r>
              <w:rPr>
                <w:rFonts w:hint="eastAsia"/>
                <w:sz w:val="21"/>
              </w:rPr>
              <w:t>监理工作重点、难点分析</w:t>
            </w:r>
          </w:p>
        </w:tc>
        <w:tc>
          <w:tcPr>
            <w:tcW w:w="4681" w:type="dxa"/>
            <w:vAlign w:val="center"/>
          </w:tcPr>
          <w:p>
            <w:pPr>
              <w:snapToGrid w:val="0"/>
              <w:spacing w:before="72" w:beforeLines="30" w:after="72" w:afterLines="30" w:line="360" w:lineRule="auto"/>
              <w:rPr>
                <w:sz w:val="21"/>
              </w:rPr>
            </w:pPr>
            <w:r>
              <w:rPr>
                <w:rFonts w:hint="eastAsia"/>
                <w:sz w:val="21"/>
              </w:rPr>
              <w:t>监理工作重点、难点分析内容完整、合理、可行：优得</w:t>
            </w:r>
            <w:r>
              <w:rPr>
                <w:rFonts w:hint="eastAsia"/>
                <w:sz w:val="21"/>
                <w:lang w:val="en-US"/>
              </w:rPr>
              <w:t>4分，良得3-2分，一般得1分，无不得分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0" w:type="dxa"/>
            <w:vMerge w:val="continue"/>
            <w:tcBorders>
              <w:top w:val="nil"/>
            </w:tcBorders>
          </w:tcPr>
          <w:p>
            <w:pPr>
              <w:spacing w:line="360" w:lineRule="auto"/>
              <w:rPr>
                <w:sz w:val="2"/>
                <w:szCs w:val="2"/>
              </w:rPr>
            </w:pPr>
          </w:p>
        </w:tc>
        <w:tc>
          <w:tcPr>
            <w:tcW w:w="1123" w:type="dxa"/>
            <w:vMerge w:val="continue"/>
            <w:tcBorders>
              <w:top w:val="nil"/>
            </w:tcBorders>
          </w:tcPr>
          <w:p>
            <w:pPr>
              <w:spacing w:line="360" w:lineRule="auto"/>
              <w:rPr>
                <w:sz w:val="2"/>
                <w:szCs w:val="2"/>
              </w:rPr>
            </w:pPr>
          </w:p>
        </w:tc>
        <w:tc>
          <w:tcPr>
            <w:tcW w:w="2477" w:type="dxa"/>
          </w:tcPr>
          <w:p>
            <w:pPr>
              <w:pStyle w:val="25"/>
              <w:spacing w:before="85" w:line="360" w:lineRule="auto"/>
              <w:ind w:left="63" w:right="50"/>
              <w:jc w:val="center"/>
              <w:rPr>
                <w:sz w:val="21"/>
              </w:rPr>
            </w:pPr>
            <w:r>
              <w:rPr>
                <w:rFonts w:hint="eastAsia"/>
                <w:sz w:val="21"/>
              </w:rPr>
              <w:t>合理化建议</w:t>
            </w:r>
          </w:p>
        </w:tc>
        <w:tc>
          <w:tcPr>
            <w:tcW w:w="4681" w:type="dxa"/>
            <w:vAlign w:val="center"/>
          </w:tcPr>
          <w:p>
            <w:pPr>
              <w:snapToGrid w:val="0"/>
              <w:spacing w:before="72" w:beforeLines="30" w:after="72" w:afterLines="30" w:line="360" w:lineRule="auto"/>
              <w:rPr>
                <w:sz w:val="21"/>
              </w:rPr>
            </w:pPr>
            <w:r>
              <w:rPr>
                <w:rFonts w:hint="eastAsia"/>
                <w:sz w:val="21"/>
              </w:rPr>
              <w:t>合理化建议进行比较内容完整、合理、可行：优得</w:t>
            </w:r>
            <w:r>
              <w:rPr>
                <w:rFonts w:hint="eastAsia"/>
                <w:sz w:val="21"/>
                <w:lang w:val="en-US"/>
              </w:rPr>
              <w:t>4分，良得3-2分，一般得1分，无不得分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900" w:type="dxa"/>
            <w:vMerge w:val="restart"/>
            <w:tcBorders>
              <w:bottom w:val="single" w:color="000000" w:sz="6" w:space="0"/>
            </w:tcBorders>
          </w:tcPr>
          <w:p>
            <w:pPr>
              <w:pStyle w:val="25"/>
              <w:spacing w:before="161" w:line="360" w:lineRule="auto"/>
              <w:ind w:left="239"/>
              <w:rPr>
                <w:sz w:val="21"/>
              </w:rPr>
            </w:pPr>
            <w:r>
              <w:rPr>
                <w:rFonts w:hint="eastAsia"/>
                <w:sz w:val="21"/>
              </w:rPr>
              <w:t>2.2.4</w:t>
            </w:r>
          </w:p>
          <w:p>
            <w:pPr>
              <w:pStyle w:val="25"/>
              <w:spacing w:before="186" w:line="360" w:lineRule="auto"/>
              <w:ind w:left="187"/>
              <w:rPr>
                <w:sz w:val="21"/>
              </w:rPr>
            </w:pPr>
            <w:r>
              <w:rPr>
                <w:rFonts w:hint="eastAsia"/>
                <w:sz w:val="21"/>
              </w:rPr>
              <w:t>（3）</w:t>
            </w:r>
          </w:p>
        </w:tc>
        <w:tc>
          <w:tcPr>
            <w:tcW w:w="1123" w:type="dxa"/>
            <w:vMerge w:val="restart"/>
            <w:tcBorders>
              <w:bottom w:val="single" w:color="000000" w:sz="6" w:space="0"/>
            </w:tcBorders>
          </w:tcPr>
          <w:p>
            <w:pPr>
              <w:pStyle w:val="25"/>
              <w:spacing w:before="3" w:line="360" w:lineRule="auto"/>
              <w:ind w:left="141" w:right="127"/>
              <w:rPr>
                <w:sz w:val="21"/>
                <w:lang w:val="en-US"/>
              </w:rPr>
            </w:pPr>
            <w:r>
              <w:rPr>
                <w:rFonts w:hint="eastAsia"/>
                <w:sz w:val="21"/>
              </w:rPr>
              <w:t>投标报价评分标准，满分</w:t>
            </w:r>
            <w:r>
              <w:rPr>
                <w:rFonts w:hint="eastAsia"/>
                <w:sz w:val="21"/>
                <w:lang w:val="en-US" w:eastAsia="zh-CN"/>
              </w:rPr>
              <w:t>30</w:t>
            </w:r>
            <w:r>
              <w:rPr>
                <w:rFonts w:hint="eastAsia"/>
                <w:sz w:val="21"/>
                <w:lang w:val="en-US"/>
              </w:rPr>
              <w:t>分</w:t>
            </w:r>
          </w:p>
        </w:tc>
        <w:tc>
          <w:tcPr>
            <w:tcW w:w="2477" w:type="dxa"/>
          </w:tcPr>
          <w:p>
            <w:pPr>
              <w:pStyle w:val="25"/>
              <w:spacing w:before="156" w:line="360" w:lineRule="auto"/>
              <w:ind w:left="62" w:right="52"/>
              <w:jc w:val="center"/>
              <w:rPr>
                <w:sz w:val="21"/>
              </w:rPr>
            </w:pPr>
            <w:r>
              <w:rPr>
                <w:rFonts w:hint="eastAsia"/>
                <w:sz w:val="21"/>
              </w:rPr>
              <w:t>投标报价</w:t>
            </w:r>
          </w:p>
        </w:tc>
        <w:tc>
          <w:tcPr>
            <w:tcW w:w="4681" w:type="dxa"/>
            <w:tcBorders>
              <w:bottom w:val="single" w:color="000000" w:sz="6" w:space="0"/>
            </w:tcBorders>
          </w:tcPr>
          <w:p>
            <w:pPr>
              <w:adjustRightInd w:val="0"/>
              <w:outlineLvl w:val="0"/>
              <w:rPr>
                <w:rFonts w:asciiTheme="majorEastAsia" w:hAnsiTheme="majorEastAsia" w:eastAsiaTheme="majorEastAsia" w:cstheme="majorEastAsia"/>
                <w:bCs/>
                <w:sz w:val="21"/>
                <w:szCs w:val="21"/>
              </w:rPr>
            </w:pPr>
            <w:bookmarkStart w:id="15" w:name="_Toc36371337"/>
            <w:bookmarkStart w:id="16" w:name="_Toc9283"/>
            <w:bookmarkStart w:id="17" w:name="_Toc10323"/>
            <w:bookmarkStart w:id="18" w:name="_Toc20456"/>
            <w:bookmarkStart w:id="19" w:name="_Toc501615043"/>
            <w:r>
              <w:rPr>
                <w:rFonts w:hint="eastAsia" w:asciiTheme="majorEastAsia" w:hAnsiTheme="majorEastAsia" w:eastAsiaTheme="majorEastAsia" w:cstheme="majorEastAsia"/>
                <w:bCs/>
                <w:sz w:val="21"/>
                <w:szCs w:val="21"/>
                <w:lang w:val="en-US"/>
              </w:rPr>
              <w:t>投</w:t>
            </w:r>
            <w:r>
              <w:rPr>
                <w:rFonts w:hint="eastAsia" w:asciiTheme="majorEastAsia" w:hAnsiTheme="majorEastAsia" w:eastAsiaTheme="majorEastAsia" w:cstheme="majorEastAsia"/>
                <w:bCs/>
                <w:sz w:val="21"/>
                <w:szCs w:val="21"/>
              </w:rPr>
              <w:t>标人的投标报价等于评标基准价时，得满分</w:t>
            </w: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z w:val="21"/>
                <w:szCs w:val="21"/>
              </w:rPr>
              <w:t>0分。</w:t>
            </w:r>
            <w:bookmarkEnd w:id="15"/>
            <w:bookmarkEnd w:id="16"/>
            <w:bookmarkEnd w:id="17"/>
            <w:bookmarkEnd w:id="18"/>
            <w:bookmarkEnd w:id="19"/>
          </w:p>
          <w:p>
            <w:pPr>
              <w:adjustRightInd w:val="0"/>
              <w:outlineLvl w:val="0"/>
              <w:rPr>
                <w:rFonts w:asciiTheme="majorEastAsia" w:hAnsiTheme="majorEastAsia" w:eastAsiaTheme="majorEastAsia" w:cstheme="majorEastAsia"/>
                <w:bCs/>
                <w:sz w:val="21"/>
                <w:szCs w:val="21"/>
              </w:rPr>
            </w:pPr>
            <w:bookmarkStart w:id="20" w:name="_Toc9500"/>
            <w:bookmarkStart w:id="21" w:name="_Toc36371338"/>
            <w:bookmarkStart w:id="22" w:name="_Toc16225"/>
            <w:bookmarkStart w:id="23" w:name="_Toc501615044"/>
            <w:bookmarkStart w:id="24" w:name="_Toc20582"/>
            <w:r>
              <w:rPr>
                <w:rFonts w:hint="eastAsia" w:asciiTheme="majorEastAsia" w:hAnsiTheme="majorEastAsia" w:eastAsiaTheme="majorEastAsia" w:cstheme="majorEastAsia"/>
                <w:bCs/>
                <w:sz w:val="21"/>
                <w:szCs w:val="21"/>
              </w:rPr>
              <w:t>当投标人的投标报价与评标基准价的比值每高一个百分点时在满分基础上扣</w:t>
            </w:r>
            <w:r>
              <w:rPr>
                <w:rFonts w:hint="eastAsia" w:asciiTheme="majorEastAsia" w:hAnsiTheme="majorEastAsia" w:eastAsiaTheme="majorEastAsia" w:cstheme="majorEastAsia"/>
                <w:bCs/>
                <w:sz w:val="21"/>
                <w:szCs w:val="21"/>
                <w:lang w:val="en-US"/>
              </w:rPr>
              <w:t>0.2</w:t>
            </w:r>
            <w:r>
              <w:rPr>
                <w:rFonts w:hint="eastAsia" w:asciiTheme="majorEastAsia" w:hAnsiTheme="majorEastAsia" w:eastAsiaTheme="majorEastAsia" w:cstheme="majorEastAsia"/>
                <w:bCs/>
                <w:sz w:val="21"/>
                <w:szCs w:val="21"/>
              </w:rPr>
              <w:t>分，减至0分为止；</w:t>
            </w:r>
            <w:bookmarkEnd w:id="20"/>
            <w:bookmarkEnd w:id="21"/>
            <w:bookmarkEnd w:id="22"/>
            <w:bookmarkEnd w:id="23"/>
            <w:bookmarkEnd w:id="24"/>
          </w:p>
          <w:p>
            <w:pPr>
              <w:adjustRightInd w:val="0"/>
              <w:outlineLvl w:val="0"/>
              <w:rPr>
                <w:rFonts w:asciiTheme="majorEastAsia" w:hAnsiTheme="majorEastAsia" w:eastAsiaTheme="majorEastAsia" w:cstheme="majorEastAsia"/>
                <w:bCs/>
                <w:sz w:val="21"/>
                <w:szCs w:val="21"/>
              </w:rPr>
            </w:pPr>
            <w:bookmarkStart w:id="25" w:name="_Toc36371339"/>
            <w:bookmarkStart w:id="26" w:name="_Toc694"/>
            <w:bookmarkStart w:id="27" w:name="_Toc31318"/>
            <w:bookmarkStart w:id="28" w:name="_Toc501615045"/>
            <w:bookmarkStart w:id="29" w:name="_Toc23143"/>
            <w:r>
              <w:rPr>
                <w:rFonts w:hint="eastAsia" w:asciiTheme="majorEastAsia" w:hAnsiTheme="majorEastAsia" w:eastAsiaTheme="majorEastAsia" w:cstheme="majorEastAsia"/>
                <w:bCs/>
                <w:sz w:val="21"/>
                <w:szCs w:val="21"/>
              </w:rPr>
              <w:t>当投标人的投标报价与评标基准价的比值每低一个百分点时在满分基础上扣0.</w:t>
            </w:r>
            <w:r>
              <w:rPr>
                <w:rFonts w:hint="eastAsia" w:asciiTheme="majorEastAsia" w:hAnsiTheme="majorEastAsia" w:eastAsiaTheme="majorEastAsia" w:cstheme="majorEastAsia"/>
                <w:bCs/>
                <w:sz w:val="21"/>
                <w:szCs w:val="21"/>
                <w:lang w:val="en-US"/>
              </w:rPr>
              <w:t>1</w:t>
            </w:r>
            <w:r>
              <w:rPr>
                <w:rFonts w:hint="eastAsia" w:asciiTheme="majorEastAsia" w:hAnsiTheme="majorEastAsia" w:eastAsiaTheme="majorEastAsia" w:cstheme="majorEastAsia"/>
                <w:bCs/>
                <w:sz w:val="21"/>
                <w:szCs w:val="21"/>
              </w:rPr>
              <w:t>分，减至0分为止；</w:t>
            </w:r>
            <w:bookmarkEnd w:id="25"/>
            <w:bookmarkEnd w:id="26"/>
            <w:bookmarkEnd w:id="27"/>
            <w:bookmarkEnd w:id="28"/>
            <w:bookmarkEnd w:id="29"/>
          </w:p>
          <w:p>
            <w:pPr>
              <w:pStyle w:val="25"/>
              <w:spacing w:before="156" w:line="360" w:lineRule="auto"/>
              <w:ind w:left="62" w:right="52"/>
              <w:jc w:val="both"/>
              <w:rPr>
                <w:sz w:val="21"/>
              </w:rPr>
            </w:pPr>
            <w:bookmarkStart w:id="30" w:name="_Toc36371340"/>
            <w:bookmarkStart w:id="31" w:name="_Toc501615046"/>
            <w:r>
              <w:rPr>
                <w:rFonts w:hint="eastAsia" w:asciiTheme="majorEastAsia" w:hAnsiTheme="majorEastAsia" w:eastAsiaTheme="majorEastAsia" w:cstheme="majorEastAsia"/>
                <w:bCs/>
                <w:sz w:val="21"/>
                <w:szCs w:val="21"/>
              </w:rPr>
              <w:t>（</w:t>
            </w:r>
            <w:r>
              <w:rPr>
                <w:rFonts w:hint="eastAsia" w:asciiTheme="majorEastAsia" w:hAnsiTheme="majorEastAsia" w:eastAsiaTheme="majorEastAsia" w:cstheme="majorEastAsia"/>
                <w:bCs/>
                <w:sz w:val="21"/>
                <w:szCs w:val="21"/>
                <w:lang w:val="en-US"/>
              </w:rPr>
              <w:t>四舍五入，</w:t>
            </w:r>
            <w:r>
              <w:rPr>
                <w:rFonts w:hint="eastAsia" w:asciiTheme="majorEastAsia" w:hAnsiTheme="majorEastAsia" w:eastAsiaTheme="majorEastAsia" w:cstheme="majorEastAsia"/>
                <w:bCs/>
                <w:sz w:val="21"/>
                <w:szCs w:val="21"/>
              </w:rPr>
              <w:t>保留小数点后两位。）</w:t>
            </w:r>
            <w:bookmarkEnd w:id="30"/>
            <w:bookmarkEnd w:id="3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900" w:type="dxa"/>
            <w:vMerge w:val="restart"/>
            <w:tcBorders>
              <w:top w:val="single" w:color="000000" w:sz="6" w:space="0"/>
            </w:tcBorders>
          </w:tcPr>
          <w:p>
            <w:pPr>
              <w:pStyle w:val="25"/>
              <w:spacing w:before="154" w:line="360" w:lineRule="auto"/>
              <w:ind w:left="239"/>
              <w:rPr>
                <w:sz w:val="21"/>
              </w:rPr>
            </w:pPr>
            <w:r>
              <w:rPr>
                <w:rFonts w:hint="eastAsia"/>
                <w:sz w:val="21"/>
              </w:rPr>
              <w:t>2.2.4</w:t>
            </w:r>
          </w:p>
          <w:p>
            <w:pPr>
              <w:pStyle w:val="25"/>
              <w:spacing w:before="184" w:line="360" w:lineRule="auto"/>
              <w:ind w:left="187"/>
              <w:rPr>
                <w:sz w:val="21"/>
              </w:rPr>
            </w:pPr>
            <w:r>
              <w:rPr>
                <w:rFonts w:hint="eastAsia"/>
                <w:sz w:val="21"/>
              </w:rPr>
              <w:t>（4）</w:t>
            </w:r>
          </w:p>
        </w:tc>
        <w:tc>
          <w:tcPr>
            <w:tcW w:w="1123" w:type="dxa"/>
            <w:vMerge w:val="restart"/>
            <w:tcBorders>
              <w:top w:val="single" w:color="000000" w:sz="6" w:space="0"/>
            </w:tcBorders>
          </w:tcPr>
          <w:p>
            <w:pPr>
              <w:pStyle w:val="25"/>
              <w:spacing w:before="140" w:line="360" w:lineRule="auto"/>
              <w:ind w:left="141"/>
              <w:rPr>
                <w:sz w:val="21"/>
              </w:rPr>
            </w:pPr>
            <w:r>
              <w:rPr>
                <w:rFonts w:hint="eastAsia"/>
                <w:spacing w:val="-1"/>
                <w:sz w:val="21"/>
              </w:rPr>
              <w:t>其他因素</w:t>
            </w:r>
          </w:p>
          <w:p>
            <w:pPr>
              <w:pStyle w:val="25"/>
              <w:spacing w:before="170" w:line="360" w:lineRule="auto"/>
              <w:ind w:left="141"/>
              <w:rPr>
                <w:sz w:val="21"/>
                <w:lang w:val="en-US"/>
              </w:rPr>
            </w:pPr>
            <w:r>
              <w:rPr>
                <w:rFonts w:hint="eastAsia"/>
                <w:spacing w:val="-1"/>
                <w:sz w:val="21"/>
              </w:rPr>
              <w:t>评分标准，满分</w:t>
            </w:r>
            <w:r>
              <w:rPr>
                <w:rFonts w:hint="eastAsia"/>
                <w:spacing w:val="-1"/>
                <w:sz w:val="21"/>
                <w:lang w:val="en-US" w:eastAsia="zh-CN"/>
              </w:rPr>
              <w:t>10</w:t>
            </w:r>
            <w:r>
              <w:rPr>
                <w:rFonts w:hint="eastAsia"/>
                <w:spacing w:val="-1"/>
                <w:sz w:val="21"/>
                <w:lang w:val="en-US"/>
              </w:rPr>
              <w:t>分</w:t>
            </w:r>
          </w:p>
        </w:tc>
        <w:tc>
          <w:tcPr>
            <w:tcW w:w="2477" w:type="dxa"/>
            <w:tcBorders>
              <w:top w:val="single" w:color="000000" w:sz="6" w:space="0"/>
              <w:bottom w:val="single" w:color="000000" w:sz="6" w:space="0"/>
            </w:tcBorders>
            <w:vAlign w:val="center"/>
          </w:tcPr>
          <w:p>
            <w:pPr>
              <w:snapToGrid w:val="0"/>
              <w:spacing w:before="72" w:beforeLines="30" w:after="72" w:afterLines="30" w:line="360" w:lineRule="auto"/>
              <w:jc w:val="center"/>
              <w:rPr>
                <w:spacing w:val="-1"/>
                <w:sz w:val="21"/>
              </w:rPr>
            </w:pPr>
            <w:r>
              <w:rPr>
                <w:rFonts w:hint="eastAsia"/>
                <w:spacing w:val="-1"/>
                <w:sz w:val="21"/>
              </w:rPr>
              <w:t>优惠条件</w:t>
            </w:r>
          </w:p>
        </w:tc>
        <w:tc>
          <w:tcPr>
            <w:tcW w:w="4681" w:type="dxa"/>
            <w:tcBorders>
              <w:top w:val="single" w:color="000000" w:sz="6" w:space="0"/>
              <w:bottom w:val="single" w:color="000000" w:sz="6" w:space="0"/>
            </w:tcBorders>
          </w:tcPr>
          <w:p>
            <w:pPr>
              <w:spacing w:line="360" w:lineRule="auto"/>
              <w:jc w:val="both"/>
              <w:rPr>
                <w:spacing w:val="-1"/>
                <w:sz w:val="21"/>
              </w:rPr>
            </w:pPr>
            <w:r>
              <w:rPr>
                <w:rFonts w:hint="eastAsia"/>
                <w:spacing w:val="-1"/>
                <w:sz w:val="21"/>
              </w:rPr>
              <w:t>对投标人提出的招标人可以接受的合理优惠条件进行综合评价，综合评价优得</w:t>
            </w:r>
            <w:r>
              <w:rPr>
                <w:rFonts w:hint="eastAsia"/>
                <w:spacing w:val="-1"/>
                <w:sz w:val="21"/>
                <w:lang w:val="en-US" w:eastAsia="zh-CN"/>
              </w:rPr>
              <w:t>5</w:t>
            </w:r>
            <w:r>
              <w:rPr>
                <w:rFonts w:hint="eastAsia"/>
                <w:spacing w:val="-1"/>
                <w:sz w:val="21"/>
                <w:lang w:val="en-US"/>
              </w:rPr>
              <w:t>分，良得3</w:t>
            </w:r>
            <w:r>
              <w:rPr>
                <w:rFonts w:hint="eastAsia"/>
                <w:spacing w:val="-1"/>
                <w:sz w:val="21"/>
                <w:lang w:val="en-US" w:eastAsia="zh-CN"/>
              </w:rPr>
              <w:t>-4</w:t>
            </w:r>
            <w:r>
              <w:rPr>
                <w:rFonts w:hint="eastAsia"/>
                <w:spacing w:val="-1"/>
                <w:sz w:val="21"/>
                <w:lang w:val="en-US"/>
              </w:rPr>
              <w:t>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900" w:type="dxa"/>
            <w:vMerge w:val="continue"/>
          </w:tcPr>
          <w:p>
            <w:pPr>
              <w:pStyle w:val="25"/>
              <w:spacing w:before="184" w:line="360" w:lineRule="auto"/>
              <w:ind w:left="187"/>
              <w:rPr>
                <w:sz w:val="21"/>
              </w:rPr>
            </w:pPr>
          </w:p>
        </w:tc>
        <w:tc>
          <w:tcPr>
            <w:tcW w:w="1123" w:type="dxa"/>
            <w:vMerge w:val="continue"/>
          </w:tcPr>
          <w:p>
            <w:pPr>
              <w:pStyle w:val="25"/>
              <w:spacing w:before="170" w:line="360" w:lineRule="auto"/>
              <w:ind w:left="141"/>
              <w:rPr>
                <w:spacing w:val="-1"/>
                <w:sz w:val="21"/>
              </w:rPr>
            </w:pPr>
          </w:p>
        </w:tc>
        <w:tc>
          <w:tcPr>
            <w:tcW w:w="2477" w:type="dxa"/>
            <w:tcBorders>
              <w:top w:val="single" w:color="000000" w:sz="6" w:space="0"/>
            </w:tcBorders>
            <w:vAlign w:val="center"/>
          </w:tcPr>
          <w:p>
            <w:pPr>
              <w:snapToGrid w:val="0"/>
              <w:spacing w:before="72" w:beforeLines="30" w:after="72" w:afterLines="30" w:line="360" w:lineRule="auto"/>
              <w:jc w:val="center"/>
              <w:rPr>
                <w:spacing w:val="-1"/>
                <w:sz w:val="21"/>
              </w:rPr>
            </w:pPr>
            <w:r>
              <w:rPr>
                <w:rFonts w:hint="eastAsia"/>
                <w:spacing w:val="-1"/>
                <w:sz w:val="21"/>
              </w:rPr>
              <w:t>服务承诺</w:t>
            </w:r>
          </w:p>
        </w:tc>
        <w:tc>
          <w:tcPr>
            <w:tcW w:w="4681" w:type="dxa"/>
            <w:tcBorders>
              <w:top w:val="single" w:color="000000" w:sz="6" w:space="0"/>
            </w:tcBorders>
          </w:tcPr>
          <w:p>
            <w:pPr>
              <w:spacing w:line="360" w:lineRule="auto"/>
              <w:jc w:val="both"/>
              <w:rPr>
                <w:spacing w:val="-1"/>
                <w:sz w:val="21"/>
              </w:rPr>
            </w:pPr>
            <w:r>
              <w:rPr>
                <w:rFonts w:hint="eastAsia"/>
                <w:spacing w:val="-1"/>
                <w:sz w:val="21"/>
              </w:rPr>
              <w:t>对投标人提出的招标人可以接受的合理服务承诺进行综合评价，综合评价优得</w:t>
            </w:r>
            <w:r>
              <w:rPr>
                <w:rFonts w:hint="eastAsia"/>
                <w:spacing w:val="-1"/>
                <w:sz w:val="21"/>
                <w:lang w:val="en-US" w:eastAsia="zh-CN"/>
              </w:rPr>
              <w:t>5</w:t>
            </w:r>
            <w:r>
              <w:rPr>
                <w:rFonts w:hint="eastAsia"/>
                <w:spacing w:val="-1"/>
                <w:sz w:val="21"/>
                <w:lang w:val="en-US"/>
              </w:rPr>
              <w:t>分，良得3</w:t>
            </w:r>
            <w:r>
              <w:rPr>
                <w:rFonts w:hint="eastAsia"/>
                <w:spacing w:val="-1"/>
                <w:sz w:val="21"/>
                <w:lang w:val="en-US" w:eastAsia="zh-CN"/>
              </w:rPr>
              <w:t>-4</w:t>
            </w:r>
            <w:r>
              <w:rPr>
                <w:rFonts w:hint="eastAsia"/>
                <w:spacing w:val="-1"/>
                <w:sz w:val="21"/>
                <w:lang w:val="en-US"/>
              </w:rPr>
              <w:t>分，一般得1-2分，无不得分。</w:t>
            </w:r>
          </w:p>
        </w:tc>
      </w:tr>
      <w:bookmarkEnd w:id="13"/>
      <w:bookmarkEnd w:id="14"/>
    </w:tbl>
    <w:p>
      <w:pPr>
        <w:numPr>
          <w:ilvl w:val="0"/>
          <w:numId w:val="2"/>
        </w:numPr>
        <w:spacing w:line="360" w:lineRule="auto"/>
        <w:ind w:firstLine="420" w:firstLineChars="200"/>
        <w:rPr>
          <w:szCs w:val="21"/>
        </w:rPr>
      </w:pPr>
      <w:r>
        <w:rPr>
          <w:rFonts w:hint="eastAsia"/>
          <w:szCs w:val="21"/>
        </w:rPr>
        <w:t>组建</w:t>
      </w:r>
      <w:r>
        <w:rPr>
          <w:rFonts w:hint="eastAsia"/>
          <w:szCs w:val="21"/>
          <w:lang w:eastAsia="zh-CN"/>
        </w:rPr>
        <w:t>评标委员会</w:t>
      </w:r>
    </w:p>
    <w:p>
      <w:pPr>
        <w:spacing w:line="360" w:lineRule="auto"/>
        <w:ind w:firstLine="420" w:firstLineChars="200"/>
        <w:rPr>
          <w:szCs w:val="21"/>
        </w:rPr>
      </w:pPr>
      <w:r>
        <w:rPr>
          <w:rFonts w:hint="eastAsia"/>
          <w:szCs w:val="21"/>
          <w:lang w:eastAsia="zh-CN"/>
        </w:rPr>
        <w:t>评标委员会</w:t>
      </w:r>
      <w:r>
        <w:rPr>
          <w:rFonts w:hint="eastAsia"/>
          <w:szCs w:val="21"/>
        </w:rPr>
        <w:t>根据</w:t>
      </w:r>
      <w:r>
        <w:rPr>
          <w:rFonts w:hint="eastAsia"/>
          <w:szCs w:val="21"/>
          <w:lang w:eastAsia="zh-CN"/>
        </w:rPr>
        <w:t>招标</w:t>
      </w:r>
      <w:r>
        <w:rPr>
          <w:rFonts w:hint="eastAsia"/>
          <w:szCs w:val="21"/>
        </w:rPr>
        <w:t>内容的特点进行组建，并负责评审工作。</w:t>
      </w:r>
      <w:r>
        <w:rPr>
          <w:rFonts w:hint="eastAsia"/>
          <w:szCs w:val="21"/>
          <w:lang w:eastAsia="zh-CN"/>
        </w:rPr>
        <w:t>评标委员会</w:t>
      </w:r>
      <w:r>
        <w:rPr>
          <w:rFonts w:hint="eastAsia"/>
          <w:szCs w:val="21"/>
        </w:rPr>
        <w:t>的构成及抽取方式详见</w:t>
      </w:r>
      <w:r>
        <w:rPr>
          <w:rFonts w:hint="eastAsia"/>
          <w:szCs w:val="21"/>
          <w:lang w:eastAsia="zh-CN"/>
        </w:rPr>
        <w:t>投标人</w:t>
      </w:r>
      <w:r>
        <w:rPr>
          <w:rFonts w:hint="eastAsia"/>
          <w:szCs w:val="21"/>
        </w:rPr>
        <w:t>须知前附表。</w:t>
      </w:r>
    </w:p>
    <w:p>
      <w:pPr>
        <w:numPr>
          <w:ilvl w:val="0"/>
          <w:numId w:val="2"/>
        </w:numPr>
        <w:spacing w:line="360" w:lineRule="auto"/>
        <w:ind w:firstLine="420" w:firstLineChars="200"/>
        <w:rPr>
          <w:szCs w:val="21"/>
        </w:rPr>
      </w:pPr>
      <w:r>
        <w:rPr>
          <w:rFonts w:hint="eastAsia"/>
          <w:szCs w:val="21"/>
          <w:lang w:eastAsia="zh-CN"/>
        </w:rPr>
        <w:t>投标</w:t>
      </w:r>
      <w:r>
        <w:rPr>
          <w:rFonts w:hint="eastAsia"/>
          <w:szCs w:val="21"/>
        </w:rPr>
        <w:t>文件的初审与澄清</w:t>
      </w:r>
    </w:p>
    <w:p>
      <w:pPr>
        <w:spacing w:line="360" w:lineRule="auto"/>
        <w:ind w:firstLine="420" w:firstLineChars="200"/>
        <w:rPr>
          <w:rFonts w:hint="eastAsia"/>
          <w:szCs w:val="21"/>
        </w:rPr>
      </w:pPr>
      <w:r>
        <w:rPr>
          <w:rFonts w:hint="eastAsia"/>
          <w:szCs w:val="21"/>
          <w:lang w:eastAsia="zh-CN"/>
        </w:rPr>
        <w:t>投标</w:t>
      </w:r>
      <w:r>
        <w:rPr>
          <w:rFonts w:hint="eastAsia"/>
          <w:szCs w:val="21"/>
        </w:rPr>
        <w:t>文件的初审分为形式、资格性检查和响应性评审。形式、资格、响应性评审依据法律、法规和</w:t>
      </w:r>
      <w:r>
        <w:rPr>
          <w:rFonts w:hint="eastAsia"/>
          <w:szCs w:val="21"/>
          <w:lang w:eastAsia="zh-CN"/>
        </w:rPr>
        <w:t>招标文件</w:t>
      </w:r>
      <w:r>
        <w:rPr>
          <w:rFonts w:hint="eastAsia"/>
          <w:szCs w:val="21"/>
        </w:rPr>
        <w:t>的规定，对</w:t>
      </w:r>
      <w:r>
        <w:rPr>
          <w:rFonts w:hint="eastAsia"/>
          <w:szCs w:val="21"/>
          <w:lang w:eastAsia="zh-CN"/>
        </w:rPr>
        <w:t>投标</w:t>
      </w:r>
      <w:r>
        <w:rPr>
          <w:rFonts w:hint="eastAsia"/>
          <w:szCs w:val="21"/>
        </w:rPr>
        <w:t>文件中的资格证明、</w:t>
      </w:r>
      <w:r>
        <w:rPr>
          <w:rFonts w:hint="eastAsia"/>
          <w:szCs w:val="21"/>
          <w:lang w:eastAsia="zh-CN"/>
        </w:rPr>
        <w:t>投标</w:t>
      </w:r>
      <w:r>
        <w:rPr>
          <w:rFonts w:hint="eastAsia"/>
          <w:szCs w:val="21"/>
        </w:rPr>
        <w:t>保证金等进行审查，以确定</w:t>
      </w:r>
      <w:r>
        <w:rPr>
          <w:rFonts w:hint="eastAsia"/>
          <w:szCs w:val="21"/>
          <w:lang w:eastAsia="zh-CN"/>
        </w:rPr>
        <w:t>投标人</w:t>
      </w:r>
      <w:r>
        <w:rPr>
          <w:rFonts w:hint="eastAsia"/>
          <w:szCs w:val="21"/>
        </w:rPr>
        <w:t>是否具备报价资格。</w:t>
      </w:r>
    </w:p>
    <w:p>
      <w:pPr>
        <w:spacing w:line="360" w:lineRule="auto"/>
        <w:ind w:firstLine="420" w:firstLineChars="200"/>
        <w:rPr>
          <w:szCs w:val="21"/>
        </w:rPr>
      </w:pPr>
      <w:r>
        <w:rPr>
          <w:rFonts w:hint="eastAsia"/>
          <w:szCs w:val="21"/>
        </w:rPr>
        <w:t>3.1在评审期间，</w:t>
      </w:r>
      <w:r>
        <w:rPr>
          <w:rFonts w:hint="eastAsia"/>
          <w:szCs w:val="21"/>
          <w:lang w:eastAsia="zh-CN"/>
        </w:rPr>
        <w:t>评标委员会</w:t>
      </w:r>
      <w:r>
        <w:rPr>
          <w:rFonts w:hint="eastAsia"/>
          <w:szCs w:val="21"/>
        </w:rPr>
        <w:t>有权以书面方式要求</w:t>
      </w:r>
      <w:r>
        <w:rPr>
          <w:rFonts w:hint="eastAsia"/>
          <w:szCs w:val="21"/>
          <w:lang w:eastAsia="zh-CN"/>
        </w:rPr>
        <w:t>投标人</w:t>
      </w:r>
      <w:r>
        <w:rPr>
          <w:rFonts w:hint="eastAsia"/>
          <w:szCs w:val="21"/>
        </w:rPr>
        <w:t>对其</w:t>
      </w:r>
      <w:r>
        <w:rPr>
          <w:rFonts w:hint="eastAsia"/>
          <w:szCs w:val="21"/>
          <w:lang w:eastAsia="zh-CN"/>
        </w:rPr>
        <w:t>投标</w:t>
      </w:r>
      <w:r>
        <w:rPr>
          <w:rFonts w:hint="eastAsia"/>
          <w:szCs w:val="21"/>
        </w:rPr>
        <w:t>文件中含义不明确、对同类问题表述不一致或者有明显文字和计算错误的内容做必要的澄清。</w:t>
      </w:r>
      <w:r>
        <w:rPr>
          <w:rFonts w:hint="eastAsia"/>
          <w:szCs w:val="21"/>
          <w:lang w:eastAsia="zh-CN"/>
        </w:rPr>
        <w:t>投标人</w:t>
      </w:r>
      <w:r>
        <w:rPr>
          <w:rFonts w:hint="eastAsia"/>
          <w:szCs w:val="21"/>
        </w:rPr>
        <w:t>澄清应在</w:t>
      </w:r>
      <w:r>
        <w:rPr>
          <w:rFonts w:hint="eastAsia"/>
          <w:szCs w:val="21"/>
          <w:lang w:eastAsia="zh-CN"/>
        </w:rPr>
        <w:t>评标委员会</w:t>
      </w:r>
      <w:r>
        <w:rPr>
          <w:rFonts w:hint="eastAsia"/>
          <w:szCs w:val="21"/>
        </w:rPr>
        <w:t>规定的时间内以书面方式进行，并不得超出</w:t>
      </w:r>
      <w:r>
        <w:rPr>
          <w:rFonts w:hint="eastAsia"/>
          <w:szCs w:val="21"/>
          <w:lang w:eastAsia="zh-CN"/>
        </w:rPr>
        <w:t>投标</w:t>
      </w:r>
      <w:r>
        <w:rPr>
          <w:rFonts w:hint="eastAsia"/>
          <w:szCs w:val="21"/>
        </w:rPr>
        <w:t>文件范围或者改变</w:t>
      </w:r>
      <w:r>
        <w:rPr>
          <w:rFonts w:hint="eastAsia"/>
          <w:szCs w:val="21"/>
          <w:lang w:eastAsia="zh-CN"/>
        </w:rPr>
        <w:t>投标</w:t>
      </w:r>
      <w:r>
        <w:rPr>
          <w:rFonts w:hint="eastAsia"/>
          <w:szCs w:val="21"/>
        </w:rPr>
        <w:t>文件的实质性内容。</w:t>
      </w:r>
    </w:p>
    <w:p>
      <w:pPr>
        <w:spacing w:line="360" w:lineRule="auto"/>
        <w:ind w:firstLine="420" w:firstLineChars="200"/>
        <w:rPr>
          <w:szCs w:val="21"/>
        </w:rPr>
      </w:pPr>
      <w:r>
        <w:rPr>
          <w:rFonts w:hint="eastAsia"/>
          <w:szCs w:val="21"/>
        </w:rPr>
        <w:t>3.2澄清文件将作为</w:t>
      </w:r>
      <w:r>
        <w:rPr>
          <w:rFonts w:hint="eastAsia"/>
          <w:szCs w:val="21"/>
          <w:lang w:eastAsia="zh-CN"/>
        </w:rPr>
        <w:t>投标</w:t>
      </w:r>
      <w:r>
        <w:rPr>
          <w:rFonts w:hint="eastAsia"/>
          <w:szCs w:val="21"/>
        </w:rPr>
        <w:t>文件内容的一部分。</w:t>
      </w:r>
    </w:p>
    <w:p>
      <w:pPr>
        <w:spacing w:line="360" w:lineRule="auto"/>
        <w:rPr>
          <w:szCs w:val="21"/>
        </w:rPr>
      </w:pPr>
      <w:r>
        <w:rPr>
          <w:rFonts w:hint="eastAsia"/>
          <w:szCs w:val="21"/>
        </w:rPr>
        <w:t>4.比较与评价</w:t>
      </w:r>
    </w:p>
    <w:p>
      <w:pPr>
        <w:widowControl/>
        <w:spacing w:line="360" w:lineRule="auto"/>
        <w:ind w:firstLine="420" w:firstLineChars="200"/>
        <w:rPr>
          <w:szCs w:val="21"/>
        </w:rPr>
      </w:pPr>
      <w:r>
        <w:rPr>
          <w:rFonts w:hint="eastAsia"/>
          <w:szCs w:val="21"/>
        </w:rPr>
        <w:t>4.1经审查合格的</w:t>
      </w:r>
      <w:r>
        <w:rPr>
          <w:rFonts w:hint="eastAsia"/>
          <w:szCs w:val="21"/>
          <w:lang w:eastAsia="zh-CN"/>
        </w:rPr>
        <w:t>投标</w:t>
      </w:r>
      <w:r>
        <w:rPr>
          <w:rFonts w:hint="eastAsia"/>
          <w:szCs w:val="21"/>
        </w:rPr>
        <w:t>文件。</w:t>
      </w:r>
    </w:p>
    <w:p>
      <w:pPr>
        <w:widowControl/>
        <w:spacing w:line="360" w:lineRule="auto"/>
        <w:ind w:firstLine="420" w:firstLineChars="200"/>
        <w:rPr>
          <w:szCs w:val="21"/>
        </w:rPr>
      </w:pPr>
      <w:r>
        <w:rPr>
          <w:rFonts w:hint="eastAsia"/>
          <w:szCs w:val="21"/>
        </w:rPr>
        <w:t>4.1.1</w:t>
      </w:r>
      <w:r>
        <w:rPr>
          <w:rFonts w:hint="eastAsia"/>
          <w:szCs w:val="21"/>
          <w:lang w:eastAsia="zh-CN"/>
        </w:rPr>
        <w:t>评标委员会</w:t>
      </w:r>
      <w:r>
        <w:rPr>
          <w:rFonts w:hint="eastAsia"/>
          <w:szCs w:val="21"/>
        </w:rPr>
        <w:t>所有成员应当集中与单一</w:t>
      </w:r>
      <w:r>
        <w:rPr>
          <w:rFonts w:hint="eastAsia"/>
          <w:szCs w:val="21"/>
          <w:lang w:eastAsia="zh-CN"/>
        </w:rPr>
        <w:t>投标人</w:t>
      </w:r>
      <w:r>
        <w:rPr>
          <w:rFonts w:hint="eastAsia"/>
          <w:szCs w:val="21"/>
        </w:rPr>
        <w:t>分别进行磋商，并给予所有参加磋商的</w:t>
      </w:r>
      <w:r>
        <w:rPr>
          <w:rFonts w:hint="eastAsia"/>
          <w:szCs w:val="21"/>
          <w:lang w:eastAsia="zh-CN"/>
        </w:rPr>
        <w:t>投标人</w:t>
      </w:r>
      <w:r>
        <w:rPr>
          <w:rFonts w:hint="eastAsia"/>
          <w:szCs w:val="21"/>
        </w:rPr>
        <w:t>平等的磋商机会。在磋商过程中，</w:t>
      </w:r>
      <w:r>
        <w:rPr>
          <w:rFonts w:hint="eastAsia"/>
          <w:szCs w:val="21"/>
          <w:lang w:eastAsia="zh-CN"/>
        </w:rPr>
        <w:t>评标委员会</w:t>
      </w:r>
      <w:r>
        <w:rPr>
          <w:rFonts w:hint="eastAsia"/>
          <w:szCs w:val="21"/>
        </w:rPr>
        <w:t>可以根据</w:t>
      </w:r>
      <w:r>
        <w:rPr>
          <w:rFonts w:hint="eastAsia"/>
          <w:szCs w:val="21"/>
          <w:lang w:eastAsia="zh-CN"/>
        </w:rPr>
        <w:t>招标文件</w:t>
      </w:r>
      <w:r>
        <w:rPr>
          <w:rFonts w:hint="eastAsia"/>
          <w:szCs w:val="21"/>
        </w:rPr>
        <w:t>和磋商情况实质性变动</w:t>
      </w:r>
      <w:r>
        <w:rPr>
          <w:rFonts w:hint="eastAsia"/>
          <w:szCs w:val="21"/>
          <w:lang w:eastAsia="zh-CN"/>
        </w:rPr>
        <w:t>招标</w:t>
      </w:r>
      <w:r>
        <w:rPr>
          <w:rFonts w:hint="eastAsia"/>
          <w:szCs w:val="21"/>
        </w:rPr>
        <w:t>需求中的技术、服务要求以及合同草案条款，但不变动</w:t>
      </w:r>
      <w:r>
        <w:rPr>
          <w:rFonts w:hint="eastAsia"/>
          <w:szCs w:val="21"/>
          <w:lang w:eastAsia="zh-CN"/>
        </w:rPr>
        <w:t>招标文件</w:t>
      </w:r>
      <w:r>
        <w:rPr>
          <w:rFonts w:hint="eastAsia"/>
          <w:szCs w:val="21"/>
        </w:rPr>
        <w:t>中的其他内容。实质性变动的内容，须经</w:t>
      </w:r>
      <w:r>
        <w:rPr>
          <w:rFonts w:hint="eastAsia"/>
          <w:szCs w:val="21"/>
          <w:lang w:eastAsia="zh-CN"/>
        </w:rPr>
        <w:t>招标</w:t>
      </w:r>
      <w:r>
        <w:rPr>
          <w:rFonts w:hint="eastAsia"/>
          <w:szCs w:val="21"/>
        </w:rPr>
        <w:t>人代表确认。</w:t>
      </w:r>
    </w:p>
    <w:p>
      <w:pPr>
        <w:widowControl/>
        <w:spacing w:line="360" w:lineRule="auto"/>
        <w:ind w:firstLine="420" w:firstLineChars="200"/>
        <w:rPr>
          <w:szCs w:val="21"/>
        </w:rPr>
      </w:pPr>
      <w:r>
        <w:rPr>
          <w:rFonts w:hint="eastAsia"/>
          <w:szCs w:val="21"/>
        </w:rPr>
        <w:t>4.1.2对</w:t>
      </w:r>
      <w:r>
        <w:rPr>
          <w:rFonts w:hint="eastAsia"/>
          <w:szCs w:val="21"/>
          <w:lang w:eastAsia="zh-CN"/>
        </w:rPr>
        <w:t>招标文件</w:t>
      </w:r>
      <w:r>
        <w:rPr>
          <w:rFonts w:hint="eastAsia"/>
          <w:szCs w:val="21"/>
        </w:rPr>
        <w:t>作出的实质性变动是</w:t>
      </w:r>
      <w:r>
        <w:rPr>
          <w:rFonts w:hint="eastAsia"/>
          <w:szCs w:val="21"/>
          <w:lang w:eastAsia="zh-CN"/>
        </w:rPr>
        <w:t>招标文件</w:t>
      </w:r>
      <w:r>
        <w:rPr>
          <w:rFonts w:hint="eastAsia"/>
          <w:szCs w:val="21"/>
        </w:rPr>
        <w:t>的有效组成部分，</w:t>
      </w:r>
      <w:r>
        <w:rPr>
          <w:rFonts w:hint="eastAsia"/>
          <w:szCs w:val="21"/>
          <w:lang w:eastAsia="zh-CN"/>
        </w:rPr>
        <w:t>评标委员会</w:t>
      </w:r>
      <w:r>
        <w:rPr>
          <w:rFonts w:hint="eastAsia"/>
          <w:szCs w:val="21"/>
        </w:rPr>
        <w:t>将及时以书面形式同时通知所有参加</w:t>
      </w:r>
      <w:r>
        <w:rPr>
          <w:rFonts w:hint="eastAsia"/>
          <w:szCs w:val="21"/>
          <w:lang w:eastAsia="zh-CN"/>
        </w:rPr>
        <w:t>投标</w:t>
      </w:r>
      <w:r>
        <w:rPr>
          <w:rFonts w:hint="eastAsia"/>
          <w:szCs w:val="21"/>
        </w:rPr>
        <w:t>的</w:t>
      </w:r>
      <w:r>
        <w:rPr>
          <w:rFonts w:hint="eastAsia"/>
          <w:szCs w:val="21"/>
          <w:lang w:eastAsia="zh-CN"/>
        </w:rPr>
        <w:t>投标人</w:t>
      </w:r>
      <w:r>
        <w:rPr>
          <w:rFonts w:hint="eastAsia"/>
          <w:szCs w:val="21"/>
        </w:rPr>
        <w:t>。</w:t>
      </w:r>
    </w:p>
    <w:p>
      <w:pPr>
        <w:widowControl/>
        <w:spacing w:line="360" w:lineRule="auto"/>
        <w:ind w:firstLine="480"/>
        <w:rPr>
          <w:szCs w:val="21"/>
        </w:rPr>
      </w:pPr>
      <w:r>
        <w:rPr>
          <w:rFonts w:hint="eastAsia"/>
          <w:szCs w:val="21"/>
        </w:rPr>
        <w:t>4.1.3</w:t>
      </w:r>
      <w:r>
        <w:rPr>
          <w:rFonts w:hint="eastAsia"/>
          <w:szCs w:val="21"/>
          <w:lang w:eastAsia="zh-CN"/>
        </w:rPr>
        <w:t>投标人</w:t>
      </w:r>
      <w:r>
        <w:rPr>
          <w:rFonts w:hint="eastAsia"/>
          <w:szCs w:val="21"/>
        </w:rPr>
        <w:t>应当按照</w:t>
      </w:r>
      <w:r>
        <w:rPr>
          <w:rFonts w:hint="eastAsia"/>
          <w:szCs w:val="21"/>
          <w:lang w:eastAsia="zh-CN"/>
        </w:rPr>
        <w:t>招标文件</w:t>
      </w:r>
      <w:r>
        <w:rPr>
          <w:rFonts w:hint="eastAsia"/>
          <w:szCs w:val="21"/>
        </w:rPr>
        <w:t>的变动情况和</w:t>
      </w:r>
      <w:r>
        <w:rPr>
          <w:rFonts w:hint="eastAsia"/>
          <w:szCs w:val="21"/>
          <w:lang w:eastAsia="zh-CN"/>
        </w:rPr>
        <w:t>评标委员会</w:t>
      </w:r>
      <w:r>
        <w:rPr>
          <w:rFonts w:hint="eastAsia"/>
          <w:szCs w:val="21"/>
        </w:rPr>
        <w:t>的要求重新提交响应文件，并由其法定代表人或授权代表签字或者加盖公章。由授权代表签字的，应当附法定代表人授权书。</w:t>
      </w:r>
      <w:r>
        <w:rPr>
          <w:rFonts w:hint="eastAsia"/>
          <w:szCs w:val="21"/>
          <w:lang w:eastAsia="zh-CN"/>
        </w:rPr>
        <w:t>投标人</w:t>
      </w:r>
      <w:r>
        <w:rPr>
          <w:rFonts w:hint="eastAsia"/>
          <w:szCs w:val="21"/>
        </w:rPr>
        <w:t>为自然人的，应当由本人签字并附身份证明。</w:t>
      </w:r>
    </w:p>
    <w:p>
      <w:pPr>
        <w:widowControl/>
        <w:spacing w:line="360" w:lineRule="auto"/>
        <w:ind w:firstLine="480"/>
        <w:rPr>
          <w:szCs w:val="21"/>
        </w:rPr>
      </w:pPr>
      <w:r>
        <w:rPr>
          <w:rFonts w:hint="eastAsia"/>
          <w:szCs w:val="21"/>
        </w:rPr>
        <w:t>4.1.4磋商结束后，</w:t>
      </w:r>
      <w:r>
        <w:rPr>
          <w:rFonts w:hint="eastAsia"/>
          <w:szCs w:val="21"/>
          <w:lang w:eastAsia="zh-CN"/>
        </w:rPr>
        <w:t>评标委员会</w:t>
      </w:r>
      <w:r>
        <w:rPr>
          <w:rFonts w:hint="eastAsia"/>
          <w:szCs w:val="21"/>
        </w:rPr>
        <w:t>将要求所有实质性响应的</w:t>
      </w:r>
      <w:r>
        <w:rPr>
          <w:rFonts w:hint="eastAsia"/>
          <w:szCs w:val="21"/>
          <w:lang w:eastAsia="zh-CN"/>
        </w:rPr>
        <w:t>投标人</w:t>
      </w:r>
      <w:r>
        <w:rPr>
          <w:rFonts w:hint="eastAsia"/>
          <w:szCs w:val="21"/>
        </w:rPr>
        <w:t>在规定时间内提交最后报价，提交最后报价的</w:t>
      </w:r>
      <w:r>
        <w:rPr>
          <w:rFonts w:hint="eastAsia"/>
          <w:szCs w:val="21"/>
          <w:lang w:eastAsia="zh-CN"/>
        </w:rPr>
        <w:t>投标人</w:t>
      </w:r>
      <w:r>
        <w:rPr>
          <w:rFonts w:hint="eastAsia"/>
          <w:szCs w:val="21"/>
        </w:rPr>
        <w:t>不得少于3家。最后报价是</w:t>
      </w:r>
      <w:r>
        <w:rPr>
          <w:rFonts w:hint="eastAsia"/>
          <w:szCs w:val="21"/>
          <w:lang w:eastAsia="zh-CN"/>
        </w:rPr>
        <w:t>投标人</w:t>
      </w:r>
      <w:r>
        <w:rPr>
          <w:rFonts w:hint="eastAsia"/>
          <w:szCs w:val="21"/>
        </w:rPr>
        <w:t>响应文件的有效组成部分。</w:t>
      </w:r>
    </w:p>
    <w:p>
      <w:pPr>
        <w:widowControl/>
        <w:spacing w:line="360" w:lineRule="auto"/>
        <w:ind w:firstLine="480"/>
        <w:rPr>
          <w:szCs w:val="21"/>
        </w:rPr>
      </w:pPr>
      <w:r>
        <w:rPr>
          <w:rFonts w:hint="eastAsia"/>
          <w:szCs w:val="21"/>
        </w:rPr>
        <w:t>4.1.5已提交响应文件的</w:t>
      </w:r>
      <w:r>
        <w:rPr>
          <w:rFonts w:hint="eastAsia"/>
          <w:szCs w:val="21"/>
          <w:lang w:eastAsia="zh-CN"/>
        </w:rPr>
        <w:t>投标人</w:t>
      </w:r>
      <w:r>
        <w:rPr>
          <w:rFonts w:hint="eastAsia"/>
          <w:szCs w:val="21"/>
        </w:rPr>
        <w:t>，在提交最后报价之前，可以根据磋商情况退出磋商。</w:t>
      </w:r>
      <w:r>
        <w:rPr>
          <w:rFonts w:hint="eastAsia"/>
          <w:szCs w:val="21"/>
          <w:lang w:eastAsia="zh-CN"/>
        </w:rPr>
        <w:t>招标</w:t>
      </w:r>
      <w:r>
        <w:rPr>
          <w:rFonts w:hint="eastAsia"/>
          <w:szCs w:val="21"/>
        </w:rPr>
        <w:t>人、</w:t>
      </w:r>
      <w:r>
        <w:rPr>
          <w:rFonts w:hint="eastAsia"/>
          <w:szCs w:val="21"/>
          <w:lang w:eastAsia="zh-CN"/>
        </w:rPr>
        <w:t>招标</w:t>
      </w:r>
      <w:r>
        <w:rPr>
          <w:rFonts w:hint="eastAsia"/>
          <w:szCs w:val="21"/>
        </w:rPr>
        <w:t>代理机构将退还退出磋商的</w:t>
      </w:r>
      <w:r>
        <w:rPr>
          <w:rFonts w:hint="eastAsia"/>
          <w:szCs w:val="21"/>
          <w:lang w:eastAsia="zh-CN"/>
        </w:rPr>
        <w:t>投标人</w:t>
      </w:r>
      <w:r>
        <w:rPr>
          <w:rFonts w:hint="eastAsia"/>
          <w:szCs w:val="21"/>
        </w:rPr>
        <w:t>的</w:t>
      </w:r>
      <w:r>
        <w:rPr>
          <w:rFonts w:hint="eastAsia"/>
          <w:szCs w:val="21"/>
          <w:lang w:eastAsia="zh-CN"/>
        </w:rPr>
        <w:t>投标</w:t>
      </w:r>
      <w:r>
        <w:rPr>
          <w:rFonts w:hint="eastAsia"/>
          <w:szCs w:val="21"/>
        </w:rPr>
        <w:t>保证金。</w:t>
      </w:r>
    </w:p>
    <w:p>
      <w:pPr>
        <w:spacing w:line="360" w:lineRule="auto"/>
        <w:ind w:firstLine="420" w:firstLineChars="200"/>
        <w:rPr>
          <w:szCs w:val="21"/>
        </w:rPr>
      </w:pPr>
      <w:r>
        <w:rPr>
          <w:rFonts w:hint="eastAsia"/>
          <w:szCs w:val="21"/>
        </w:rPr>
        <w:t>4.1.6经磋商确定最终</w:t>
      </w:r>
      <w:r>
        <w:rPr>
          <w:rFonts w:hint="eastAsia"/>
          <w:szCs w:val="21"/>
          <w:lang w:eastAsia="zh-CN"/>
        </w:rPr>
        <w:t>招标</w:t>
      </w:r>
      <w:r>
        <w:rPr>
          <w:rFonts w:hint="eastAsia"/>
          <w:szCs w:val="21"/>
        </w:rPr>
        <w:t>需求和提交最后报价的</w:t>
      </w:r>
      <w:r>
        <w:rPr>
          <w:rFonts w:hint="eastAsia"/>
          <w:szCs w:val="21"/>
          <w:lang w:eastAsia="zh-CN"/>
        </w:rPr>
        <w:t>投标人</w:t>
      </w:r>
      <w:r>
        <w:rPr>
          <w:rFonts w:hint="eastAsia"/>
          <w:szCs w:val="21"/>
        </w:rPr>
        <w:t>后，由</w:t>
      </w:r>
      <w:r>
        <w:rPr>
          <w:rFonts w:hint="eastAsia"/>
          <w:szCs w:val="21"/>
          <w:lang w:eastAsia="zh-CN"/>
        </w:rPr>
        <w:t>评标委员会</w:t>
      </w:r>
      <w:r>
        <w:rPr>
          <w:rFonts w:hint="eastAsia"/>
          <w:szCs w:val="21"/>
        </w:rPr>
        <w:t>采用综合评分法对提交最后报价的</w:t>
      </w:r>
      <w:r>
        <w:rPr>
          <w:rFonts w:hint="eastAsia"/>
          <w:szCs w:val="21"/>
          <w:lang w:eastAsia="zh-CN"/>
        </w:rPr>
        <w:t>投标人</w:t>
      </w:r>
      <w:r>
        <w:rPr>
          <w:rFonts w:hint="eastAsia"/>
          <w:szCs w:val="21"/>
        </w:rPr>
        <w:t>的响应文件和最后报价进行综合评分。</w:t>
      </w:r>
    </w:p>
    <w:p>
      <w:pPr>
        <w:spacing w:line="360" w:lineRule="auto"/>
        <w:ind w:firstLine="420" w:firstLineChars="200"/>
        <w:rPr>
          <w:szCs w:val="21"/>
        </w:rPr>
      </w:pPr>
      <w:r>
        <w:rPr>
          <w:rFonts w:hint="eastAsia"/>
          <w:szCs w:val="21"/>
        </w:rPr>
        <w:t>4.2评审严格按照</w:t>
      </w:r>
      <w:r>
        <w:rPr>
          <w:rFonts w:hint="eastAsia"/>
          <w:szCs w:val="21"/>
          <w:lang w:eastAsia="zh-CN"/>
        </w:rPr>
        <w:t>招标文件</w:t>
      </w:r>
      <w:r>
        <w:rPr>
          <w:rFonts w:hint="eastAsia"/>
          <w:szCs w:val="21"/>
        </w:rPr>
        <w:t>的要求和条件进行。评审时将考虑以下因素：</w:t>
      </w:r>
    </w:p>
    <w:p>
      <w:pPr>
        <w:numPr>
          <w:ilvl w:val="0"/>
          <w:numId w:val="3"/>
        </w:numPr>
        <w:spacing w:line="360" w:lineRule="auto"/>
        <w:ind w:firstLine="420" w:firstLineChars="200"/>
        <w:rPr>
          <w:szCs w:val="21"/>
        </w:rPr>
      </w:pPr>
      <w:r>
        <w:rPr>
          <w:rFonts w:hint="eastAsia"/>
          <w:szCs w:val="21"/>
        </w:rPr>
        <w:t>资信实力；</w:t>
      </w:r>
    </w:p>
    <w:p>
      <w:pPr>
        <w:numPr>
          <w:ilvl w:val="0"/>
          <w:numId w:val="3"/>
        </w:numPr>
        <w:spacing w:line="360" w:lineRule="auto"/>
        <w:ind w:firstLine="420" w:firstLineChars="200"/>
        <w:rPr>
          <w:szCs w:val="21"/>
        </w:rPr>
      </w:pPr>
      <w:r>
        <w:rPr>
          <w:rFonts w:hint="eastAsia"/>
          <w:szCs w:val="21"/>
        </w:rPr>
        <w:t>监理大纲；</w:t>
      </w:r>
    </w:p>
    <w:p>
      <w:pPr>
        <w:numPr>
          <w:ilvl w:val="0"/>
          <w:numId w:val="3"/>
        </w:numPr>
        <w:spacing w:line="360" w:lineRule="auto"/>
        <w:ind w:firstLine="420" w:firstLineChars="200"/>
        <w:rPr>
          <w:szCs w:val="21"/>
        </w:rPr>
      </w:pPr>
      <w:r>
        <w:rPr>
          <w:rFonts w:hint="eastAsia"/>
          <w:szCs w:val="21"/>
        </w:rPr>
        <w:t xml:space="preserve">报价； </w:t>
      </w:r>
    </w:p>
    <w:p>
      <w:pPr>
        <w:numPr>
          <w:ilvl w:val="0"/>
          <w:numId w:val="3"/>
        </w:numPr>
        <w:spacing w:line="360" w:lineRule="auto"/>
        <w:ind w:firstLine="420" w:firstLineChars="200"/>
        <w:rPr>
          <w:szCs w:val="21"/>
        </w:rPr>
      </w:pPr>
      <w:r>
        <w:rPr>
          <w:rFonts w:hint="eastAsia"/>
          <w:szCs w:val="21"/>
        </w:rPr>
        <w:t>其他因素；</w:t>
      </w:r>
    </w:p>
    <w:p>
      <w:pPr>
        <w:spacing w:line="360" w:lineRule="auto"/>
        <w:ind w:firstLine="420" w:firstLineChars="200"/>
        <w:rPr>
          <w:szCs w:val="21"/>
        </w:rPr>
      </w:pPr>
      <w:r>
        <w:rPr>
          <w:rFonts w:hint="eastAsia"/>
          <w:szCs w:val="21"/>
        </w:rPr>
        <w:t>4.3本次评审将采用下列方法：</w:t>
      </w:r>
    </w:p>
    <w:p>
      <w:pPr>
        <w:spacing w:line="360" w:lineRule="auto"/>
        <w:ind w:left="480" w:firstLine="315" w:firstLineChars="150"/>
        <w:rPr>
          <w:szCs w:val="21"/>
        </w:rPr>
      </w:pPr>
      <w:r>
        <w:rPr>
          <w:rFonts w:hint="eastAsia"/>
          <w:szCs w:val="21"/>
        </w:rPr>
        <w:t>详见评分标准。</w:t>
      </w:r>
    </w:p>
    <w:p>
      <w:pPr>
        <w:numPr>
          <w:ilvl w:val="0"/>
          <w:numId w:val="4"/>
        </w:numPr>
        <w:spacing w:line="360" w:lineRule="auto"/>
        <w:ind w:firstLine="420" w:firstLineChars="200"/>
        <w:rPr>
          <w:szCs w:val="21"/>
        </w:rPr>
      </w:pPr>
      <w:r>
        <w:rPr>
          <w:rFonts w:hint="eastAsia"/>
          <w:szCs w:val="21"/>
        </w:rPr>
        <w:t>评审过程及保密原则</w:t>
      </w:r>
    </w:p>
    <w:p>
      <w:pPr>
        <w:spacing w:line="360" w:lineRule="auto"/>
        <w:ind w:firstLine="420" w:firstLineChars="200"/>
        <w:rPr>
          <w:szCs w:val="21"/>
        </w:rPr>
      </w:pPr>
      <w:r>
        <w:rPr>
          <w:rFonts w:hint="eastAsia"/>
          <w:szCs w:val="21"/>
        </w:rPr>
        <w:t>5.1</w:t>
      </w:r>
      <w:r>
        <w:rPr>
          <w:rFonts w:hint="eastAsia"/>
          <w:szCs w:val="21"/>
          <w:lang w:eastAsia="zh-CN"/>
        </w:rPr>
        <w:t>投标</w:t>
      </w:r>
      <w:r>
        <w:rPr>
          <w:rFonts w:hint="eastAsia"/>
          <w:szCs w:val="21"/>
        </w:rPr>
        <w:t>文件递交后，直接授予成交</w:t>
      </w:r>
      <w:r>
        <w:rPr>
          <w:rFonts w:hint="eastAsia"/>
          <w:szCs w:val="21"/>
          <w:lang w:eastAsia="zh-CN"/>
        </w:rPr>
        <w:t>投标人</w:t>
      </w:r>
      <w:r>
        <w:rPr>
          <w:rFonts w:hint="eastAsia"/>
          <w:szCs w:val="21"/>
        </w:rPr>
        <w:t>合同止，凡与本次</w:t>
      </w:r>
      <w:r>
        <w:rPr>
          <w:rFonts w:hint="eastAsia"/>
          <w:szCs w:val="21"/>
          <w:lang w:eastAsia="zh-CN"/>
        </w:rPr>
        <w:t>招标</w:t>
      </w:r>
      <w:r>
        <w:rPr>
          <w:rFonts w:hint="eastAsia"/>
          <w:szCs w:val="21"/>
        </w:rPr>
        <w:t>有关人员对属于审查、澄清、评价和比较报价的有关资料以及授标意向等，均不得向</w:t>
      </w:r>
      <w:r>
        <w:rPr>
          <w:rFonts w:hint="eastAsia"/>
          <w:szCs w:val="21"/>
          <w:lang w:eastAsia="zh-CN"/>
        </w:rPr>
        <w:t>投标人</w:t>
      </w:r>
      <w:r>
        <w:rPr>
          <w:rFonts w:hint="eastAsia"/>
          <w:szCs w:val="21"/>
        </w:rPr>
        <w:t>或其他无关的人员透露。</w:t>
      </w:r>
    </w:p>
    <w:p>
      <w:pPr>
        <w:spacing w:line="360" w:lineRule="auto"/>
        <w:ind w:firstLine="420" w:firstLineChars="200"/>
        <w:rPr>
          <w:szCs w:val="21"/>
        </w:rPr>
      </w:pPr>
      <w:r>
        <w:rPr>
          <w:rFonts w:hint="eastAsia"/>
          <w:szCs w:val="21"/>
        </w:rPr>
        <w:t>5.2在磋商评审期间，</w:t>
      </w:r>
      <w:r>
        <w:rPr>
          <w:rFonts w:hint="eastAsia"/>
          <w:szCs w:val="21"/>
          <w:lang w:eastAsia="zh-CN"/>
        </w:rPr>
        <w:t>投标人</w:t>
      </w:r>
      <w:r>
        <w:rPr>
          <w:rFonts w:hint="eastAsia"/>
          <w:szCs w:val="21"/>
        </w:rPr>
        <w:t>试图影响</w:t>
      </w:r>
      <w:r>
        <w:rPr>
          <w:rFonts w:hint="eastAsia"/>
          <w:szCs w:val="21"/>
          <w:lang w:eastAsia="zh-CN"/>
        </w:rPr>
        <w:t>招标</w:t>
      </w:r>
      <w:r>
        <w:rPr>
          <w:rFonts w:hint="eastAsia"/>
          <w:szCs w:val="21"/>
        </w:rPr>
        <w:t>单位和</w:t>
      </w:r>
      <w:r>
        <w:rPr>
          <w:rFonts w:hint="eastAsia"/>
          <w:szCs w:val="21"/>
          <w:lang w:eastAsia="zh-CN"/>
        </w:rPr>
        <w:t>评标委员会</w:t>
      </w:r>
      <w:r>
        <w:rPr>
          <w:rFonts w:hint="eastAsia"/>
          <w:szCs w:val="21"/>
        </w:rPr>
        <w:t>的任何活动，将导致其报价被拒绝，并承担相应的法律责任。</w:t>
      </w:r>
    </w:p>
    <w:p>
      <w:pPr>
        <w:pStyle w:val="24"/>
        <w:spacing w:line="360" w:lineRule="auto"/>
        <w:ind w:left="360" w:firstLine="0"/>
        <w:rPr>
          <w:szCs w:val="21"/>
        </w:rPr>
      </w:pPr>
      <w:r>
        <w:rPr>
          <w:rFonts w:hint="eastAsia"/>
          <w:szCs w:val="21"/>
        </w:rPr>
        <w:t>6.本项目采用综合评分法，评审时</w:t>
      </w:r>
      <w:r>
        <w:rPr>
          <w:rFonts w:hint="eastAsia"/>
          <w:szCs w:val="21"/>
          <w:lang w:eastAsia="zh-CN"/>
        </w:rPr>
        <w:t>评标委员会</w:t>
      </w:r>
      <w:r>
        <w:rPr>
          <w:rFonts w:hint="eastAsia"/>
          <w:szCs w:val="21"/>
        </w:rPr>
        <w:t>将严格按照评审细则中的分值设置与评审因素进行量化打分。</w:t>
      </w:r>
      <w:r>
        <w:rPr>
          <w:rFonts w:hint="eastAsia"/>
          <w:szCs w:val="21"/>
          <w:lang w:eastAsia="zh-CN"/>
        </w:rPr>
        <w:t>招标文件</w:t>
      </w:r>
      <w:r>
        <w:rPr>
          <w:rFonts w:hint="eastAsia"/>
          <w:szCs w:val="21"/>
        </w:rPr>
        <w:t>中没有规定的评审标准不得作为评审依据。</w:t>
      </w:r>
    </w:p>
    <w:p>
      <w:pPr>
        <w:pStyle w:val="24"/>
        <w:spacing w:line="360" w:lineRule="auto"/>
        <w:ind w:left="360"/>
        <w:rPr>
          <w:szCs w:val="21"/>
        </w:rPr>
      </w:pPr>
      <w:r>
        <w:rPr>
          <w:rFonts w:hint="eastAsia"/>
          <w:szCs w:val="21"/>
        </w:rPr>
        <w:t>评审时，</w:t>
      </w:r>
      <w:r>
        <w:rPr>
          <w:rFonts w:hint="eastAsia"/>
          <w:szCs w:val="21"/>
          <w:lang w:eastAsia="zh-CN"/>
        </w:rPr>
        <w:t>评标委员会</w:t>
      </w:r>
      <w:r>
        <w:rPr>
          <w:rFonts w:hint="eastAsia"/>
          <w:szCs w:val="21"/>
        </w:rPr>
        <w:t>各成员独立对每个有效响应的文件进行评价、打分，然后汇总每个</w:t>
      </w:r>
      <w:r>
        <w:rPr>
          <w:rFonts w:hint="eastAsia"/>
          <w:szCs w:val="21"/>
          <w:lang w:eastAsia="zh-CN"/>
        </w:rPr>
        <w:t>投标人</w:t>
      </w:r>
      <w:r>
        <w:rPr>
          <w:rFonts w:hint="eastAsia"/>
          <w:szCs w:val="21"/>
        </w:rPr>
        <w:t>每项评分因素的得分。</w:t>
      </w:r>
    </w:p>
    <w:p>
      <w:pPr>
        <w:spacing w:line="360" w:lineRule="auto"/>
        <w:ind w:firstLine="315" w:firstLineChars="150"/>
        <w:rPr>
          <w:szCs w:val="21"/>
        </w:rPr>
      </w:pPr>
      <w:r>
        <w:rPr>
          <w:rFonts w:hint="eastAsia"/>
          <w:szCs w:val="21"/>
        </w:rPr>
        <w:t>7.</w:t>
      </w:r>
      <w:r>
        <w:rPr>
          <w:rFonts w:hint="eastAsia"/>
          <w:szCs w:val="21"/>
          <w:lang w:eastAsia="zh-CN"/>
        </w:rPr>
        <w:t>评标委员会</w:t>
      </w:r>
      <w:r>
        <w:rPr>
          <w:rFonts w:hint="eastAsia"/>
          <w:szCs w:val="21"/>
        </w:rPr>
        <w:t>根据综合评分情况，按照评审得分由高到低顺序推荐3名以上成交候选</w:t>
      </w:r>
      <w:r>
        <w:rPr>
          <w:rFonts w:hint="eastAsia"/>
          <w:szCs w:val="21"/>
          <w:lang w:eastAsia="zh-CN"/>
        </w:rPr>
        <w:t>投标人</w:t>
      </w:r>
      <w:r>
        <w:rPr>
          <w:rFonts w:hint="eastAsia"/>
          <w:szCs w:val="21"/>
        </w:rPr>
        <w:t>，并编写评审报告。评审得分相同的，按照最后报价由低到高的顺序推荐。评审得分且最后报价相同的，按照技术部分优劣顺序推荐。</w:t>
      </w:r>
    </w:p>
    <w:p>
      <w:pPr>
        <w:adjustRightInd w:val="0"/>
        <w:spacing w:line="360" w:lineRule="auto"/>
        <w:rPr>
          <w:bCs/>
          <w:szCs w:val="21"/>
        </w:rPr>
      </w:pPr>
      <w:r>
        <w:rPr>
          <w:rFonts w:hint="eastAsia"/>
          <w:szCs w:val="21"/>
        </w:rPr>
        <w:t xml:space="preserve">   8.</w:t>
      </w:r>
      <w:r>
        <w:rPr>
          <w:rFonts w:hint="eastAsia"/>
          <w:bCs/>
          <w:szCs w:val="21"/>
        </w:rPr>
        <w:t xml:space="preserve"> 原则上推荐排名位于第一名的成交候选</w:t>
      </w:r>
      <w:r>
        <w:rPr>
          <w:rFonts w:hint="eastAsia"/>
          <w:bCs/>
          <w:szCs w:val="21"/>
          <w:lang w:eastAsia="zh-CN"/>
        </w:rPr>
        <w:t>投标人</w:t>
      </w:r>
      <w:r>
        <w:rPr>
          <w:rFonts w:hint="eastAsia"/>
          <w:bCs/>
          <w:szCs w:val="21"/>
        </w:rPr>
        <w:t>为中标</w:t>
      </w:r>
      <w:r>
        <w:rPr>
          <w:rFonts w:hint="eastAsia"/>
          <w:bCs/>
          <w:szCs w:val="21"/>
          <w:lang w:eastAsia="zh-CN"/>
        </w:rPr>
        <w:t>投标人</w:t>
      </w:r>
      <w:r>
        <w:rPr>
          <w:rFonts w:hint="eastAsia"/>
          <w:bCs/>
          <w:szCs w:val="21"/>
        </w:rPr>
        <w:t>。若排名第一的成交候选</w:t>
      </w:r>
      <w:r>
        <w:rPr>
          <w:rFonts w:hint="eastAsia"/>
          <w:bCs/>
          <w:szCs w:val="21"/>
          <w:lang w:eastAsia="zh-CN"/>
        </w:rPr>
        <w:t>投标人</w:t>
      </w:r>
      <w:r>
        <w:rPr>
          <w:rFonts w:hint="eastAsia"/>
          <w:bCs/>
          <w:szCs w:val="21"/>
        </w:rPr>
        <w:t>放弃中标、因不可抗力提出不能履行合同或招标文件规定应当提交履约保证金而在规定的期限内未能提交的，</w:t>
      </w:r>
      <w:r>
        <w:rPr>
          <w:rFonts w:hint="eastAsia"/>
          <w:bCs/>
          <w:szCs w:val="21"/>
          <w:lang w:eastAsia="zh-CN"/>
        </w:rPr>
        <w:t>招标</w:t>
      </w:r>
      <w:r>
        <w:rPr>
          <w:rFonts w:hint="eastAsia"/>
          <w:bCs/>
          <w:szCs w:val="21"/>
        </w:rPr>
        <w:t>人有权选择重新招标，或者</w:t>
      </w:r>
      <w:r>
        <w:rPr>
          <w:rFonts w:hint="eastAsia"/>
          <w:bCs/>
          <w:szCs w:val="21"/>
          <w:lang w:eastAsia="zh-CN"/>
        </w:rPr>
        <w:t>招标</w:t>
      </w:r>
      <w:r>
        <w:rPr>
          <w:rFonts w:hint="eastAsia"/>
          <w:bCs/>
          <w:szCs w:val="21"/>
        </w:rPr>
        <w:t>人确定排名第二的成交候选</w:t>
      </w:r>
      <w:r>
        <w:rPr>
          <w:rFonts w:hint="eastAsia"/>
          <w:bCs/>
          <w:szCs w:val="21"/>
          <w:lang w:eastAsia="zh-CN"/>
        </w:rPr>
        <w:t>投标人</w:t>
      </w:r>
      <w:r>
        <w:rPr>
          <w:rFonts w:hint="eastAsia"/>
          <w:bCs/>
          <w:szCs w:val="21"/>
        </w:rPr>
        <w:t>为中标</w:t>
      </w:r>
      <w:r>
        <w:rPr>
          <w:rFonts w:hint="eastAsia"/>
          <w:bCs/>
          <w:szCs w:val="21"/>
          <w:lang w:eastAsia="zh-CN"/>
        </w:rPr>
        <w:t>投标人</w:t>
      </w:r>
      <w:r>
        <w:rPr>
          <w:rFonts w:hint="eastAsia"/>
          <w:bCs/>
          <w:szCs w:val="21"/>
        </w:rPr>
        <w:t>，以此类推。</w:t>
      </w:r>
    </w:p>
    <w:p>
      <w:pPr>
        <w:adjustRightInd w:val="0"/>
        <w:spacing w:line="360" w:lineRule="auto"/>
        <w:ind w:firstLine="105" w:firstLineChars="50"/>
        <w:rPr>
          <w:bCs/>
          <w:szCs w:val="21"/>
        </w:rPr>
      </w:pPr>
      <w:r>
        <w:rPr>
          <w:rFonts w:hint="eastAsia"/>
          <w:bCs/>
          <w:szCs w:val="21"/>
        </w:rPr>
        <w:t xml:space="preserve">9. </w:t>
      </w:r>
      <w:r>
        <w:rPr>
          <w:rFonts w:hint="eastAsia"/>
          <w:bCs/>
          <w:szCs w:val="21"/>
          <w:lang w:eastAsia="zh-CN"/>
        </w:rPr>
        <w:t>评标委员会</w:t>
      </w:r>
      <w:r>
        <w:rPr>
          <w:rFonts w:hint="eastAsia"/>
          <w:bCs/>
          <w:szCs w:val="21"/>
        </w:rPr>
        <w:t>完成评标后，应当向</w:t>
      </w:r>
      <w:r>
        <w:rPr>
          <w:rFonts w:hint="eastAsia"/>
          <w:bCs/>
          <w:szCs w:val="21"/>
          <w:lang w:eastAsia="zh-CN"/>
        </w:rPr>
        <w:t>招标</w:t>
      </w:r>
      <w:r>
        <w:rPr>
          <w:rFonts w:hint="eastAsia"/>
          <w:bCs/>
          <w:szCs w:val="21"/>
        </w:rPr>
        <w:t>人提交书面评标报告。</w:t>
      </w:r>
    </w:p>
    <w:p>
      <w:pPr>
        <w:pageBreakBefore w:val="0"/>
        <w:widowControl/>
        <w:kinsoku/>
        <w:wordWrap/>
        <w:overflowPunct/>
        <w:topLinePunct w:val="0"/>
        <w:bidi w:val="0"/>
        <w:snapToGrid w:val="0"/>
        <w:spacing w:line="240" w:lineRule="auto"/>
        <w:jc w:val="left"/>
        <w:textAlignment w:val="auto"/>
        <w:rPr>
          <w:rFonts w:hint="eastAsia" w:ascii="宋体" w:hAnsi="宋体" w:eastAsia="宋体" w:cs="宋体"/>
          <w:b w:val="0"/>
          <w:bCs/>
          <w:kern w:val="44"/>
          <w:sz w:val="21"/>
          <w:szCs w:val="21"/>
          <w:lang w:val="en-US" w:eastAsia="zh-CN" w:bidi="ar-SA"/>
        </w:rPr>
      </w:pPr>
    </w:p>
    <w:sectPr>
      <w:footerReference r:id="rId3" w:type="default"/>
      <w:pgSz w:w="11906" w:h="16838"/>
      <w:pgMar w:top="1134" w:right="1134" w:bottom="1134" w:left="1134" w:header="0"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eastAsia="宋体" w:cs="宋体"/>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hint="eastAsia" w:ascii="宋体" w:hAnsi="宋体" w:eastAsia="宋体" w:cs="宋体"/>
                              <w:sz w:val="21"/>
                              <w:szCs w:val="21"/>
                              <w:lang w:val="zh-CN"/>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PAGE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r>
                            <w:rPr>
                              <w:rFonts w:hint="eastAsia" w:ascii="宋体" w:hAnsi="宋体" w:eastAsia="宋体" w:cs="宋体"/>
                              <w:sz w:val="21"/>
                              <w:szCs w:val="21"/>
                              <w:lang w:val="zh-CN"/>
                            </w:rPr>
                            <w:t xml:space="preserve"> 页/共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NUMPAGES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7</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pPr>
                    <w:r>
                      <w:rPr>
                        <w:rFonts w:hint="eastAsia" w:ascii="宋体" w:hAnsi="宋体" w:eastAsia="宋体" w:cs="宋体"/>
                        <w:sz w:val="21"/>
                        <w:szCs w:val="21"/>
                        <w:lang w:val="zh-CN"/>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PAGE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r>
                      <w:rPr>
                        <w:rFonts w:hint="eastAsia" w:ascii="宋体" w:hAnsi="宋体" w:eastAsia="宋体" w:cs="宋体"/>
                        <w:sz w:val="21"/>
                        <w:szCs w:val="21"/>
                        <w:lang w:val="zh-CN"/>
                      </w:rPr>
                      <w:t xml:space="preserve"> 页/共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NUMPAGES  \* Arabic  \* MERGEFORMAT</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7</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85E34"/>
    <w:multiLevelType w:val="singleLevel"/>
    <w:tmpl w:val="1D085E34"/>
    <w:lvl w:ilvl="0" w:tentative="0">
      <w:start w:val="1"/>
      <w:numFmt w:val="decimal"/>
      <w:suff w:val="nothing"/>
      <w:lvlText w:val="%1、"/>
      <w:lvlJc w:val="left"/>
    </w:lvl>
  </w:abstractNum>
  <w:abstractNum w:abstractNumId="1">
    <w:nsid w:val="555FE6ED"/>
    <w:multiLevelType w:val="singleLevel"/>
    <w:tmpl w:val="555FE6ED"/>
    <w:lvl w:ilvl="0" w:tentative="0">
      <w:start w:val="1"/>
      <w:numFmt w:val="decimal"/>
      <w:suff w:val="nothing"/>
      <w:lvlText w:val="%1."/>
      <w:lvlJc w:val="left"/>
    </w:lvl>
  </w:abstractNum>
  <w:abstractNum w:abstractNumId="2">
    <w:nsid w:val="555FEA6A"/>
    <w:multiLevelType w:val="singleLevel"/>
    <w:tmpl w:val="555FEA6A"/>
    <w:lvl w:ilvl="0" w:tentative="0">
      <w:start w:val="1"/>
      <w:numFmt w:val="decimal"/>
      <w:suff w:val="nothing"/>
      <w:lvlText w:val="（%1）"/>
      <w:lvlJc w:val="left"/>
    </w:lvl>
  </w:abstractNum>
  <w:abstractNum w:abstractNumId="3">
    <w:nsid w:val="555FEB6A"/>
    <w:multiLevelType w:val="singleLevel"/>
    <w:tmpl w:val="555FEB6A"/>
    <w:lvl w:ilvl="0" w:tentative="0">
      <w:start w:val="5"/>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BF"/>
    <w:rsid w:val="002E7BA2"/>
    <w:rsid w:val="003B4FDD"/>
    <w:rsid w:val="00552FCC"/>
    <w:rsid w:val="00594685"/>
    <w:rsid w:val="00737E81"/>
    <w:rsid w:val="00787213"/>
    <w:rsid w:val="007969AD"/>
    <w:rsid w:val="008B12FD"/>
    <w:rsid w:val="00900DD9"/>
    <w:rsid w:val="009170B6"/>
    <w:rsid w:val="00A1547A"/>
    <w:rsid w:val="00C63D34"/>
    <w:rsid w:val="00C821BF"/>
    <w:rsid w:val="00CD0AC2"/>
    <w:rsid w:val="00CF03F8"/>
    <w:rsid w:val="00E01DD5"/>
    <w:rsid w:val="00E14DB3"/>
    <w:rsid w:val="00E755FB"/>
    <w:rsid w:val="0D835C77"/>
    <w:rsid w:val="15F202C6"/>
    <w:rsid w:val="1CEE7CD7"/>
    <w:rsid w:val="1E04160B"/>
    <w:rsid w:val="1E643ED4"/>
    <w:rsid w:val="21B86970"/>
    <w:rsid w:val="23BA5FBD"/>
    <w:rsid w:val="246A7B26"/>
    <w:rsid w:val="24A35C6C"/>
    <w:rsid w:val="2C44339D"/>
    <w:rsid w:val="2E484AA8"/>
    <w:rsid w:val="2F727166"/>
    <w:rsid w:val="2FBF4823"/>
    <w:rsid w:val="330F5B4D"/>
    <w:rsid w:val="375E7F18"/>
    <w:rsid w:val="3BC95290"/>
    <w:rsid w:val="43882727"/>
    <w:rsid w:val="44FD7803"/>
    <w:rsid w:val="468E722E"/>
    <w:rsid w:val="47081A3A"/>
    <w:rsid w:val="4AE51915"/>
    <w:rsid w:val="4C1C258E"/>
    <w:rsid w:val="55AE7CB5"/>
    <w:rsid w:val="55E63573"/>
    <w:rsid w:val="5E6A7A37"/>
    <w:rsid w:val="5FD15611"/>
    <w:rsid w:val="61C419D3"/>
    <w:rsid w:val="64654820"/>
    <w:rsid w:val="69C77A09"/>
    <w:rsid w:val="711222C5"/>
    <w:rsid w:val="71603E7A"/>
    <w:rsid w:val="74A32A60"/>
    <w:rsid w:val="75D400C7"/>
    <w:rsid w:val="77C706CA"/>
    <w:rsid w:val="7B40503B"/>
    <w:rsid w:val="7EAF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3"/>
    <w:qFormat/>
    <w:uiPriority w:val="0"/>
    <w:pPr>
      <w:keepNext/>
      <w:keepLines/>
      <w:spacing w:before="260" w:after="260" w:line="500" w:lineRule="exact"/>
      <w:jc w:val="left"/>
      <w:outlineLvl w:val="1"/>
    </w:pPr>
    <w:rPr>
      <w:rFonts w:ascii="黑体" w:hAnsi="宋体" w:eastAsia="黑体"/>
      <w:b/>
      <w:smallCaps/>
      <w:snapToGrid w:val="0"/>
      <w:color w:val="000000"/>
      <w:sz w:val="32"/>
      <w:szCs w:val="32"/>
    </w:rPr>
  </w:style>
  <w:style w:type="paragraph" w:styleId="6">
    <w:name w:val="heading 3"/>
    <w:basedOn w:val="1"/>
    <w:next w:val="1"/>
    <w:link w:val="21"/>
    <w:qFormat/>
    <w:uiPriority w:val="0"/>
    <w:pPr>
      <w:keepNext/>
      <w:keepLines/>
      <w:spacing w:before="260" w:after="260" w:line="416" w:lineRule="auto"/>
      <w:outlineLvl w:val="2"/>
    </w:pPr>
    <w:rPr>
      <w:rFonts w:eastAsia="黑体"/>
      <w:b/>
      <w:bCs/>
      <w:sz w:val="32"/>
      <w:szCs w:val="32"/>
    </w:rPr>
  </w:style>
  <w:style w:type="paragraph" w:styleId="7">
    <w:name w:val="heading 4"/>
    <w:basedOn w:val="1"/>
    <w:next w:val="1"/>
    <w:link w:val="23"/>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5">
    <w:name w:val="Normal Indent"/>
    <w:basedOn w:val="1"/>
    <w:unhideWhenUsed/>
    <w:qFormat/>
    <w:uiPriority w:val="0"/>
    <w:pPr>
      <w:ind w:firstLine="420" w:firstLineChars="200"/>
    </w:p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unhideWhenUsed/>
    <w:qFormat/>
    <w:uiPriority w:val="99"/>
    <w:rPr>
      <w:color w:val="0000FF"/>
      <w:u w:val="single"/>
    </w:rPr>
  </w:style>
  <w:style w:type="character" w:customStyle="1" w:styleId="13">
    <w:name w:val="标题 2 字符"/>
    <w:basedOn w:val="11"/>
    <w:link w:val="4"/>
    <w:qFormat/>
    <w:uiPriority w:val="0"/>
    <w:rPr>
      <w:rFonts w:ascii="黑体" w:hAnsi="宋体" w:eastAsia="黑体" w:cs="Times New Roman"/>
      <w:b/>
      <w:smallCaps/>
      <w:snapToGrid w:val="0"/>
      <w:color w:val="000000"/>
      <w:sz w:val="32"/>
      <w:szCs w:val="32"/>
    </w:rPr>
  </w:style>
  <w:style w:type="paragraph" w:customStyle="1" w:styleId="14">
    <w:name w:val="列出段落1"/>
    <w:basedOn w:val="1"/>
    <w:qFormat/>
    <w:uiPriority w:val="34"/>
    <w:pPr>
      <w:ind w:firstLine="420" w:firstLineChars="200"/>
    </w:pPr>
    <w:rPr>
      <w:rFonts w:ascii="Times New Roman" w:hAnsi="Times New Roman"/>
      <w:szCs w:val="24"/>
    </w:rPr>
  </w:style>
  <w:style w:type="paragraph" w:customStyle="1" w:styleId="15">
    <w:name w:val="正文首行缩进1"/>
    <w:basedOn w:val="2"/>
    <w:qFormat/>
    <w:uiPriority w:val="0"/>
    <w:pPr>
      <w:spacing w:line="312" w:lineRule="auto"/>
      <w:ind w:firstLine="420"/>
    </w:pPr>
    <w:rPr>
      <w:rFonts w:cs="宋体"/>
      <w:sz w:val="24"/>
      <w:szCs w:val="24"/>
    </w:rPr>
  </w:style>
  <w:style w:type="character" w:customStyle="1" w:styleId="16">
    <w:name w:val="正文文本 字符"/>
    <w:basedOn w:val="11"/>
    <w:link w:val="2"/>
    <w:semiHidden/>
    <w:qFormat/>
    <w:uiPriority w:val="99"/>
    <w:rPr>
      <w:rFonts w:ascii="Calibri" w:hAnsi="Calibri" w:eastAsia="宋体" w:cs="Times New Roman"/>
    </w:rPr>
  </w:style>
  <w:style w:type="character" w:customStyle="1" w:styleId="17">
    <w:name w:val="标题 1 字符"/>
    <w:basedOn w:val="11"/>
    <w:qFormat/>
    <w:uiPriority w:val="9"/>
    <w:rPr>
      <w:rFonts w:ascii="Calibri" w:hAnsi="Calibri" w:eastAsia="宋体" w:cs="Times New Roman"/>
      <w:b/>
      <w:bCs/>
      <w:kern w:val="44"/>
      <w:sz w:val="44"/>
      <w:szCs w:val="44"/>
    </w:rPr>
  </w:style>
  <w:style w:type="character" w:customStyle="1" w:styleId="18">
    <w:name w:val="标题 1 字符1"/>
    <w:link w:val="3"/>
    <w:qFormat/>
    <w:uiPriority w:val="0"/>
    <w:rPr>
      <w:rFonts w:ascii="Calibri" w:hAnsi="Calibri" w:eastAsia="宋体" w:cs="Times New Roman"/>
      <w:b/>
      <w:bCs/>
      <w:kern w:val="44"/>
      <w:sz w:val="44"/>
      <w:szCs w:val="44"/>
    </w:rPr>
  </w:style>
  <w:style w:type="character" w:customStyle="1" w:styleId="19">
    <w:name w:val="页眉 字符"/>
    <w:basedOn w:val="11"/>
    <w:link w:val="9"/>
    <w:qFormat/>
    <w:uiPriority w:val="99"/>
    <w:rPr>
      <w:rFonts w:ascii="Calibri" w:hAnsi="Calibri" w:eastAsia="宋体" w:cs="Times New Roman"/>
      <w:sz w:val="18"/>
      <w:szCs w:val="18"/>
    </w:rPr>
  </w:style>
  <w:style w:type="character" w:customStyle="1" w:styleId="20">
    <w:name w:val="页脚 字符"/>
    <w:basedOn w:val="11"/>
    <w:link w:val="8"/>
    <w:qFormat/>
    <w:uiPriority w:val="99"/>
    <w:rPr>
      <w:rFonts w:ascii="Calibri" w:hAnsi="Calibri" w:eastAsia="宋体" w:cs="Times New Roman"/>
      <w:sz w:val="18"/>
      <w:szCs w:val="18"/>
    </w:rPr>
  </w:style>
  <w:style w:type="character" w:customStyle="1" w:styleId="21">
    <w:name w:val="标题 3 字符"/>
    <w:basedOn w:val="11"/>
    <w:link w:val="6"/>
    <w:qFormat/>
    <w:uiPriority w:val="0"/>
    <w:rPr>
      <w:rFonts w:ascii="Calibri" w:hAnsi="Calibri" w:eastAsia="黑体" w:cs="Times New Roman"/>
      <w:b/>
      <w:bCs/>
      <w:sz w:val="32"/>
      <w:szCs w:val="32"/>
    </w:rPr>
  </w:style>
  <w:style w:type="character" w:customStyle="1" w:styleId="22">
    <w:name w:val="标题 4 字符"/>
    <w:basedOn w:val="11"/>
    <w:semiHidden/>
    <w:qFormat/>
    <w:uiPriority w:val="9"/>
    <w:rPr>
      <w:rFonts w:asciiTheme="majorHAnsi" w:hAnsiTheme="majorHAnsi" w:eastAsiaTheme="majorEastAsia" w:cstheme="majorBidi"/>
      <w:b/>
      <w:bCs/>
      <w:sz w:val="28"/>
      <w:szCs w:val="28"/>
    </w:rPr>
  </w:style>
  <w:style w:type="character" w:customStyle="1" w:styleId="23">
    <w:name w:val="标题 4 字符1"/>
    <w:link w:val="7"/>
    <w:qFormat/>
    <w:uiPriority w:val="0"/>
    <w:rPr>
      <w:rFonts w:ascii="Arial" w:hAnsi="Arial" w:eastAsia="黑体" w:cs="Times New Roman"/>
      <w:b/>
      <w:bCs/>
      <w:sz w:val="28"/>
      <w:szCs w:val="28"/>
    </w:rPr>
  </w:style>
  <w:style w:type="paragraph" w:styleId="24">
    <w:name w:val="List Paragraph"/>
    <w:basedOn w:val="1"/>
    <w:qFormat/>
    <w:uiPriority w:val="1"/>
    <w:pPr>
      <w:ind w:left="232" w:firstLine="417"/>
    </w:pPr>
  </w:style>
  <w:style w:type="paragraph" w:customStyle="1" w:styleId="25">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707</Words>
  <Characters>4030</Characters>
  <Lines>33</Lines>
  <Paragraphs>9</Paragraphs>
  <TotalTime>0</TotalTime>
  <ScaleCrop>false</ScaleCrop>
  <LinksUpToDate>false</LinksUpToDate>
  <CharactersWithSpaces>4728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2020-08-27T13:14:00Z</dcterms:created>
  <dc:creator>Feng</dc:creator>
  <cp:lastModifiedBy>Miss_婷小姐</cp:lastModifiedBy>
  <cp:lastPrinted>2020-09-24T11:57:00Z</cp:lastPrinted>
  <dcterms:modified xsi:type="dcterms:W3CDTF">2020-11-29T07:12:29Z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