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eastAsia="宋体" w:cs="宋体"/>
          <w:sz w:val="32"/>
          <w:szCs w:val="32"/>
        </w:rPr>
      </w:pPr>
      <w:bookmarkStart w:id="0" w:name="_Hlk49077054"/>
      <w:r>
        <w:rPr>
          <w:rFonts w:hint="eastAsia" w:ascii="宋体" w:hAnsi="宋体" w:eastAsia="宋体" w:cs="宋体"/>
          <w:sz w:val="32"/>
          <w:szCs w:val="32"/>
        </w:rPr>
        <w:t>吉林省高速公路通信基站建设第一批工程</w:t>
      </w:r>
    </w:p>
    <w:p>
      <w:pPr>
        <w:adjustRightInd w:val="0"/>
        <w:snapToGrid w:val="0"/>
        <w:jc w:val="center"/>
        <w:rPr>
          <w:rFonts w:hint="eastAsia" w:ascii="宋体" w:hAnsi="宋体" w:eastAsia="宋体" w:cs="宋体"/>
          <w:sz w:val="32"/>
          <w:szCs w:val="32"/>
          <w:lang w:val="en-US" w:eastAsia="zh-CN"/>
        </w:rPr>
      </w:pPr>
      <w:r>
        <w:rPr>
          <w:rFonts w:hint="eastAsia" w:ascii="宋体" w:hAnsi="宋体" w:eastAsia="宋体" w:cs="宋体"/>
          <w:sz w:val="32"/>
          <w:szCs w:val="32"/>
        </w:rPr>
        <w:t>设计施工总承包招标文件关键内容</w:t>
      </w:r>
      <w:r>
        <w:rPr>
          <w:rFonts w:hint="eastAsia" w:ascii="宋体" w:hAnsi="宋体" w:cs="宋体"/>
          <w:sz w:val="32"/>
          <w:szCs w:val="32"/>
          <w:lang w:eastAsia="zh-CN"/>
        </w:rPr>
        <w:t>变更</w:t>
      </w:r>
    </w:p>
    <w:p>
      <w:pPr>
        <w:adjustRightInd w:val="0"/>
        <w:snapToGrid w:val="0"/>
        <w:rPr>
          <w:rFonts w:hint="eastAsia" w:ascii="宋体" w:hAnsi="宋体" w:eastAsia="宋体" w:cs="宋体"/>
          <w:szCs w:val="21"/>
        </w:rPr>
      </w:pPr>
    </w:p>
    <w:p>
      <w:pPr>
        <w:adjustRightInd w:val="0"/>
        <w:snapToGrid w:val="0"/>
        <w:rPr>
          <w:rFonts w:hint="eastAsia" w:ascii="宋体" w:hAnsi="宋体" w:eastAsia="宋体" w:cs="宋体"/>
          <w:szCs w:val="21"/>
        </w:rPr>
      </w:pPr>
      <w:r>
        <w:rPr>
          <w:rFonts w:hint="eastAsia" w:ascii="宋体" w:hAnsi="宋体" w:eastAsia="宋体" w:cs="宋体"/>
          <w:szCs w:val="21"/>
        </w:rPr>
        <w:t>项目概况详见本次招标项目招标公告。</w:t>
      </w:r>
    </w:p>
    <w:p>
      <w:pPr>
        <w:adjustRightInd w:val="0"/>
        <w:snapToGrid w:val="0"/>
        <w:rPr>
          <w:rFonts w:hint="eastAsia" w:ascii="宋体" w:hAnsi="宋体" w:eastAsia="宋体" w:cs="宋体"/>
          <w:szCs w:val="21"/>
        </w:rPr>
      </w:pPr>
    </w:p>
    <w:p>
      <w:pPr>
        <w:pStyle w:val="4"/>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投标人须知前附表</w:t>
      </w:r>
    </w:p>
    <w:p>
      <w:pPr>
        <w:snapToGrid w:val="0"/>
        <w:jc w:val="center"/>
        <w:rPr>
          <w:rFonts w:hint="eastAsia" w:ascii="宋体" w:hAnsi="宋体" w:eastAsia="宋体" w:cs="宋体"/>
          <w:color w:val="000000"/>
          <w:szCs w:val="21"/>
        </w:rPr>
      </w:pPr>
    </w:p>
    <w:bookmarkEnd w:id="0"/>
    <w:tbl>
      <w:tblPr>
        <w:tblStyle w:val="10"/>
        <w:tblW w:w="9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13"/>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964" w:type="dxa"/>
            <w:vAlign w:val="center"/>
          </w:tcPr>
          <w:p>
            <w:pPr>
              <w:adjustRightInd w:val="0"/>
              <w:snapToGrid w:val="0"/>
              <w:jc w:val="center"/>
              <w:rPr>
                <w:rFonts w:hint="eastAsia" w:ascii="宋体" w:hAnsi="宋体" w:eastAsia="宋体" w:cs="宋体"/>
                <w:color w:val="000000"/>
                <w:szCs w:val="21"/>
              </w:rPr>
            </w:pPr>
            <w:bookmarkStart w:id="1" w:name="_Toc478456012"/>
            <w:bookmarkStart w:id="2" w:name="_Toc527626936"/>
            <w:bookmarkStart w:id="3" w:name="_Toc327432506"/>
            <w:bookmarkStart w:id="4" w:name="_Hlk49077372"/>
            <w:r>
              <w:rPr>
                <w:rFonts w:hint="eastAsia" w:ascii="宋体" w:hAnsi="宋体" w:eastAsia="宋体" w:cs="宋体"/>
                <w:color w:val="000000"/>
                <w:szCs w:val="21"/>
              </w:rPr>
              <w:t>条款号</w:t>
            </w:r>
          </w:p>
        </w:tc>
        <w:tc>
          <w:tcPr>
            <w:tcW w:w="2013"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条 款 名 称</w:t>
            </w:r>
          </w:p>
        </w:tc>
        <w:tc>
          <w:tcPr>
            <w:tcW w:w="6669"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4"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1.4.1</w:t>
            </w:r>
          </w:p>
        </w:tc>
        <w:tc>
          <w:tcPr>
            <w:tcW w:w="2013"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投标人资质条件、能力、信誉</w:t>
            </w:r>
          </w:p>
        </w:tc>
        <w:tc>
          <w:tcPr>
            <w:tcW w:w="6669" w:type="dxa"/>
            <w:vAlign w:val="center"/>
          </w:tcPr>
          <w:p>
            <w:pPr>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（1）资质最低要求：</w:t>
            </w:r>
            <w:r>
              <w:rPr>
                <w:rFonts w:hint="eastAsia" w:ascii="宋体" w:hAnsi="宋体" w:eastAsia="宋体" w:cs="宋体"/>
                <w:color w:val="000000"/>
                <w:szCs w:val="21"/>
              </w:rPr>
              <w:t>见附录1</w:t>
            </w:r>
          </w:p>
          <w:p>
            <w:pPr>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（2）财务最低要求：见附录2</w:t>
            </w:r>
          </w:p>
          <w:p>
            <w:pPr>
              <w:adjustRightInd w:val="0"/>
              <w:snapToGrid w:val="0"/>
              <w:ind w:firstLine="210" w:firstLineChars="100"/>
              <w:rPr>
                <w:rFonts w:hint="eastAsia" w:ascii="宋体" w:hAnsi="宋体" w:eastAsia="宋体" w:cs="宋体"/>
                <w:szCs w:val="21"/>
                <w:lang w:val="en-US" w:eastAsia="zh-CN"/>
              </w:rPr>
            </w:pPr>
            <w:r>
              <w:rPr>
                <w:rFonts w:hint="eastAsia" w:ascii="宋体" w:hAnsi="宋体" w:eastAsia="宋体" w:cs="宋体"/>
                <w:szCs w:val="21"/>
              </w:rPr>
              <w:t>（3）投标人业绩最低要求：见附录</w:t>
            </w:r>
            <w:r>
              <w:rPr>
                <w:rFonts w:hint="eastAsia" w:ascii="宋体" w:hAnsi="宋体" w:eastAsia="宋体" w:cs="宋体"/>
                <w:szCs w:val="21"/>
                <w:lang w:val="en-US" w:eastAsia="zh-CN"/>
              </w:rPr>
              <w:t>3</w:t>
            </w:r>
          </w:p>
          <w:p>
            <w:pPr>
              <w:adjustRightInd w:val="0"/>
              <w:snapToGrid w:val="0"/>
              <w:ind w:firstLine="210" w:firstLineChars="100"/>
              <w:rPr>
                <w:rFonts w:hint="eastAsia" w:ascii="宋体" w:hAnsi="宋体" w:eastAsia="宋体" w:cs="宋体"/>
                <w:szCs w:val="21"/>
                <w:lang w:val="en-US" w:eastAsia="zh-CN"/>
              </w:rPr>
            </w:pPr>
            <w:r>
              <w:rPr>
                <w:rFonts w:hint="eastAsia" w:ascii="宋体" w:hAnsi="宋体" w:eastAsia="宋体" w:cs="宋体"/>
                <w:szCs w:val="21"/>
              </w:rPr>
              <w:t>（4）信誉最低要求：见附录</w:t>
            </w:r>
            <w:r>
              <w:rPr>
                <w:rFonts w:hint="eastAsia" w:ascii="宋体" w:hAnsi="宋体" w:eastAsia="宋体" w:cs="宋体"/>
                <w:szCs w:val="21"/>
                <w:lang w:val="en-US" w:eastAsia="zh-CN"/>
              </w:rPr>
              <w:t>4</w:t>
            </w:r>
          </w:p>
          <w:p>
            <w:pPr>
              <w:adjustRightInd w:val="0"/>
              <w:snapToGrid w:val="0"/>
              <w:ind w:firstLine="210" w:firstLineChars="100"/>
              <w:rPr>
                <w:rFonts w:hint="eastAsia" w:ascii="宋体" w:hAnsi="宋体" w:eastAsia="宋体" w:cs="宋体"/>
                <w:szCs w:val="21"/>
                <w:lang w:val="en-US" w:eastAsia="zh-CN"/>
              </w:rPr>
            </w:pPr>
            <w:r>
              <w:rPr>
                <w:rFonts w:hint="eastAsia" w:ascii="宋体" w:hAnsi="宋体" w:eastAsia="宋体" w:cs="宋体"/>
                <w:szCs w:val="21"/>
              </w:rPr>
              <w:t>（5）其他最低要求：见附录</w:t>
            </w:r>
            <w:r>
              <w:rPr>
                <w:rFonts w:hint="eastAsia" w:ascii="宋体" w:hAnsi="宋体" w:eastAsia="宋体" w:cs="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964"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3.2.4</w:t>
            </w:r>
          </w:p>
        </w:tc>
        <w:tc>
          <w:tcPr>
            <w:tcW w:w="2013"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最高投标限价</w:t>
            </w:r>
          </w:p>
        </w:tc>
        <w:tc>
          <w:tcPr>
            <w:tcW w:w="6669" w:type="dxa"/>
            <w:vAlign w:val="center"/>
          </w:tcPr>
          <w:p>
            <w:pPr>
              <w:adjustRightInd w:val="0"/>
              <w:snapToGrid w:val="0"/>
              <w:ind w:firstLine="211" w:firstLineChars="100"/>
              <w:rPr>
                <w:rFonts w:hint="eastAsia" w:ascii="宋体" w:hAnsi="宋体" w:eastAsia="宋体" w:cs="宋体"/>
                <w:b/>
                <w:bCs/>
                <w:color w:val="000000"/>
                <w:szCs w:val="21"/>
              </w:rPr>
            </w:pPr>
            <w:r>
              <w:rPr>
                <w:rFonts w:hint="eastAsia" w:ascii="宋体" w:hAnsi="宋体" w:eastAsia="宋体" w:cs="宋体"/>
                <w:b/>
                <w:bCs/>
                <w:color w:val="000000"/>
                <w:szCs w:val="21"/>
              </w:rPr>
              <w:t>有，最高投标限价</w:t>
            </w:r>
          </w:p>
          <w:p>
            <w:pPr>
              <w:adjustRightInd w:val="0"/>
              <w:snapToGrid w:val="0"/>
              <w:ind w:firstLine="211" w:firstLineChars="100"/>
              <w:rPr>
                <w:rFonts w:hint="eastAsia" w:ascii="宋体" w:hAnsi="宋体" w:eastAsia="宋体" w:cs="宋体"/>
                <w:b/>
                <w:bCs/>
                <w:color w:val="000000"/>
                <w:szCs w:val="21"/>
              </w:rPr>
            </w:pPr>
            <w:r>
              <w:rPr>
                <w:rFonts w:hint="eastAsia" w:ascii="宋体" w:hAnsi="宋体" w:eastAsia="宋体" w:cs="宋体"/>
                <w:b/>
                <w:bCs/>
                <w:color w:val="000000"/>
                <w:szCs w:val="21"/>
              </w:rPr>
              <w:t>TX01标段为：80,700,424元（施工费为76,741,712元</w:t>
            </w:r>
            <w:r>
              <w:rPr>
                <w:rFonts w:hint="eastAsia" w:ascii="宋体" w:hAnsi="宋体" w:cs="宋体"/>
                <w:b/>
                <w:bCs/>
                <w:color w:val="000000"/>
                <w:szCs w:val="21"/>
                <w:lang w:val="en-US" w:eastAsia="zh-CN"/>
              </w:rPr>
              <w:t>,</w:t>
            </w:r>
            <w:r>
              <w:rPr>
                <w:rFonts w:hint="eastAsia" w:ascii="宋体" w:hAnsi="宋体" w:eastAsia="宋体" w:cs="宋体"/>
                <w:b/>
                <w:bCs/>
                <w:color w:val="000000"/>
                <w:szCs w:val="21"/>
              </w:rPr>
              <w:t>勘察设计地勘费为3,958,712元）</w:t>
            </w:r>
          </w:p>
          <w:p>
            <w:pPr>
              <w:adjustRightInd w:val="0"/>
              <w:snapToGrid w:val="0"/>
              <w:ind w:firstLine="211" w:firstLineChars="100"/>
              <w:rPr>
                <w:rFonts w:hint="eastAsia" w:ascii="宋体" w:hAnsi="宋体" w:eastAsia="宋体" w:cs="宋体"/>
                <w:b/>
                <w:bCs/>
                <w:color w:val="000000"/>
                <w:szCs w:val="21"/>
              </w:rPr>
            </w:pPr>
            <w:r>
              <w:rPr>
                <w:rFonts w:hint="eastAsia" w:ascii="宋体" w:hAnsi="宋体" w:eastAsia="宋体" w:cs="宋体"/>
                <w:b/>
                <w:bCs/>
                <w:color w:val="000000"/>
                <w:szCs w:val="21"/>
              </w:rPr>
              <w:t>TX02标段为：36,222,106元（施工费为34,500,932元，勘察设计地勘费为1,721,174元）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964"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3.4.1</w:t>
            </w:r>
          </w:p>
        </w:tc>
        <w:tc>
          <w:tcPr>
            <w:tcW w:w="2013"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投标保证金</w:t>
            </w:r>
          </w:p>
        </w:tc>
        <w:tc>
          <w:tcPr>
            <w:tcW w:w="6669" w:type="dxa"/>
            <w:vAlign w:val="center"/>
          </w:tcPr>
          <w:p>
            <w:pPr>
              <w:keepLines/>
              <w:autoSpaceDE w:val="0"/>
              <w:autoSpaceDN w:val="0"/>
              <w:adjustRightInd w:val="0"/>
              <w:snapToGrid w:val="0"/>
              <w:ind w:firstLine="210" w:firstLineChars="100"/>
              <w:rPr>
                <w:rFonts w:hint="eastAsia" w:ascii="宋体" w:hAnsi="宋体" w:eastAsia="宋体" w:cs="宋体"/>
                <w:color w:val="000000"/>
                <w:kern w:val="0"/>
                <w:szCs w:val="21"/>
              </w:rPr>
            </w:pPr>
            <w:r>
              <w:rPr>
                <w:rFonts w:hint="eastAsia" w:ascii="宋体" w:hAnsi="宋体" w:eastAsia="宋体" w:cs="宋体"/>
                <w:color w:val="000000"/>
                <w:kern w:val="0"/>
                <w:szCs w:val="21"/>
              </w:rPr>
              <w:t>要求投标人递交投标保证金：</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投标保证金的形式：现金，银行出具的现金支票、保兑支票、银行汇票，银行保函或工程担保机构出具的保函。</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投标保证金的金额：TX01标段金额为800,000元人民币</w:t>
            </w:r>
          </w:p>
          <w:p>
            <w:pPr>
              <w:keepLines/>
              <w:autoSpaceDE w:val="0"/>
              <w:autoSpaceDN w:val="0"/>
              <w:adjustRightInd w:val="0"/>
              <w:snapToGrid w:val="0"/>
              <w:ind w:firstLine="2100" w:firstLineChars="1000"/>
              <w:rPr>
                <w:rFonts w:hint="eastAsia" w:ascii="宋体" w:hAnsi="宋体" w:eastAsia="宋体" w:cs="宋体"/>
                <w:szCs w:val="21"/>
              </w:rPr>
            </w:pPr>
            <w:r>
              <w:rPr>
                <w:rFonts w:hint="eastAsia" w:ascii="宋体" w:hAnsi="宋体" w:eastAsia="宋体" w:cs="宋体"/>
                <w:szCs w:val="21"/>
              </w:rPr>
              <w:t>TX02标段金额为600,000元人民币</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开户银行：中国工商银行股份有限公司长春经济技术开发区支行</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帐户名称：吉林省高速公路集团经营开发有限公司</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帐号：4200223209200427324</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注：（1）以现金或支票形式提交的投标保证金应从投标人基本账户转出，应在开标截止时间前提交，以实际到帐为准。</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（2）若采用工程担保机构出具的保函，出具保函的担保机构应选择注册资本金不低于10亿元的长春市区境内的专业担保机构，且出具保函的工程担保机构必须事先通过招标人认可。</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3）采用银行保函时，出具保函的银行级别：应由“工商银行、农业银行、中国银行、建设银行、交通银行、中国邮政储蓄银行”六大国有商业银行之一或全国性股份制商业银行开具，银行应为地市级分、支行或以上级别。</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4）招标人最迟将在中标通知书发出后5日内向中标候选人以外的其他投标人退还投标保证金，与中标人签订合同后5日内向中标人和其他中标候选人退还投标保证金，其中中标人的投标保证金在其提交了招标代理服务费后退还。投标保证金以现金或支票形式递交的，招标人应同时退还投标保证金的银行同期活期存款利息，且退还至投标人的基本账户。</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利息计算原则如下：</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1、计算利息的起始日期为投标截止当日，终止日期为招标人退还投标保证金日期的前一日；</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2、投标保证金的利息按照第(1)款所述计息时间段内招标人指定汇入银行公告的活期存款利率计付，并扣除招标人汇款手续费；</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3、利息金额计算至分位，分以下尾数四舍五入。</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注意：投标人必须自本次招标的中标候选人公示期满后5日内及时向招标人递交退还投标保证金的有关资料。</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退还投标保证金时，投标人应向招标人提供的资料如下:</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1.基本账户开户许可证彩色复印件（清晰可辨）；</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2.给招标人开据的退还投标保证金财务收据原件；</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3.汇款凭证复印件；</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4.如果投标人未在上述期限内将相关手续送达招标人，投标人放弃利息的，需出具放弃索要利息的情况说明，也可以在投标保证金收据上注明自愿放弃收取利息，索要利息的，需同时提供增值税发票</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招标人：吉林省高速公路集团经营开发有限公司</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联系人：路雪梅</w:t>
            </w:r>
          </w:p>
          <w:p>
            <w:pPr>
              <w:keepLines/>
              <w:autoSpaceDE w:val="0"/>
              <w:autoSpaceDN w:val="0"/>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联系电话：18943006888</w:t>
            </w:r>
          </w:p>
        </w:tc>
      </w:tr>
      <w:bookmarkEnd w:id="1"/>
      <w:bookmarkEnd w:id="2"/>
      <w:bookmarkEnd w:id="3"/>
    </w:tbl>
    <w:p>
      <w:pPr>
        <w:widowControl/>
        <w:snapToGrid w:val="0"/>
        <w:jc w:val="left"/>
        <w:rPr>
          <w:rFonts w:hint="eastAsia" w:ascii="宋体" w:hAnsi="宋体" w:eastAsia="宋体" w:cs="宋体"/>
          <w:b/>
          <w:szCs w:val="21"/>
        </w:rPr>
      </w:pPr>
    </w:p>
    <w:p>
      <w:pPr>
        <w:snapToGrid w:val="0"/>
        <w:jc w:val="left"/>
        <w:rPr>
          <w:rFonts w:hint="eastAsia" w:ascii="宋体" w:hAnsi="宋体" w:eastAsia="宋体" w:cs="宋体"/>
          <w:bCs/>
          <w:kern w:val="44"/>
          <w:szCs w:val="21"/>
        </w:rPr>
      </w:pPr>
      <w:r>
        <w:rPr>
          <w:rFonts w:hint="eastAsia" w:ascii="宋体" w:hAnsi="宋体" w:eastAsia="宋体" w:cs="宋体"/>
          <w:bCs/>
          <w:kern w:val="44"/>
          <w:szCs w:val="21"/>
        </w:rPr>
        <w:t>附录1   资格审查条件（资质最低要求）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资质最低要求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本次招标要求投标人须具备建设行政主管部门核发的通信工程施工总承包一级资质、钢结构工程专业承包三级及以上资质；同时具备工程设计电子通信广电行业（无线通信、有线通信）专业甲级资质、工程设计电子通信广电行业（通信铁塔）专业乙级及以上资质和工程勘察专业类（工程测量）甲级资质，并在人员、设备、资金等方面具有相应的设计、施工能力。</w:t>
            </w:r>
          </w:p>
        </w:tc>
      </w:tr>
    </w:tbl>
    <w:p>
      <w:pPr>
        <w:snapToGrid w:val="0"/>
        <w:rPr>
          <w:rFonts w:hint="eastAsia" w:ascii="宋体" w:hAnsi="宋体" w:eastAsia="宋体" w:cs="宋体"/>
          <w:szCs w:val="21"/>
        </w:rPr>
      </w:pPr>
    </w:p>
    <w:p>
      <w:pPr>
        <w:snapToGrid w:val="0"/>
        <w:jc w:val="left"/>
        <w:rPr>
          <w:rFonts w:hint="eastAsia" w:ascii="宋体" w:hAnsi="宋体" w:eastAsia="宋体" w:cs="宋体"/>
          <w:szCs w:val="21"/>
          <w:vertAlign w:val="superscript"/>
        </w:rPr>
      </w:pPr>
      <w:r>
        <w:rPr>
          <w:rFonts w:hint="eastAsia" w:ascii="宋体" w:hAnsi="宋体" w:eastAsia="宋体" w:cs="宋体"/>
          <w:bCs/>
          <w:kern w:val="44"/>
          <w:szCs w:val="21"/>
        </w:rPr>
        <w:t>附录2   资格审查条件（财务最低要求）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财务最低要求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2019年经会计师事务所或审计机构审计的财务会计报表中流动资产大于流动负债。</w:t>
            </w:r>
          </w:p>
        </w:tc>
      </w:tr>
    </w:tbl>
    <w:p>
      <w:pPr>
        <w:pStyle w:val="4"/>
        <w:keepNext w:val="0"/>
        <w:adjustRightInd w:val="0"/>
        <w:snapToGrid w:val="0"/>
        <w:spacing w:before="0" w:after="0" w:line="240" w:lineRule="auto"/>
        <w:jc w:val="center"/>
        <w:rPr>
          <w:rFonts w:hint="eastAsia" w:ascii="宋体" w:hAnsi="宋体" w:eastAsia="宋体" w:cs="宋体"/>
          <w:sz w:val="21"/>
          <w:szCs w:val="21"/>
        </w:rPr>
      </w:pPr>
    </w:p>
    <w:p>
      <w:pPr>
        <w:snapToGrid w:val="0"/>
        <w:jc w:val="left"/>
        <w:rPr>
          <w:rFonts w:hint="eastAsia" w:ascii="宋体" w:hAnsi="宋体" w:eastAsia="宋体" w:cs="宋体"/>
          <w:szCs w:val="21"/>
          <w:vertAlign w:val="superscript"/>
        </w:rPr>
      </w:pPr>
      <w:r>
        <w:rPr>
          <w:rFonts w:hint="eastAsia" w:ascii="宋体" w:hAnsi="宋体" w:eastAsia="宋体" w:cs="宋体"/>
          <w:bCs/>
          <w:kern w:val="44"/>
          <w:szCs w:val="21"/>
        </w:rPr>
        <w:t>附录</w:t>
      </w:r>
      <w:r>
        <w:rPr>
          <w:rFonts w:hint="eastAsia" w:ascii="宋体" w:hAnsi="宋体" w:eastAsia="宋体" w:cs="宋体"/>
          <w:bCs/>
          <w:kern w:val="44"/>
          <w:szCs w:val="21"/>
          <w:lang w:val="en-US" w:eastAsia="zh-CN"/>
        </w:rPr>
        <w:t>3</w:t>
      </w:r>
      <w:r>
        <w:rPr>
          <w:rFonts w:hint="eastAsia" w:ascii="宋体" w:hAnsi="宋体" w:eastAsia="宋体" w:cs="宋体"/>
          <w:bCs/>
          <w:kern w:val="44"/>
          <w:szCs w:val="21"/>
        </w:rPr>
        <w:t xml:space="preserve">   资格审查条件（投标人业绩最低要求）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bCs/>
                <w:kern w:val="44"/>
                <w:szCs w:val="21"/>
              </w:rPr>
              <w:t>业绩最低要求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ind w:firstLine="420" w:firstLineChars="200"/>
              <w:rPr>
                <w:rFonts w:hint="eastAsia" w:ascii="宋体" w:hAnsi="宋体" w:eastAsia="宋体" w:cs="宋体"/>
                <w:szCs w:val="21"/>
              </w:rPr>
            </w:pPr>
            <w:r>
              <w:rPr>
                <w:rFonts w:hint="eastAsia" w:ascii="宋体" w:hAnsi="宋体" w:eastAsia="宋体" w:cs="宋体"/>
                <w:sz w:val="21"/>
              </w:rPr>
              <w:t>自2017年1月1日至今已完成的通信基站或通信铁塔类相关工程施工合同，累计合同金额为3000万元；自2017年1月1日至今已完成的通信基站或通信铁塔类相关工程设计合同，累计合同金额为500万元。</w:t>
            </w:r>
          </w:p>
        </w:tc>
      </w:tr>
    </w:tbl>
    <w:p>
      <w:pPr>
        <w:snapToGrid w:val="0"/>
        <w:jc w:val="left"/>
        <w:rPr>
          <w:rFonts w:hint="eastAsia" w:ascii="宋体" w:hAnsi="宋体" w:eastAsia="宋体" w:cs="宋体"/>
          <w:szCs w:val="21"/>
          <w:vertAlign w:val="superscript"/>
        </w:rPr>
      </w:pPr>
      <w:r>
        <w:rPr>
          <w:rFonts w:hint="eastAsia" w:ascii="宋体" w:hAnsi="宋体" w:eastAsia="宋体" w:cs="宋体"/>
          <w:bCs/>
          <w:kern w:val="44"/>
          <w:szCs w:val="21"/>
        </w:rPr>
        <w:t>附录</w:t>
      </w:r>
      <w:r>
        <w:rPr>
          <w:rFonts w:hint="eastAsia" w:ascii="宋体" w:hAnsi="宋体" w:eastAsia="宋体" w:cs="宋体"/>
          <w:bCs/>
          <w:kern w:val="44"/>
          <w:szCs w:val="21"/>
          <w:lang w:val="en-US" w:eastAsia="zh-CN"/>
        </w:rPr>
        <w:t>4</w:t>
      </w:r>
      <w:r>
        <w:rPr>
          <w:rFonts w:hint="eastAsia" w:ascii="宋体" w:hAnsi="宋体" w:eastAsia="宋体" w:cs="宋体"/>
          <w:bCs/>
          <w:kern w:val="44"/>
          <w:szCs w:val="21"/>
        </w:rPr>
        <w:t xml:space="preserve">   资格审查条件（信誉最低要求）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信誉最低要求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拒绝列入政府取消投标资格记录期间的企业或个人投标，拒绝被工商行政管理机关在全国企业信用信息公示系统（http://www.gsxt.gov.cn/index.html）中列入严重违法失信企业名单的企业参与投标。拒绝被最高人民法院在“信用中国”网站（www.creditchina.gov.cn）或各级信用信息共享平台中列入失信被执行人名单的参与投标。投标人不存在行贿犯罪记录，投标时提供“中国裁判文书网”（http://wenshu.court.gov.cn/）查询企业无行贿犯罪记录的网页截图。</w:t>
            </w:r>
          </w:p>
        </w:tc>
      </w:tr>
    </w:tbl>
    <w:p>
      <w:pPr>
        <w:snapToGrid w:val="0"/>
        <w:jc w:val="left"/>
        <w:rPr>
          <w:rFonts w:hint="eastAsia" w:ascii="宋体" w:hAnsi="宋体" w:eastAsia="宋体" w:cs="宋体"/>
          <w:szCs w:val="21"/>
          <w:vertAlign w:val="superscript"/>
        </w:rPr>
      </w:pPr>
      <w:r>
        <w:rPr>
          <w:rFonts w:hint="eastAsia" w:ascii="宋体" w:hAnsi="宋体" w:eastAsia="宋体" w:cs="宋体"/>
          <w:bCs/>
          <w:kern w:val="44"/>
          <w:szCs w:val="21"/>
        </w:rPr>
        <w:t>附录</w:t>
      </w:r>
      <w:r>
        <w:rPr>
          <w:rFonts w:hint="eastAsia" w:ascii="宋体" w:hAnsi="宋体" w:eastAsia="宋体" w:cs="宋体"/>
          <w:bCs/>
          <w:kern w:val="44"/>
          <w:szCs w:val="21"/>
          <w:lang w:val="en-US" w:eastAsia="zh-CN"/>
        </w:rPr>
        <w:t>5</w:t>
      </w:r>
      <w:r>
        <w:rPr>
          <w:rFonts w:hint="eastAsia" w:ascii="宋体" w:hAnsi="宋体" w:eastAsia="宋体" w:cs="宋体"/>
          <w:bCs/>
          <w:kern w:val="44"/>
          <w:szCs w:val="21"/>
        </w:rPr>
        <w:t xml:space="preserve">   资格审查条件（其他最低要求）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其他最低要求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pStyle w:val="2"/>
              <w:numPr>
                <w:ilvl w:val="0"/>
                <w:numId w:val="1"/>
              </w:num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总承包项目经理须持有建设行政主管部门颁发的通信与广电工程专业《一级建造师注册证书》，同时具有通信、电子信息工程等相关专业高级职称，自2017年1月1日至今至少完成过1项通信工程类担任项目经理的施工业绩。项目总工须具有通信、电子信息工程等相关专业高级职称，自2017年1月1日至今至少完成过1项通信工程类担任项目总工的施工业绩。</w:t>
            </w:r>
          </w:p>
          <w:p>
            <w:pPr>
              <w:pStyle w:val="2"/>
              <w:numPr>
                <w:ilvl w:val="0"/>
                <w:numId w:val="1"/>
              </w:num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本次招标接受联合体投标。联合体投标的，应满足下列要求：</w:t>
            </w:r>
          </w:p>
          <w:p>
            <w:pPr>
              <w:pStyle w:val="2"/>
              <w:numPr>
                <w:ilvl w:val="0"/>
                <w:numId w:val="0"/>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1）联合体成员数量不得超过2家，且联合体牵头人应至少具备通信工程施工总承包一级资质、钢结构工程专业承包三级及以上资质并承担施工任务，另一联合体成员应至少具备工程设计电子通信广电行业（无线通信、有线通信）专业甲级资质、工程设计电子通信广电行业（通信铁塔）专业乙级及以上资质和工程勘察专业类（工程测量）甲级资质并承担设计任务。（2）联合体各方不得再以自己名义单独或参加其他联合体在同一标段中投标。（3）每个投标人可对两个标段同时投标，最多可中两个标段。各标段所拟派人员均不得重复使用</w:t>
            </w:r>
            <w:r>
              <w:rPr>
                <w:rFonts w:hint="eastAsia" w:ascii="宋体" w:hAnsi="宋体" w:cs="宋体"/>
                <w:lang w:val="en-US" w:eastAsia="zh-CN"/>
              </w:rPr>
              <w:t>。</w:t>
            </w:r>
          </w:p>
        </w:tc>
      </w:tr>
    </w:tbl>
    <w:p>
      <w:pPr>
        <w:pStyle w:val="3"/>
        <w:tabs>
          <w:tab w:val="left" w:pos="1545"/>
        </w:tabs>
        <w:spacing w:line="240" w:lineRule="auto"/>
        <w:ind w:firstLine="2940" w:firstLineChars="1400"/>
        <w:rPr>
          <w:rFonts w:hint="eastAsia" w:ascii="宋体" w:hAnsi="宋体" w:eastAsia="宋体" w:cs="宋体"/>
          <w:b w:val="0"/>
          <w:bCs/>
          <w:kern w:val="44"/>
          <w:sz w:val="21"/>
          <w:szCs w:val="21"/>
        </w:rPr>
      </w:pPr>
      <w:bookmarkStart w:id="5" w:name="_Toc49863741"/>
      <w:r>
        <w:rPr>
          <w:rFonts w:hint="eastAsia" w:ascii="宋体" w:hAnsi="宋体" w:eastAsia="宋体" w:cs="宋体"/>
          <w:b w:val="0"/>
          <w:bCs/>
          <w:kern w:val="44"/>
          <w:sz w:val="21"/>
          <w:szCs w:val="21"/>
        </w:rPr>
        <w:t xml:space="preserve">第三章  </w:t>
      </w:r>
      <w:bookmarkEnd w:id="4"/>
      <w:bookmarkEnd w:id="5"/>
      <w:r>
        <w:rPr>
          <w:rFonts w:hint="eastAsia" w:ascii="宋体" w:hAnsi="宋体" w:eastAsia="宋体" w:cs="宋体"/>
          <w:b w:val="0"/>
          <w:bCs/>
          <w:kern w:val="44"/>
          <w:sz w:val="21"/>
          <w:szCs w:val="21"/>
        </w:rPr>
        <w:t>评标办法（综合评估法）</w:t>
      </w:r>
    </w:p>
    <w:p>
      <w:pPr>
        <w:pStyle w:val="6"/>
        <w:pageBreakBefore w:val="0"/>
        <w:kinsoku/>
        <w:wordWrap/>
        <w:overflowPunct/>
        <w:topLinePunct w:val="0"/>
        <w:bidi w:val="0"/>
        <w:spacing w:before="1" w:line="240" w:lineRule="auto"/>
        <w:ind w:left="232" w:firstLine="0"/>
        <w:textAlignment w:val="auto"/>
        <w:rPr>
          <w:rFonts w:hint="eastAsia" w:ascii="宋体" w:hAnsi="宋体" w:eastAsia="宋体" w:cs="宋体"/>
          <w:b w:val="0"/>
          <w:bCs/>
          <w:kern w:val="44"/>
          <w:sz w:val="21"/>
          <w:szCs w:val="21"/>
          <w:lang w:val="en-US" w:eastAsia="zh-CN" w:bidi="ar-SA"/>
        </w:rPr>
      </w:pPr>
      <w:bookmarkStart w:id="6" w:name="评标办法前附表"/>
      <w:bookmarkEnd w:id="6"/>
      <w:bookmarkStart w:id="7" w:name="_Toc19463"/>
      <w:bookmarkStart w:id="8" w:name="_Toc8400"/>
      <w:bookmarkStart w:id="9" w:name="_Toc28390"/>
      <w:r>
        <w:rPr>
          <w:rFonts w:hint="eastAsia" w:ascii="宋体" w:hAnsi="宋体" w:eastAsia="宋体" w:cs="宋体"/>
          <w:b w:val="0"/>
          <w:bCs/>
          <w:kern w:val="44"/>
          <w:sz w:val="21"/>
          <w:szCs w:val="21"/>
          <w:lang w:val="en-US" w:eastAsia="zh-CN" w:bidi="ar-SA"/>
        </w:rPr>
        <w:t>评标办法前附表</w:t>
      </w:r>
      <w:bookmarkEnd w:id="7"/>
      <w:bookmarkEnd w:id="8"/>
      <w:bookmarkEnd w:id="9"/>
    </w:p>
    <w:tbl>
      <w:tblPr>
        <w:tblStyle w:val="10"/>
        <w:tblW w:w="9178" w:type="dxa"/>
        <w:tblInd w:w="237" w:type="dxa"/>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Layout w:type="fixed"/>
        <w:tblCellMar>
          <w:top w:w="0" w:type="dxa"/>
          <w:left w:w="0" w:type="dxa"/>
          <w:bottom w:w="0" w:type="dxa"/>
          <w:right w:w="0" w:type="dxa"/>
        </w:tblCellMar>
      </w:tblPr>
      <w:tblGrid>
        <w:gridCol w:w="898"/>
        <w:gridCol w:w="1128"/>
        <w:gridCol w:w="2472"/>
        <w:gridCol w:w="4680"/>
      </w:tblGrid>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90" w:hRule="atLeast"/>
        </w:trPr>
        <w:tc>
          <w:tcPr>
            <w:tcW w:w="2026" w:type="dxa"/>
            <w:gridSpan w:val="2"/>
          </w:tcPr>
          <w:p>
            <w:pPr>
              <w:pStyle w:val="25"/>
              <w:spacing w:before="75" w:line="360" w:lineRule="auto"/>
              <w:ind w:left="677" w:right="668"/>
              <w:jc w:val="center"/>
              <w:rPr>
                <w:rFonts w:hint="eastAsia" w:ascii="宋体" w:hAnsi="宋体" w:eastAsia="宋体" w:cs="宋体"/>
                <w:b/>
                <w:sz w:val="21"/>
                <w:szCs w:val="21"/>
              </w:rPr>
            </w:pPr>
            <w:bookmarkStart w:id="10" w:name="_bookmark83"/>
            <w:bookmarkEnd w:id="10"/>
            <w:bookmarkStart w:id="11" w:name="1.评标方法"/>
            <w:bookmarkEnd w:id="11"/>
            <w:r>
              <w:rPr>
                <w:rFonts w:hint="eastAsia" w:ascii="宋体" w:hAnsi="宋体" w:eastAsia="宋体" w:cs="宋体"/>
                <w:b/>
                <w:sz w:val="21"/>
                <w:szCs w:val="21"/>
              </w:rPr>
              <w:t>条款号</w:t>
            </w:r>
          </w:p>
        </w:tc>
        <w:tc>
          <w:tcPr>
            <w:tcW w:w="2472" w:type="dxa"/>
          </w:tcPr>
          <w:p>
            <w:pPr>
              <w:pStyle w:val="25"/>
              <w:spacing w:before="75" w:line="360" w:lineRule="auto"/>
              <w:ind w:left="272" w:right="259"/>
              <w:jc w:val="center"/>
              <w:rPr>
                <w:rFonts w:hint="eastAsia" w:ascii="宋体" w:hAnsi="宋体" w:eastAsia="宋体" w:cs="宋体"/>
                <w:b/>
                <w:sz w:val="21"/>
                <w:szCs w:val="21"/>
              </w:rPr>
            </w:pPr>
            <w:r>
              <w:rPr>
                <w:rFonts w:hint="eastAsia" w:ascii="宋体" w:hAnsi="宋体" w:eastAsia="宋体" w:cs="宋体"/>
                <w:b/>
                <w:sz w:val="21"/>
                <w:szCs w:val="21"/>
              </w:rPr>
              <w:t>评审因素</w:t>
            </w:r>
          </w:p>
        </w:tc>
        <w:tc>
          <w:tcPr>
            <w:tcW w:w="4680" w:type="dxa"/>
          </w:tcPr>
          <w:p>
            <w:pPr>
              <w:pStyle w:val="25"/>
              <w:spacing w:before="75" w:line="360" w:lineRule="auto"/>
              <w:ind w:left="1901" w:right="1888"/>
              <w:jc w:val="center"/>
              <w:rPr>
                <w:rFonts w:hint="eastAsia" w:ascii="宋体" w:hAnsi="宋体" w:eastAsia="宋体" w:cs="宋体"/>
                <w:b/>
                <w:sz w:val="21"/>
                <w:szCs w:val="21"/>
              </w:rPr>
            </w:pPr>
            <w:r>
              <w:rPr>
                <w:rFonts w:hint="eastAsia" w:ascii="宋体" w:hAnsi="宋体" w:eastAsia="宋体" w:cs="宋体"/>
                <w:b/>
                <w:sz w:val="21"/>
                <w:szCs w:val="21"/>
              </w:rPr>
              <w:t>评审标准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restart"/>
          </w:tcPr>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before="13" w:line="360" w:lineRule="auto"/>
              <w:rPr>
                <w:rFonts w:hint="eastAsia" w:ascii="宋体" w:hAnsi="宋体" w:eastAsia="宋体" w:cs="宋体"/>
                <w:b/>
                <w:sz w:val="21"/>
                <w:szCs w:val="21"/>
              </w:rPr>
            </w:pPr>
          </w:p>
          <w:p>
            <w:pPr>
              <w:pStyle w:val="25"/>
              <w:spacing w:line="360" w:lineRule="auto"/>
              <w:ind w:left="239"/>
              <w:rPr>
                <w:rFonts w:hint="eastAsia" w:ascii="宋体" w:hAnsi="宋体" w:eastAsia="宋体" w:cs="宋体"/>
                <w:sz w:val="21"/>
                <w:szCs w:val="21"/>
              </w:rPr>
            </w:pPr>
            <w:r>
              <w:rPr>
                <w:rFonts w:hint="eastAsia" w:ascii="宋体" w:hAnsi="宋体" w:eastAsia="宋体" w:cs="宋体"/>
                <w:sz w:val="21"/>
                <w:szCs w:val="21"/>
              </w:rPr>
              <w:t>2.1.1</w:t>
            </w:r>
          </w:p>
        </w:tc>
        <w:tc>
          <w:tcPr>
            <w:tcW w:w="1128" w:type="dxa"/>
            <w:vMerge w:val="restart"/>
          </w:tcPr>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before="17" w:line="360" w:lineRule="auto"/>
              <w:rPr>
                <w:rFonts w:hint="eastAsia" w:ascii="宋体" w:hAnsi="宋体" w:eastAsia="宋体" w:cs="宋体"/>
                <w:b/>
                <w:sz w:val="21"/>
                <w:szCs w:val="21"/>
              </w:rPr>
            </w:pPr>
          </w:p>
          <w:p>
            <w:pPr>
              <w:pStyle w:val="25"/>
              <w:spacing w:line="360" w:lineRule="auto"/>
              <w:ind w:left="354" w:right="132" w:hanging="212"/>
              <w:rPr>
                <w:rFonts w:hint="eastAsia" w:ascii="宋体" w:hAnsi="宋体" w:eastAsia="宋体" w:cs="宋体"/>
                <w:sz w:val="21"/>
                <w:szCs w:val="21"/>
              </w:rPr>
            </w:pPr>
            <w:r>
              <w:rPr>
                <w:rFonts w:hint="eastAsia" w:ascii="宋体" w:hAnsi="宋体" w:eastAsia="宋体" w:cs="宋体"/>
                <w:sz w:val="21"/>
                <w:szCs w:val="21"/>
              </w:rPr>
              <w:t>形式评审标准</w:t>
            </w:r>
          </w:p>
        </w:tc>
        <w:tc>
          <w:tcPr>
            <w:tcW w:w="2472" w:type="dxa"/>
          </w:tcPr>
          <w:p>
            <w:pPr>
              <w:pStyle w:val="25"/>
              <w:spacing w:before="140"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4680" w:type="dxa"/>
          </w:tcPr>
          <w:p>
            <w:pPr>
              <w:pStyle w:val="25"/>
              <w:spacing w:before="140" w:line="360" w:lineRule="auto"/>
              <w:ind w:left="109"/>
              <w:rPr>
                <w:rFonts w:hint="eastAsia" w:ascii="宋体" w:hAnsi="宋体" w:eastAsia="宋体" w:cs="宋体"/>
                <w:sz w:val="21"/>
                <w:szCs w:val="21"/>
              </w:rPr>
            </w:pPr>
            <w:r>
              <w:rPr>
                <w:rFonts w:hint="eastAsia" w:ascii="宋体" w:hAnsi="宋体" w:eastAsia="宋体" w:cs="宋体"/>
                <w:sz w:val="21"/>
                <w:szCs w:val="21"/>
              </w:rPr>
              <w:t>与营业执照、资质证书一致</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36" w:hRule="atLeast"/>
        </w:trPr>
        <w:tc>
          <w:tcPr>
            <w:tcW w:w="898" w:type="dxa"/>
            <w:vMerge w:val="continue"/>
            <w:tcBorders>
              <w:top w:val="nil"/>
            </w:tcBorders>
          </w:tcPr>
          <w:p>
            <w:pPr>
              <w:spacing w:line="360" w:lineRule="auto"/>
              <w:rPr>
                <w:rFonts w:hint="eastAsia" w:ascii="宋体" w:hAnsi="宋体" w:eastAsia="宋体" w:cs="宋体"/>
                <w:sz w:val="21"/>
                <w:szCs w:val="21"/>
              </w:rPr>
            </w:pPr>
          </w:p>
        </w:tc>
        <w:tc>
          <w:tcPr>
            <w:tcW w:w="1128" w:type="dxa"/>
            <w:vMerge w:val="continue"/>
            <w:tcBorders>
              <w:top w:val="nil"/>
            </w:tcBorders>
          </w:tcPr>
          <w:p>
            <w:pPr>
              <w:spacing w:line="360" w:lineRule="auto"/>
              <w:rPr>
                <w:rFonts w:hint="eastAsia" w:ascii="宋体" w:hAnsi="宋体" w:eastAsia="宋体" w:cs="宋体"/>
                <w:sz w:val="21"/>
                <w:szCs w:val="21"/>
              </w:rPr>
            </w:pPr>
          </w:p>
        </w:tc>
        <w:tc>
          <w:tcPr>
            <w:tcW w:w="2472" w:type="dxa"/>
          </w:tcPr>
          <w:p>
            <w:pPr>
              <w:pStyle w:val="25"/>
              <w:spacing w:before="140"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投标函签字盖章</w:t>
            </w:r>
          </w:p>
        </w:tc>
        <w:tc>
          <w:tcPr>
            <w:tcW w:w="4680" w:type="dxa"/>
          </w:tcPr>
          <w:p>
            <w:pPr>
              <w:pStyle w:val="25"/>
              <w:spacing w:before="140" w:line="360" w:lineRule="auto"/>
              <w:ind w:left="109"/>
              <w:rPr>
                <w:rFonts w:hint="eastAsia" w:ascii="宋体" w:hAnsi="宋体" w:eastAsia="宋体" w:cs="宋体"/>
                <w:sz w:val="21"/>
                <w:szCs w:val="21"/>
              </w:rPr>
            </w:pPr>
            <w:r>
              <w:rPr>
                <w:rFonts w:hint="eastAsia" w:ascii="宋体" w:hAnsi="宋体" w:eastAsia="宋体" w:cs="宋体"/>
                <w:sz w:val="21"/>
                <w:szCs w:val="21"/>
              </w:rPr>
              <w:t>有法定代表人或其委托代理人签字或加盖单位章</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Borders>
              <w:top w:val="nil"/>
            </w:tcBorders>
          </w:tcPr>
          <w:p>
            <w:pPr>
              <w:spacing w:line="360" w:lineRule="auto"/>
              <w:rPr>
                <w:rFonts w:hint="eastAsia" w:ascii="宋体" w:hAnsi="宋体" w:eastAsia="宋体" w:cs="宋体"/>
                <w:sz w:val="21"/>
                <w:szCs w:val="21"/>
              </w:rPr>
            </w:pPr>
          </w:p>
        </w:tc>
        <w:tc>
          <w:tcPr>
            <w:tcW w:w="1128" w:type="dxa"/>
            <w:vMerge w:val="continue"/>
            <w:tcBorders>
              <w:top w:val="nil"/>
            </w:tcBorders>
          </w:tcPr>
          <w:p>
            <w:pPr>
              <w:spacing w:line="360" w:lineRule="auto"/>
              <w:rPr>
                <w:rFonts w:hint="eastAsia" w:ascii="宋体" w:hAnsi="宋体" w:eastAsia="宋体" w:cs="宋体"/>
                <w:sz w:val="21"/>
                <w:szCs w:val="21"/>
              </w:rPr>
            </w:pPr>
          </w:p>
        </w:tc>
        <w:tc>
          <w:tcPr>
            <w:tcW w:w="2472" w:type="dxa"/>
          </w:tcPr>
          <w:p>
            <w:pPr>
              <w:pStyle w:val="25"/>
              <w:spacing w:before="145"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投标文件格式</w:t>
            </w:r>
          </w:p>
        </w:tc>
        <w:tc>
          <w:tcPr>
            <w:tcW w:w="4680" w:type="dxa"/>
          </w:tcPr>
          <w:p>
            <w:pPr>
              <w:pStyle w:val="25"/>
              <w:spacing w:before="145" w:line="360" w:lineRule="auto"/>
              <w:ind w:left="109"/>
              <w:rPr>
                <w:rFonts w:hint="eastAsia" w:ascii="宋体" w:hAnsi="宋体" w:eastAsia="宋体" w:cs="宋体"/>
                <w:sz w:val="21"/>
                <w:szCs w:val="21"/>
              </w:rPr>
            </w:pPr>
            <w:r>
              <w:rPr>
                <w:rFonts w:hint="eastAsia" w:ascii="宋体" w:hAnsi="宋体" w:eastAsia="宋体" w:cs="宋体"/>
                <w:sz w:val="21"/>
                <w:szCs w:val="21"/>
              </w:rPr>
              <w:t>符合第</w:t>
            </w:r>
            <w:r>
              <w:rPr>
                <w:rFonts w:hint="eastAsia" w:ascii="宋体" w:hAnsi="宋体" w:eastAsia="宋体" w:cs="宋体"/>
                <w:sz w:val="21"/>
                <w:szCs w:val="21"/>
                <w:lang w:val="en-US"/>
              </w:rPr>
              <w:t>七</w:t>
            </w:r>
            <w:r>
              <w:rPr>
                <w:rFonts w:hint="eastAsia" w:ascii="宋体" w:hAnsi="宋体" w:eastAsia="宋体" w:cs="宋体"/>
                <w:sz w:val="21"/>
                <w:szCs w:val="21"/>
              </w:rPr>
              <w:t>章“投标文件格式”的要求</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Borders>
              <w:top w:val="nil"/>
            </w:tcBorders>
          </w:tcPr>
          <w:p>
            <w:pPr>
              <w:spacing w:line="360" w:lineRule="auto"/>
              <w:rPr>
                <w:rFonts w:hint="eastAsia" w:ascii="宋体" w:hAnsi="宋体" w:eastAsia="宋体" w:cs="宋体"/>
                <w:sz w:val="21"/>
                <w:szCs w:val="21"/>
              </w:rPr>
            </w:pPr>
          </w:p>
        </w:tc>
        <w:tc>
          <w:tcPr>
            <w:tcW w:w="1128" w:type="dxa"/>
            <w:vMerge w:val="continue"/>
            <w:tcBorders>
              <w:top w:val="nil"/>
            </w:tcBorders>
          </w:tcPr>
          <w:p>
            <w:pPr>
              <w:spacing w:line="360" w:lineRule="auto"/>
              <w:rPr>
                <w:rFonts w:hint="eastAsia" w:ascii="宋体" w:hAnsi="宋体" w:eastAsia="宋体" w:cs="宋体"/>
                <w:sz w:val="21"/>
                <w:szCs w:val="21"/>
              </w:rPr>
            </w:pPr>
          </w:p>
        </w:tc>
        <w:tc>
          <w:tcPr>
            <w:tcW w:w="2472" w:type="dxa"/>
          </w:tcPr>
          <w:p>
            <w:pPr>
              <w:pStyle w:val="25"/>
              <w:spacing w:before="145"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联合体投标人</w:t>
            </w:r>
          </w:p>
        </w:tc>
        <w:tc>
          <w:tcPr>
            <w:tcW w:w="4680" w:type="dxa"/>
          </w:tcPr>
          <w:p>
            <w:pPr>
              <w:pStyle w:val="25"/>
              <w:spacing w:before="145" w:line="360" w:lineRule="auto"/>
              <w:ind w:left="109"/>
              <w:rPr>
                <w:rFonts w:hint="eastAsia" w:ascii="宋体" w:hAnsi="宋体" w:eastAsia="宋体" w:cs="宋体"/>
                <w:sz w:val="21"/>
                <w:szCs w:val="21"/>
              </w:rPr>
            </w:pPr>
            <w:r>
              <w:rPr>
                <w:rFonts w:hint="eastAsia" w:ascii="宋体" w:hAnsi="宋体" w:eastAsia="宋体" w:cs="宋体"/>
                <w:sz w:val="21"/>
                <w:szCs w:val="21"/>
              </w:rPr>
              <w:t>提交联合体协议书，并明确联合体牵头人，明确约定各方拟承担的工作和责任 。</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Borders>
              <w:top w:val="nil"/>
            </w:tcBorders>
          </w:tcPr>
          <w:p>
            <w:pPr>
              <w:spacing w:line="360" w:lineRule="auto"/>
              <w:rPr>
                <w:rFonts w:hint="eastAsia" w:ascii="宋体" w:hAnsi="宋体" w:eastAsia="宋体" w:cs="宋体"/>
                <w:sz w:val="21"/>
                <w:szCs w:val="21"/>
              </w:rPr>
            </w:pPr>
          </w:p>
        </w:tc>
        <w:tc>
          <w:tcPr>
            <w:tcW w:w="1128" w:type="dxa"/>
            <w:vMerge w:val="continue"/>
            <w:tcBorders>
              <w:top w:val="nil"/>
            </w:tcBorders>
          </w:tcPr>
          <w:p>
            <w:pPr>
              <w:spacing w:line="360" w:lineRule="auto"/>
              <w:rPr>
                <w:rFonts w:hint="eastAsia" w:ascii="宋体" w:hAnsi="宋体" w:eastAsia="宋体" w:cs="宋体"/>
                <w:sz w:val="21"/>
                <w:szCs w:val="21"/>
              </w:rPr>
            </w:pPr>
          </w:p>
        </w:tc>
        <w:tc>
          <w:tcPr>
            <w:tcW w:w="2472" w:type="dxa"/>
          </w:tcPr>
          <w:p>
            <w:pPr>
              <w:pStyle w:val="25"/>
              <w:spacing w:before="140"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报价唯一</w:t>
            </w:r>
          </w:p>
        </w:tc>
        <w:tc>
          <w:tcPr>
            <w:tcW w:w="4680" w:type="dxa"/>
          </w:tcPr>
          <w:p>
            <w:pPr>
              <w:pStyle w:val="25"/>
              <w:spacing w:before="140" w:line="360" w:lineRule="auto"/>
              <w:ind w:left="109"/>
              <w:rPr>
                <w:rFonts w:hint="eastAsia" w:ascii="宋体" w:hAnsi="宋体" w:eastAsia="宋体" w:cs="宋体"/>
                <w:sz w:val="21"/>
                <w:szCs w:val="21"/>
              </w:rPr>
            </w:pPr>
            <w:r>
              <w:rPr>
                <w:rFonts w:hint="eastAsia" w:ascii="宋体" w:hAnsi="宋体" w:eastAsia="宋体" w:cs="宋体"/>
                <w:sz w:val="21"/>
                <w:szCs w:val="21"/>
              </w:rPr>
              <w:t>只能有一个有效报价</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restart"/>
          </w:tcPr>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before="6" w:line="360" w:lineRule="auto"/>
              <w:rPr>
                <w:rFonts w:hint="eastAsia" w:ascii="宋体" w:hAnsi="宋体" w:eastAsia="宋体" w:cs="宋体"/>
                <w:b/>
                <w:sz w:val="21"/>
                <w:szCs w:val="21"/>
              </w:rPr>
            </w:pPr>
          </w:p>
          <w:p>
            <w:pPr>
              <w:pStyle w:val="25"/>
              <w:spacing w:line="360" w:lineRule="auto"/>
              <w:ind w:left="239"/>
              <w:rPr>
                <w:rFonts w:hint="eastAsia" w:ascii="宋体" w:hAnsi="宋体" w:eastAsia="宋体" w:cs="宋体"/>
                <w:sz w:val="21"/>
                <w:szCs w:val="21"/>
              </w:rPr>
            </w:pPr>
            <w:r>
              <w:rPr>
                <w:rFonts w:hint="eastAsia" w:ascii="宋体" w:hAnsi="宋体" w:eastAsia="宋体" w:cs="宋体"/>
                <w:sz w:val="21"/>
                <w:szCs w:val="21"/>
              </w:rPr>
              <w:t>2.1.2</w:t>
            </w:r>
          </w:p>
        </w:tc>
        <w:tc>
          <w:tcPr>
            <w:tcW w:w="1128" w:type="dxa"/>
            <w:vMerge w:val="restart"/>
          </w:tcPr>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before="15" w:line="360" w:lineRule="auto"/>
              <w:rPr>
                <w:rFonts w:hint="eastAsia" w:ascii="宋体" w:hAnsi="宋体" w:eastAsia="宋体" w:cs="宋体"/>
                <w:b/>
                <w:sz w:val="21"/>
                <w:szCs w:val="21"/>
              </w:rPr>
            </w:pPr>
          </w:p>
          <w:p>
            <w:pPr>
              <w:pStyle w:val="25"/>
              <w:spacing w:line="360" w:lineRule="auto"/>
              <w:ind w:left="354" w:right="132" w:hanging="212"/>
              <w:rPr>
                <w:rFonts w:hint="eastAsia" w:ascii="宋体" w:hAnsi="宋体" w:eastAsia="宋体" w:cs="宋体"/>
                <w:sz w:val="21"/>
                <w:szCs w:val="21"/>
              </w:rPr>
            </w:pPr>
            <w:r>
              <w:rPr>
                <w:rFonts w:hint="eastAsia" w:ascii="宋体" w:hAnsi="宋体" w:eastAsia="宋体" w:cs="宋体"/>
                <w:sz w:val="21"/>
                <w:szCs w:val="21"/>
              </w:rPr>
              <w:t>资格评审标准</w:t>
            </w:r>
          </w:p>
        </w:tc>
        <w:tc>
          <w:tcPr>
            <w:tcW w:w="2472" w:type="dxa"/>
          </w:tcPr>
          <w:p>
            <w:pPr>
              <w:pStyle w:val="25"/>
              <w:spacing w:before="145"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营业执照</w:t>
            </w:r>
          </w:p>
        </w:tc>
        <w:tc>
          <w:tcPr>
            <w:tcW w:w="4680" w:type="dxa"/>
          </w:tcPr>
          <w:p>
            <w:pPr>
              <w:pStyle w:val="25"/>
              <w:spacing w:before="145" w:line="360" w:lineRule="auto"/>
              <w:ind w:left="109"/>
              <w:rPr>
                <w:rFonts w:hint="eastAsia" w:ascii="宋体" w:hAnsi="宋体" w:eastAsia="宋体" w:cs="宋体"/>
                <w:sz w:val="21"/>
                <w:szCs w:val="21"/>
              </w:rPr>
            </w:pPr>
            <w:r>
              <w:rPr>
                <w:rFonts w:hint="eastAsia" w:ascii="宋体" w:hAnsi="宋体" w:eastAsia="宋体" w:cs="宋体"/>
                <w:sz w:val="21"/>
                <w:szCs w:val="21"/>
              </w:rPr>
              <w:t>具备有效的营业执照</w:t>
            </w:r>
          </w:p>
          <w:p>
            <w:pPr>
              <w:pStyle w:val="25"/>
              <w:spacing w:before="145" w:line="360" w:lineRule="auto"/>
              <w:ind w:left="109"/>
              <w:rPr>
                <w:rFonts w:hint="eastAsia" w:ascii="宋体" w:hAnsi="宋体" w:eastAsia="宋体" w:cs="宋体"/>
                <w:sz w:val="21"/>
                <w:szCs w:val="21"/>
              </w:rPr>
            </w:pPr>
            <w:r>
              <w:rPr>
                <w:rFonts w:hint="eastAsia" w:ascii="宋体" w:hAnsi="宋体" w:eastAsia="宋体" w:cs="宋体"/>
                <w:b/>
                <w:bCs/>
                <w:sz w:val="21"/>
                <w:szCs w:val="21"/>
                <w:lang w:val="en-US"/>
              </w:rPr>
              <w:t>投标人（如联合体，则为联合体各方）需提供营业执照复印件并加盖公章。</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Pr>
          <w:p>
            <w:pPr>
              <w:spacing w:line="360" w:lineRule="auto"/>
              <w:rPr>
                <w:rFonts w:hint="eastAsia" w:ascii="宋体" w:hAnsi="宋体" w:eastAsia="宋体" w:cs="宋体"/>
                <w:sz w:val="21"/>
                <w:szCs w:val="21"/>
              </w:rPr>
            </w:pPr>
          </w:p>
        </w:tc>
        <w:tc>
          <w:tcPr>
            <w:tcW w:w="1128" w:type="dxa"/>
            <w:vMerge w:val="continue"/>
          </w:tcPr>
          <w:p>
            <w:pPr>
              <w:spacing w:line="360" w:lineRule="auto"/>
              <w:rPr>
                <w:rFonts w:hint="eastAsia" w:ascii="宋体" w:hAnsi="宋体" w:eastAsia="宋体" w:cs="宋体"/>
                <w:sz w:val="21"/>
                <w:szCs w:val="21"/>
              </w:rPr>
            </w:pPr>
          </w:p>
        </w:tc>
        <w:tc>
          <w:tcPr>
            <w:tcW w:w="2472" w:type="dxa"/>
          </w:tcPr>
          <w:p>
            <w:pPr>
              <w:pStyle w:val="25"/>
              <w:spacing w:before="145"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资质等级</w:t>
            </w:r>
          </w:p>
        </w:tc>
        <w:tc>
          <w:tcPr>
            <w:tcW w:w="4680" w:type="dxa"/>
          </w:tcPr>
          <w:p>
            <w:pPr>
              <w:pStyle w:val="25"/>
              <w:spacing w:before="145" w:line="360" w:lineRule="auto"/>
              <w:ind w:left="109"/>
              <w:rPr>
                <w:rFonts w:hint="eastAsia" w:ascii="宋体" w:hAnsi="宋体" w:eastAsia="宋体" w:cs="宋体"/>
                <w:sz w:val="21"/>
                <w:szCs w:val="21"/>
              </w:rPr>
            </w:pPr>
            <w:r>
              <w:rPr>
                <w:rFonts w:hint="eastAsia" w:ascii="宋体" w:hAnsi="宋体" w:eastAsia="宋体" w:cs="宋体"/>
                <w:b w:val="0"/>
                <w:bCs w:val="0"/>
                <w:sz w:val="21"/>
                <w:szCs w:val="21"/>
              </w:rPr>
              <w:t>本次招标要求投标人须具备建设行政主管部门核发的通信工程施工总承包一级资质、钢结构工程专业承包三级及以上资质；同时具备工程设计电子通信广电行业（无线通信、有线通信）专业甲级资质、工程设计电子通信广电行业（</w:t>
            </w:r>
            <w:bookmarkStart w:id="55" w:name="_GoBack"/>
            <w:bookmarkEnd w:id="55"/>
            <w:r>
              <w:rPr>
                <w:rFonts w:hint="eastAsia" w:ascii="宋体" w:hAnsi="宋体" w:eastAsia="宋体" w:cs="宋体"/>
                <w:b w:val="0"/>
                <w:bCs w:val="0"/>
                <w:sz w:val="21"/>
                <w:szCs w:val="21"/>
              </w:rPr>
              <w:t>通信铁塔）专业乙级及以上资质和工程勘察专业类（工程测量）甲级资质，并在人员、设备、资金等方面具有相应的设计、施工能力。</w:t>
            </w:r>
            <w:r>
              <w:rPr>
                <w:rFonts w:hint="eastAsia" w:ascii="宋体" w:hAnsi="宋体" w:eastAsia="宋体" w:cs="宋体"/>
                <w:b/>
                <w:bCs/>
                <w:sz w:val="21"/>
                <w:szCs w:val="21"/>
              </w:rPr>
              <w:t>提供资质证书复印件加盖公章。</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Pr>
          <w:p>
            <w:pPr>
              <w:spacing w:line="360" w:lineRule="auto"/>
              <w:rPr>
                <w:rFonts w:hint="eastAsia" w:ascii="宋体" w:hAnsi="宋体" w:eastAsia="宋体" w:cs="宋体"/>
                <w:sz w:val="21"/>
                <w:szCs w:val="21"/>
              </w:rPr>
            </w:pPr>
          </w:p>
        </w:tc>
        <w:tc>
          <w:tcPr>
            <w:tcW w:w="1128" w:type="dxa"/>
            <w:vMerge w:val="continue"/>
          </w:tcPr>
          <w:p>
            <w:pPr>
              <w:spacing w:line="360" w:lineRule="auto"/>
              <w:rPr>
                <w:rFonts w:hint="eastAsia" w:ascii="宋体" w:hAnsi="宋体" w:eastAsia="宋体" w:cs="宋体"/>
                <w:sz w:val="21"/>
                <w:szCs w:val="21"/>
              </w:rPr>
            </w:pPr>
          </w:p>
        </w:tc>
        <w:tc>
          <w:tcPr>
            <w:tcW w:w="2472" w:type="dxa"/>
          </w:tcPr>
          <w:p>
            <w:pPr>
              <w:pStyle w:val="25"/>
              <w:spacing w:before="140"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财务状况</w:t>
            </w:r>
          </w:p>
        </w:tc>
        <w:tc>
          <w:tcPr>
            <w:tcW w:w="4680" w:type="dxa"/>
          </w:tcPr>
          <w:p>
            <w:pPr>
              <w:pStyle w:val="25"/>
              <w:spacing w:before="20" w:line="360" w:lineRule="auto"/>
              <w:ind w:left="109"/>
              <w:rPr>
                <w:rFonts w:hint="eastAsia" w:ascii="宋体" w:hAnsi="宋体" w:eastAsia="宋体" w:cs="宋体"/>
                <w:sz w:val="21"/>
                <w:szCs w:val="21"/>
              </w:rPr>
            </w:pPr>
            <w:r>
              <w:rPr>
                <w:rFonts w:hint="eastAsia" w:ascii="宋体" w:hAnsi="宋体" w:eastAsia="宋体" w:cs="宋体"/>
                <w:sz w:val="21"/>
                <w:szCs w:val="21"/>
              </w:rPr>
              <w:t>2019年经会计师事务所或审计机构审计的财务会计报表中流动资产大于流动负债。</w:t>
            </w:r>
          </w:p>
          <w:p>
            <w:pPr>
              <w:pStyle w:val="25"/>
              <w:spacing w:before="20" w:line="360" w:lineRule="auto"/>
              <w:ind w:left="109"/>
              <w:rPr>
                <w:rFonts w:hint="eastAsia" w:ascii="宋体" w:hAnsi="宋体" w:eastAsia="宋体" w:cs="宋体"/>
                <w:sz w:val="21"/>
                <w:szCs w:val="21"/>
              </w:rPr>
            </w:pPr>
            <w:r>
              <w:rPr>
                <w:rFonts w:hint="eastAsia" w:ascii="宋体" w:hAnsi="宋体" w:eastAsia="宋体" w:cs="宋体"/>
                <w:b/>
                <w:bCs/>
                <w:sz w:val="21"/>
                <w:szCs w:val="21"/>
                <w:lang w:val="en-US"/>
              </w:rPr>
              <w:t>投标人（如联合体，则为联合体各方）需提供财务审计报告复印件并加盖公章。</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36" w:hRule="atLeast"/>
        </w:trPr>
        <w:tc>
          <w:tcPr>
            <w:tcW w:w="898" w:type="dxa"/>
            <w:vMerge w:val="continue"/>
          </w:tcPr>
          <w:p>
            <w:pPr>
              <w:spacing w:line="360" w:lineRule="auto"/>
              <w:rPr>
                <w:rFonts w:hint="eastAsia" w:ascii="宋体" w:hAnsi="宋体" w:eastAsia="宋体" w:cs="宋体"/>
                <w:sz w:val="21"/>
                <w:szCs w:val="21"/>
              </w:rPr>
            </w:pPr>
          </w:p>
        </w:tc>
        <w:tc>
          <w:tcPr>
            <w:tcW w:w="1128" w:type="dxa"/>
            <w:vMerge w:val="continue"/>
          </w:tcPr>
          <w:p>
            <w:pPr>
              <w:spacing w:line="360" w:lineRule="auto"/>
              <w:rPr>
                <w:rFonts w:hint="eastAsia" w:ascii="宋体" w:hAnsi="宋体" w:eastAsia="宋体" w:cs="宋体"/>
                <w:sz w:val="21"/>
                <w:szCs w:val="21"/>
              </w:rPr>
            </w:pPr>
          </w:p>
        </w:tc>
        <w:tc>
          <w:tcPr>
            <w:tcW w:w="2472" w:type="dxa"/>
          </w:tcPr>
          <w:p>
            <w:pPr>
              <w:pStyle w:val="25"/>
              <w:spacing w:before="140"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类似项目业绩</w:t>
            </w:r>
          </w:p>
        </w:tc>
        <w:tc>
          <w:tcPr>
            <w:tcW w:w="4680" w:type="dxa"/>
          </w:tcPr>
          <w:p>
            <w:pPr>
              <w:pStyle w:val="25"/>
              <w:spacing w:before="20" w:line="360" w:lineRule="auto"/>
              <w:ind w:left="109"/>
              <w:rPr>
                <w:rFonts w:hint="eastAsia" w:ascii="宋体" w:hAnsi="宋体" w:eastAsia="宋体" w:cs="宋体"/>
                <w:sz w:val="21"/>
                <w:szCs w:val="21"/>
                <w:lang w:val="en-US"/>
              </w:rPr>
            </w:pPr>
            <w:r>
              <w:rPr>
                <w:rFonts w:hint="eastAsia" w:ascii="宋体" w:hAnsi="宋体" w:eastAsia="宋体" w:cs="宋体"/>
                <w:sz w:val="21"/>
                <w:szCs w:val="21"/>
                <w:lang w:val="en-US"/>
              </w:rPr>
              <w:t>自2017年1月1日至今已完成的通信基站或通信铁塔类相关工程施工合同，累计合同金额为3000万元；自2017年1月1日至今已完成的通信基站或通信铁塔类相关工程设计合同，累计合同金额为500万元。</w:t>
            </w:r>
          </w:p>
          <w:p>
            <w:pPr>
              <w:pStyle w:val="25"/>
              <w:spacing w:before="20" w:line="360" w:lineRule="auto"/>
              <w:ind w:left="109"/>
              <w:rPr>
                <w:rFonts w:hint="eastAsia" w:ascii="宋体" w:hAnsi="宋体" w:eastAsia="宋体" w:cs="宋体"/>
                <w:sz w:val="21"/>
                <w:szCs w:val="21"/>
              </w:rPr>
            </w:pPr>
            <w:r>
              <w:rPr>
                <w:rFonts w:hint="eastAsia" w:ascii="宋体" w:hAnsi="宋体" w:eastAsia="宋体" w:cs="宋体"/>
                <w:b/>
                <w:bCs/>
                <w:sz w:val="21"/>
                <w:szCs w:val="21"/>
                <w:lang w:val="en-US"/>
              </w:rPr>
              <w:t>投标人（如联合体，则为联合体各方）需提供合同协议书复印件并加盖公章。</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Pr>
          <w:p>
            <w:pPr>
              <w:spacing w:line="360" w:lineRule="auto"/>
              <w:rPr>
                <w:rFonts w:hint="eastAsia" w:ascii="宋体" w:hAnsi="宋体" w:eastAsia="宋体" w:cs="宋体"/>
                <w:sz w:val="21"/>
                <w:szCs w:val="21"/>
              </w:rPr>
            </w:pPr>
          </w:p>
        </w:tc>
        <w:tc>
          <w:tcPr>
            <w:tcW w:w="1128" w:type="dxa"/>
            <w:vMerge w:val="continue"/>
          </w:tcPr>
          <w:p>
            <w:pPr>
              <w:spacing w:line="360" w:lineRule="auto"/>
              <w:rPr>
                <w:rFonts w:hint="eastAsia" w:ascii="宋体" w:hAnsi="宋体" w:eastAsia="宋体" w:cs="宋体"/>
                <w:sz w:val="21"/>
                <w:szCs w:val="21"/>
              </w:rPr>
            </w:pPr>
          </w:p>
        </w:tc>
        <w:tc>
          <w:tcPr>
            <w:tcW w:w="2472" w:type="dxa"/>
          </w:tcPr>
          <w:p>
            <w:pPr>
              <w:pStyle w:val="25"/>
              <w:spacing w:before="145" w:line="360" w:lineRule="auto"/>
              <w:ind w:left="272" w:right="259"/>
              <w:jc w:val="center"/>
              <w:rPr>
                <w:rFonts w:hint="eastAsia" w:ascii="宋体" w:hAnsi="宋体" w:eastAsia="宋体" w:cs="宋体"/>
                <w:sz w:val="21"/>
                <w:szCs w:val="21"/>
              </w:rPr>
            </w:pPr>
            <w:r>
              <w:rPr>
                <w:rFonts w:hint="eastAsia" w:ascii="宋体" w:hAnsi="宋体" w:eastAsia="宋体" w:cs="宋体"/>
                <w:sz w:val="21"/>
                <w:szCs w:val="21"/>
              </w:rPr>
              <w:t>信誉</w:t>
            </w:r>
          </w:p>
        </w:tc>
        <w:tc>
          <w:tcPr>
            <w:tcW w:w="4680" w:type="dxa"/>
          </w:tcPr>
          <w:p>
            <w:pPr>
              <w:pStyle w:val="25"/>
              <w:spacing w:before="25" w:line="360" w:lineRule="auto"/>
              <w:ind w:left="109"/>
              <w:rPr>
                <w:rFonts w:hint="eastAsia" w:ascii="宋体" w:hAnsi="宋体" w:eastAsia="宋体" w:cs="宋体"/>
                <w:sz w:val="21"/>
                <w:szCs w:val="21"/>
              </w:rPr>
            </w:pPr>
            <w:r>
              <w:rPr>
                <w:rFonts w:hint="eastAsia" w:ascii="宋体" w:hAnsi="宋体" w:eastAsia="宋体" w:cs="宋体"/>
                <w:sz w:val="21"/>
                <w:szCs w:val="21"/>
              </w:rPr>
              <w:t>拒绝列入政府取消投标资格记录期间的企业或个人投标，拒绝被工商行政管理机关在全国企业信用信息公示系统（http://www.gsxt.gov.cn/index.html）中列入严重违法失信企业名单的企业参与投标。拒绝被最高人民法院在“信用中国”网站（www.creditchina.gov.cn）或各级信用信息共享平台中列入失信被执行人名单的参与投标。投标人不存在行贿犯罪记录，投标时提供“中国裁判文书网”（http://wenshu.court.gov.cn/）查询企业无行贿犯罪记录的网页截图。</w:t>
            </w:r>
          </w:p>
          <w:p>
            <w:pPr>
              <w:pStyle w:val="25"/>
              <w:spacing w:before="25" w:line="360" w:lineRule="auto"/>
              <w:ind w:left="109"/>
              <w:rPr>
                <w:rFonts w:hint="eastAsia" w:ascii="宋体" w:hAnsi="宋体" w:eastAsia="宋体" w:cs="宋体"/>
                <w:sz w:val="21"/>
                <w:szCs w:val="21"/>
              </w:rPr>
            </w:pPr>
            <w:r>
              <w:rPr>
                <w:rFonts w:hint="eastAsia" w:ascii="宋体" w:hAnsi="宋体" w:eastAsia="宋体" w:cs="宋体"/>
                <w:b/>
                <w:bCs/>
                <w:sz w:val="21"/>
                <w:szCs w:val="21"/>
                <w:lang w:val="en-US"/>
              </w:rPr>
              <w:t>投标人（如联合体，则为联合体各方）</w:t>
            </w:r>
            <w:r>
              <w:rPr>
                <w:rFonts w:hint="eastAsia" w:ascii="宋体" w:hAnsi="宋体" w:eastAsia="宋体" w:cs="宋体"/>
                <w:b/>
                <w:bCs/>
                <w:sz w:val="21"/>
                <w:szCs w:val="21"/>
              </w:rPr>
              <w:t>需提供“信用中国”网站、工商行政管理机关在全国企业信用信息公示系统及“中国裁判文书网”截图加盖单位公章。</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Pr>
          <w:p>
            <w:pPr>
              <w:spacing w:line="360" w:lineRule="auto"/>
              <w:rPr>
                <w:rFonts w:hint="eastAsia" w:ascii="宋体" w:hAnsi="宋体" w:eastAsia="宋体" w:cs="宋体"/>
                <w:sz w:val="21"/>
                <w:szCs w:val="21"/>
              </w:rPr>
            </w:pPr>
          </w:p>
        </w:tc>
        <w:tc>
          <w:tcPr>
            <w:tcW w:w="1128" w:type="dxa"/>
            <w:vMerge w:val="continue"/>
          </w:tcPr>
          <w:p>
            <w:pPr>
              <w:spacing w:line="360" w:lineRule="auto"/>
              <w:rPr>
                <w:rFonts w:hint="eastAsia" w:ascii="宋体" w:hAnsi="宋体" w:eastAsia="宋体" w:cs="宋体"/>
                <w:sz w:val="21"/>
                <w:szCs w:val="21"/>
              </w:rPr>
            </w:pPr>
          </w:p>
        </w:tc>
        <w:tc>
          <w:tcPr>
            <w:tcW w:w="2472" w:type="dxa"/>
          </w:tcPr>
          <w:p>
            <w:pPr>
              <w:pStyle w:val="25"/>
              <w:spacing w:before="145"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680" w:type="dxa"/>
          </w:tcPr>
          <w:p>
            <w:pPr>
              <w:pStyle w:val="25"/>
              <w:spacing w:before="145" w:line="360" w:lineRule="auto"/>
              <w:ind w:left="109"/>
              <w:rPr>
                <w:rFonts w:hint="eastAsia" w:ascii="宋体" w:hAnsi="宋体" w:eastAsia="宋体" w:cs="宋体"/>
                <w:sz w:val="21"/>
                <w:szCs w:val="21"/>
              </w:rPr>
            </w:pPr>
            <w:r>
              <w:rPr>
                <w:rFonts w:hint="eastAsia" w:ascii="宋体" w:hAnsi="宋体" w:eastAsia="宋体" w:cs="宋体"/>
                <w:sz w:val="21"/>
                <w:szCs w:val="21"/>
              </w:rPr>
              <w:t>总承包项目经理须持有建设行政主管部门颁发的通信与广电工程专业《一级建造师注册证书》，同时具有通信、电子信息工程等相关专业高级职称，自2017年1月1日至今至少完成过1项通信工程类担任项目经理的施工业绩。项目总工须具有通信、电子信息工程等相关专业高级职称，自2017年1月1日至今至少完成过1项通信工程类担任项目总工的施工业绩。</w:t>
            </w:r>
          </w:p>
          <w:p>
            <w:pPr>
              <w:pStyle w:val="25"/>
              <w:numPr>
                <w:ilvl w:val="0"/>
                <w:numId w:val="2"/>
              </w:numPr>
              <w:spacing w:before="145" w:line="360" w:lineRule="auto"/>
              <w:ind w:left="199" w:leftChars="95"/>
              <w:rPr>
                <w:rFonts w:hint="eastAsia" w:ascii="宋体" w:hAnsi="宋体" w:eastAsia="宋体" w:cs="宋体"/>
                <w:b/>
                <w:bCs/>
                <w:sz w:val="21"/>
                <w:szCs w:val="21"/>
                <w:lang w:val="en-US"/>
              </w:rPr>
            </w:pPr>
            <w:r>
              <w:rPr>
                <w:rFonts w:hint="eastAsia" w:ascii="宋体" w:hAnsi="宋体" w:eastAsia="宋体" w:cs="宋体"/>
                <w:b/>
                <w:bCs/>
                <w:sz w:val="21"/>
                <w:szCs w:val="21"/>
              </w:rPr>
              <w:t>提供注册建造师证及职称证书复印件</w:t>
            </w:r>
            <w:r>
              <w:rPr>
                <w:rFonts w:hint="eastAsia" w:ascii="宋体" w:hAnsi="宋体" w:eastAsia="宋体" w:cs="宋体"/>
                <w:b/>
                <w:bCs/>
                <w:sz w:val="21"/>
                <w:szCs w:val="21"/>
                <w:lang w:val="en-US"/>
              </w:rPr>
              <w:t xml:space="preserve">加盖单位 </w:t>
            </w:r>
          </w:p>
          <w:p>
            <w:pPr>
              <w:pStyle w:val="25"/>
              <w:spacing w:before="145" w:line="360" w:lineRule="auto"/>
              <w:ind w:left="199" w:leftChars="95"/>
              <w:rPr>
                <w:rFonts w:hint="eastAsia" w:ascii="宋体" w:hAnsi="宋体" w:eastAsia="宋体" w:cs="宋体"/>
                <w:b/>
                <w:bCs/>
                <w:sz w:val="21"/>
                <w:szCs w:val="21"/>
              </w:rPr>
            </w:pPr>
            <w:r>
              <w:rPr>
                <w:rFonts w:hint="eastAsia" w:ascii="宋体" w:hAnsi="宋体" w:eastAsia="宋体" w:cs="宋体"/>
                <w:b/>
                <w:bCs/>
                <w:sz w:val="21"/>
                <w:szCs w:val="21"/>
                <w:lang w:val="en-US"/>
              </w:rPr>
              <w:t>2、</w:t>
            </w:r>
            <w:r>
              <w:rPr>
                <w:rFonts w:hint="eastAsia" w:ascii="宋体" w:hAnsi="宋体" w:eastAsia="宋体" w:cs="宋体"/>
                <w:b/>
                <w:bCs/>
                <w:sz w:val="21"/>
                <w:szCs w:val="21"/>
              </w:rPr>
              <w:t>由法定代表人或授权代理人签字并加盖单位公章的无在建项目承诺书。</w:t>
            </w:r>
          </w:p>
          <w:p>
            <w:pPr>
              <w:pStyle w:val="25"/>
              <w:spacing w:before="145" w:line="360" w:lineRule="auto"/>
              <w:ind w:firstLine="211" w:firstLineChars="100"/>
              <w:rPr>
                <w:rFonts w:hint="eastAsia" w:ascii="宋体" w:hAnsi="宋体" w:eastAsia="宋体" w:cs="宋体"/>
                <w:b/>
                <w:bCs/>
                <w:sz w:val="21"/>
                <w:szCs w:val="21"/>
              </w:rPr>
            </w:pPr>
            <w:r>
              <w:rPr>
                <w:rFonts w:hint="eastAsia" w:ascii="宋体" w:hAnsi="宋体" w:eastAsia="宋体" w:cs="宋体"/>
                <w:b/>
                <w:bCs/>
                <w:sz w:val="21"/>
                <w:szCs w:val="21"/>
                <w:lang w:val="en-US"/>
              </w:rPr>
              <w:t>3、项目经理及项目总工分别</w:t>
            </w:r>
            <w:r>
              <w:rPr>
                <w:rFonts w:hint="eastAsia" w:ascii="宋体" w:hAnsi="宋体" w:eastAsia="宋体" w:cs="宋体"/>
                <w:b/>
                <w:bCs/>
                <w:sz w:val="21"/>
                <w:szCs w:val="21"/>
              </w:rPr>
              <w:t>提供2017年1月1日至今完成至少一项通信工程类施工业绩。</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Pr>
          <w:p>
            <w:pPr>
              <w:pStyle w:val="25"/>
              <w:spacing w:line="360" w:lineRule="auto"/>
              <w:rPr>
                <w:rFonts w:hint="eastAsia" w:ascii="宋体" w:hAnsi="宋体" w:eastAsia="宋体" w:cs="宋体"/>
                <w:sz w:val="21"/>
                <w:szCs w:val="21"/>
              </w:rPr>
            </w:pPr>
          </w:p>
        </w:tc>
        <w:tc>
          <w:tcPr>
            <w:tcW w:w="1128" w:type="dxa"/>
            <w:vMerge w:val="continue"/>
          </w:tcPr>
          <w:p>
            <w:pPr>
              <w:pStyle w:val="25"/>
              <w:spacing w:line="360" w:lineRule="auto"/>
              <w:rPr>
                <w:rFonts w:hint="eastAsia" w:ascii="宋体" w:hAnsi="宋体" w:eastAsia="宋体" w:cs="宋体"/>
                <w:sz w:val="21"/>
                <w:szCs w:val="21"/>
              </w:rPr>
            </w:pPr>
          </w:p>
        </w:tc>
        <w:tc>
          <w:tcPr>
            <w:tcW w:w="2472" w:type="dxa"/>
          </w:tcPr>
          <w:p>
            <w:pPr>
              <w:pStyle w:val="25"/>
              <w:spacing w:before="145"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4680" w:type="dxa"/>
          </w:tcPr>
          <w:p>
            <w:pPr>
              <w:pStyle w:val="25"/>
              <w:spacing w:before="145"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不超过招标控制价</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restart"/>
          </w:tcPr>
          <w:p>
            <w:pPr>
              <w:pStyle w:val="25"/>
              <w:rPr>
                <w:rFonts w:hint="eastAsia" w:ascii="宋体" w:hAnsi="宋体" w:eastAsia="宋体" w:cs="宋体"/>
                <w:b/>
                <w:sz w:val="21"/>
                <w:szCs w:val="21"/>
              </w:rPr>
            </w:pPr>
          </w:p>
          <w:p>
            <w:pPr>
              <w:pStyle w:val="25"/>
              <w:rPr>
                <w:rFonts w:hint="eastAsia" w:ascii="宋体" w:hAnsi="宋体" w:eastAsia="宋体" w:cs="宋体"/>
                <w:b/>
                <w:sz w:val="21"/>
                <w:szCs w:val="21"/>
              </w:rPr>
            </w:pPr>
          </w:p>
          <w:p>
            <w:pPr>
              <w:pStyle w:val="25"/>
              <w:rPr>
                <w:rFonts w:hint="eastAsia" w:ascii="宋体" w:hAnsi="宋体" w:eastAsia="宋体" w:cs="宋体"/>
                <w:b/>
                <w:sz w:val="21"/>
                <w:szCs w:val="21"/>
              </w:rPr>
            </w:pPr>
          </w:p>
          <w:p>
            <w:pPr>
              <w:pStyle w:val="25"/>
              <w:spacing w:before="7"/>
              <w:rPr>
                <w:rFonts w:hint="eastAsia" w:ascii="宋体" w:hAnsi="宋体" w:eastAsia="宋体" w:cs="宋体"/>
                <w:b/>
                <w:sz w:val="21"/>
                <w:szCs w:val="21"/>
              </w:rPr>
            </w:pPr>
          </w:p>
          <w:p>
            <w:pPr>
              <w:pStyle w:val="25"/>
              <w:ind w:left="239"/>
              <w:rPr>
                <w:rFonts w:hint="eastAsia" w:ascii="宋体" w:hAnsi="宋体" w:eastAsia="宋体" w:cs="宋体"/>
                <w:sz w:val="21"/>
                <w:szCs w:val="21"/>
              </w:rPr>
            </w:pPr>
            <w:r>
              <w:rPr>
                <w:rFonts w:hint="eastAsia" w:ascii="宋体" w:hAnsi="宋体" w:eastAsia="宋体" w:cs="宋体"/>
                <w:sz w:val="21"/>
                <w:szCs w:val="21"/>
              </w:rPr>
              <w:t>2.1.3</w:t>
            </w:r>
          </w:p>
        </w:tc>
        <w:tc>
          <w:tcPr>
            <w:tcW w:w="1128" w:type="dxa"/>
            <w:vMerge w:val="restart"/>
          </w:tcPr>
          <w:p>
            <w:pPr>
              <w:pStyle w:val="25"/>
              <w:rPr>
                <w:rFonts w:hint="eastAsia" w:ascii="宋体" w:hAnsi="宋体" w:eastAsia="宋体" w:cs="宋体"/>
                <w:b/>
                <w:sz w:val="21"/>
                <w:szCs w:val="21"/>
              </w:rPr>
            </w:pPr>
          </w:p>
          <w:p>
            <w:pPr>
              <w:pStyle w:val="25"/>
              <w:rPr>
                <w:rFonts w:hint="eastAsia" w:ascii="宋体" w:hAnsi="宋体" w:eastAsia="宋体" w:cs="宋体"/>
                <w:b/>
                <w:sz w:val="21"/>
                <w:szCs w:val="21"/>
              </w:rPr>
            </w:pPr>
          </w:p>
          <w:p>
            <w:pPr>
              <w:pStyle w:val="25"/>
              <w:rPr>
                <w:rFonts w:hint="eastAsia" w:ascii="宋体" w:hAnsi="宋体" w:eastAsia="宋体" w:cs="宋体"/>
                <w:b/>
                <w:sz w:val="21"/>
                <w:szCs w:val="21"/>
              </w:rPr>
            </w:pPr>
          </w:p>
          <w:p>
            <w:pPr>
              <w:pStyle w:val="25"/>
              <w:spacing w:before="11"/>
              <w:rPr>
                <w:rFonts w:hint="eastAsia" w:ascii="宋体" w:hAnsi="宋体" w:eastAsia="宋体" w:cs="宋体"/>
                <w:b/>
                <w:sz w:val="21"/>
                <w:szCs w:val="21"/>
              </w:rPr>
            </w:pPr>
          </w:p>
          <w:p>
            <w:pPr>
              <w:pStyle w:val="25"/>
              <w:spacing w:before="1" w:line="393" w:lineRule="auto"/>
              <w:ind w:left="249" w:right="132" w:hanging="106"/>
              <w:rPr>
                <w:rFonts w:hint="eastAsia" w:ascii="宋体" w:hAnsi="宋体" w:eastAsia="宋体" w:cs="宋体"/>
                <w:sz w:val="21"/>
                <w:szCs w:val="21"/>
              </w:rPr>
            </w:pPr>
            <w:r>
              <w:rPr>
                <w:rFonts w:hint="eastAsia" w:ascii="宋体" w:hAnsi="宋体" w:eastAsia="宋体" w:cs="宋体"/>
                <w:sz w:val="21"/>
                <w:szCs w:val="21"/>
              </w:rPr>
              <w:t>响应性评审标准</w:t>
            </w:r>
          </w:p>
        </w:tc>
        <w:tc>
          <w:tcPr>
            <w:tcW w:w="2472" w:type="dxa"/>
          </w:tcPr>
          <w:p>
            <w:pPr>
              <w:pStyle w:val="25"/>
              <w:spacing w:before="138"/>
              <w:ind w:left="267" w:right="259"/>
              <w:jc w:val="center"/>
              <w:rPr>
                <w:rFonts w:hint="eastAsia" w:ascii="宋体" w:hAnsi="宋体" w:eastAsia="宋体" w:cs="宋体"/>
                <w:sz w:val="21"/>
                <w:szCs w:val="21"/>
              </w:rPr>
            </w:pPr>
            <w:r>
              <w:rPr>
                <w:rFonts w:hint="eastAsia" w:ascii="宋体" w:hAnsi="宋体" w:eastAsia="宋体" w:cs="宋体"/>
                <w:sz w:val="21"/>
                <w:szCs w:val="21"/>
              </w:rPr>
              <w:t>投标内容</w:t>
            </w:r>
          </w:p>
        </w:tc>
        <w:tc>
          <w:tcPr>
            <w:tcW w:w="4680" w:type="dxa"/>
          </w:tcPr>
          <w:p>
            <w:pPr>
              <w:pStyle w:val="25"/>
              <w:spacing w:before="138"/>
              <w:ind w:left="267" w:right="259"/>
              <w:rPr>
                <w:rFonts w:hint="eastAsia" w:ascii="宋体" w:hAnsi="宋体" w:eastAsia="宋体" w:cs="宋体"/>
                <w:sz w:val="21"/>
                <w:szCs w:val="21"/>
              </w:rPr>
            </w:pPr>
            <w:r>
              <w:rPr>
                <w:rFonts w:hint="eastAsia" w:ascii="宋体" w:hAnsi="宋体" w:eastAsia="宋体" w:cs="宋体"/>
                <w:sz w:val="21"/>
                <w:szCs w:val="21"/>
              </w:rPr>
              <w:t>符合招标文件要求</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Borders>
              <w:top w:val="nil"/>
            </w:tcBorders>
          </w:tcPr>
          <w:p>
            <w:pPr>
              <w:rPr>
                <w:rFonts w:hint="eastAsia" w:ascii="宋体" w:hAnsi="宋体" w:eastAsia="宋体" w:cs="宋体"/>
                <w:sz w:val="21"/>
                <w:szCs w:val="21"/>
              </w:rPr>
            </w:pPr>
          </w:p>
        </w:tc>
        <w:tc>
          <w:tcPr>
            <w:tcW w:w="1128" w:type="dxa"/>
            <w:vMerge w:val="continue"/>
            <w:tcBorders>
              <w:top w:val="nil"/>
            </w:tcBorders>
          </w:tcPr>
          <w:p>
            <w:pPr>
              <w:rPr>
                <w:rFonts w:hint="eastAsia" w:ascii="宋体" w:hAnsi="宋体" w:eastAsia="宋体" w:cs="宋体"/>
                <w:sz w:val="21"/>
                <w:szCs w:val="21"/>
              </w:rPr>
            </w:pPr>
          </w:p>
        </w:tc>
        <w:tc>
          <w:tcPr>
            <w:tcW w:w="2472" w:type="dxa"/>
          </w:tcPr>
          <w:p>
            <w:pPr>
              <w:pStyle w:val="25"/>
              <w:spacing w:before="138"/>
              <w:ind w:left="267" w:right="259"/>
              <w:jc w:val="center"/>
              <w:rPr>
                <w:rFonts w:hint="eastAsia" w:ascii="宋体" w:hAnsi="宋体" w:eastAsia="宋体" w:cs="宋体"/>
                <w:sz w:val="21"/>
                <w:szCs w:val="21"/>
              </w:rPr>
            </w:pPr>
            <w:r>
              <w:rPr>
                <w:rFonts w:hint="eastAsia" w:ascii="宋体" w:hAnsi="宋体" w:eastAsia="宋体" w:cs="宋体"/>
                <w:sz w:val="21"/>
                <w:szCs w:val="21"/>
              </w:rPr>
              <w:t>工期</w:t>
            </w:r>
          </w:p>
        </w:tc>
        <w:tc>
          <w:tcPr>
            <w:tcW w:w="4680" w:type="dxa"/>
          </w:tcPr>
          <w:p>
            <w:pPr>
              <w:pStyle w:val="25"/>
              <w:spacing w:before="138"/>
              <w:ind w:left="267" w:right="259"/>
              <w:rPr>
                <w:rFonts w:hint="eastAsia" w:ascii="宋体" w:hAnsi="宋体" w:eastAsia="宋体" w:cs="宋体"/>
                <w:sz w:val="21"/>
                <w:szCs w:val="21"/>
              </w:rPr>
            </w:pPr>
            <w:r>
              <w:rPr>
                <w:rFonts w:hint="eastAsia" w:ascii="宋体" w:hAnsi="宋体" w:eastAsia="宋体" w:cs="宋体"/>
                <w:sz w:val="21"/>
                <w:szCs w:val="21"/>
              </w:rPr>
              <w:t>符合招标文件要求</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36" w:hRule="atLeast"/>
        </w:trPr>
        <w:tc>
          <w:tcPr>
            <w:tcW w:w="898" w:type="dxa"/>
            <w:vMerge w:val="continue"/>
            <w:tcBorders>
              <w:top w:val="nil"/>
            </w:tcBorders>
          </w:tcPr>
          <w:p>
            <w:pPr>
              <w:rPr>
                <w:rFonts w:hint="eastAsia" w:ascii="宋体" w:hAnsi="宋体" w:eastAsia="宋体" w:cs="宋体"/>
                <w:sz w:val="21"/>
                <w:szCs w:val="21"/>
              </w:rPr>
            </w:pPr>
          </w:p>
        </w:tc>
        <w:tc>
          <w:tcPr>
            <w:tcW w:w="1128" w:type="dxa"/>
            <w:vMerge w:val="continue"/>
            <w:tcBorders>
              <w:top w:val="nil"/>
            </w:tcBorders>
          </w:tcPr>
          <w:p>
            <w:pPr>
              <w:rPr>
                <w:rFonts w:hint="eastAsia" w:ascii="宋体" w:hAnsi="宋体" w:eastAsia="宋体" w:cs="宋体"/>
                <w:sz w:val="21"/>
                <w:szCs w:val="21"/>
              </w:rPr>
            </w:pPr>
          </w:p>
        </w:tc>
        <w:tc>
          <w:tcPr>
            <w:tcW w:w="2472" w:type="dxa"/>
          </w:tcPr>
          <w:p>
            <w:pPr>
              <w:pStyle w:val="25"/>
              <w:spacing w:before="138"/>
              <w:ind w:left="267" w:right="259"/>
              <w:jc w:val="center"/>
              <w:rPr>
                <w:rFonts w:hint="eastAsia" w:ascii="宋体" w:hAnsi="宋体" w:eastAsia="宋体" w:cs="宋体"/>
                <w:sz w:val="21"/>
                <w:szCs w:val="21"/>
              </w:rPr>
            </w:pPr>
            <w:r>
              <w:rPr>
                <w:rFonts w:hint="eastAsia" w:ascii="宋体" w:hAnsi="宋体" w:eastAsia="宋体" w:cs="宋体"/>
                <w:sz w:val="21"/>
                <w:szCs w:val="21"/>
              </w:rPr>
              <w:t>质量标准</w:t>
            </w:r>
          </w:p>
        </w:tc>
        <w:tc>
          <w:tcPr>
            <w:tcW w:w="4680" w:type="dxa"/>
          </w:tcPr>
          <w:p>
            <w:pPr>
              <w:pStyle w:val="25"/>
              <w:spacing w:before="138"/>
              <w:ind w:left="267" w:right="259"/>
              <w:rPr>
                <w:rFonts w:hint="eastAsia" w:ascii="宋体" w:hAnsi="宋体" w:eastAsia="宋体" w:cs="宋体"/>
                <w:sz w:val="21"/>
                <w:szCs w:val="21"/>
              </w:rPr>
            </w:pPr>
            <w:r>
              <w:rPr>
                <w:rFonts w:hint="eastAsia" w:ascii="宋体" w:hAnsi="宋体" w:eastAsia="宋体" w:cs="宋体"/>
                <w:sz w:val="21"/>
                <w:szCs w:val="21"/>
              </w:rPr>
              <w:t>符合国家标准的相关要求以及吉林省通信产业服务有限公司技术规范要求。</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Borders>
              <w:top w:val="nil"/>
            </w:tcBorders>
          </w:tcPr>
          <w:p>
            <w:pPr>
              <w:rPr>
                <w:rFonts w:hint="eastAsia" w:ascii="宋体" w:hAnsi="宋体" w:eastAsia="宋体" w:cs="宋体"/>
                <w:sz w:val="21"/>
                <w:szCs w:val="21"/>
              </w:rPr>
            </w:pPr>
          </w:p>
        </w:tc>
        <w:tc>
          <w:tcPr>
            <w:tcW w:w="1128" w:type="dxa"/>
            <w:vMerge w:val="continue"/>
            <w:tcBorders>
              <w:top w:val="nil"/>
            </w:tcBorders>
          </w:tcPr>
          <w:p>
            <w:pPr>
              <w:rPr>
                <w:rFonts w:hint="eastAsia" w:ascii="宋体" w:hAnsi="宋体" w:eastAsia="宋体" w:cs="宋体"/>
                <w:sz w:val="21"/>
                <w:szCs w:val="21"/>
              </w:rPr>
            </w:pPr>
          </w:p>
        </w:tc>
        <w:tc>
          <w:tcPr>
            <w:tcW w:w="2472" w:type="dxa"/>
          </w:tcPr>
          <w:p>
            <w:pPr>
              <w:pStyle w:val="25"/>
              <w:spacing w:before="138"/>
              <w:ind w:left="267" w:right="259"/>
              <w:jc w:val="center"/>
              <w:rPr>
                <w:rFonts w:hint="eastAsia" w:ascii="宋体" w:hAnsi="宋体" w:eastAsia="宋体" w:cs="宋体"/>
                <w:sz w:val="21"/>
                <w:szCs w:val="21"/>
              </w:rPr>
            </w:pPr>
            <w:r>
              <w:rPr>
                <w:rFonts w:hint="eastAsia" w:ascii="宋体" w:hAnsi="宋体" w:eastAsia="宋体" w:cs="宋体"/>
                <w:sz w:val="21"/>
                <w:szCs w:val="21"/>
              </w:rPr>
              <w:t>投标有效期</w:t>
            </w:r>
          </w:p>
        </w:tc>
        <w:tc>
          <w:tcPr>
            <w:tcW w:w="4680" w:type="dxa"/>
          </w:tcPr>
          <w:p>
            <w:pPr>
              <w:pStyle w:val="25"/>
              <w:spacing w:before="138"/>
              <w:ind w:left="267" w:right="259"/>
              <w:rPr>
                <w:rFonts w:hint="eastAsia" w:ascii="宋体" w:hAnsi="宋体" w:eastAsia="宋体" w:cs="宋体"/>
                <w:sz w:val="21"/>
                <w:szCs w:val="21"/>
                <w:lang w:val="en-US"/>
              </w:rPr>
            </w:pPr>
            <w:r>
              <w:rPr>
                <w:rFonts w:hint="eastAsia" w:ascii="宋体" w:hAnsi="宋体" w:eastAsia="宋体" w:cs="宋体"/>
                <w:sz w:val="21"/>
                <w:szCs w:val="21"/>
                <w:lang w:val="en-US"/>
              </w:rPr>
              <w:t>90天</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Borders>
              <w:top w:val="nil"/>
            </w:tcBorders>
          </w:tcPr>
          <w:p>
            <w:pPr>
              <w:rPr>
                <w:rFonts w:hint="eastAsia" w:ascii="宋体" w:hAnsi="宋体" w:eastAsia="宋体" w:cs="宋体"/>
                <w:sz w:val="21"/>
                <w:szCs w:val="21"/>
              </w:rPr>
            </w:pPr>
          </w:p>
        </w:tc>
        <w:tc>
          <w:tcPr>
            <w:tcW w:w="1128" w:type="dxa"/>
            <w:vMerge w:val="continue"/>
            <w:tcBorders>
              <w:top w:val="nil"/>
            </w:tcBorders>
          </w:tcPr>
          <w:p>
            <w:pPr>
              <w:rPr>
                <w:rFonts w:hint="eastAsia" w:ascii="宋体" w:hAnsi="宋体" w:eastAsia="宋体" w:cs="宋体"/>
                <w:sz w:val="21"/>
                <w:szCs w:val="21"/>
              </w:rPr>
            </w:pPr>
          </w:p>
        </w:tc>
        <w:tc>
          <w:tcPr>
            <w:tcW w:w="2472" w:type="dxa"/>
          </w:tcPr>
          <w:p>
            <w:pPr>
              <w:pStyle w:val="25"/>
              <w:spacing w:before="138"/>
              <w:ind w:left="267" w:right="259"/>
              <w:jc w:val="center"/>
              <w:rPr>
                <w:rFonts w:hint="eastAsia" w:ascii="宋体" w:hAnsi="宋体" w:eastAsia="宋体" w:cs="宋体"/>
                <w:sz w:val="21"/>
                <w:szCs w:val="21"/>
              </w:rPr>
            </w:pPr>
            <w:r>
              <w:rPr>
                <w:rFonts w:hint="eastAsia" w:ascii="宋体" w:hAnsi="宋体" w:eastAsia="宋体" w:cs="宋体"/>
                <w:sz w:val="21"/>
                <w:szCs w:val="21"/>
              </w:rPr>
              <w:t>投标保证金</w:t>
            </w:r>
          </w:p>
        </w:tc>
        <w:tc>
          <w:tcPr>
            <w:tcW w:w="4680" w:type="dxa"/>
          </w:tcPr>
          <w:p>
            <w:pPr>
              <w:pStyle w:val="25"/>
              <w:spacing w:before="138"/>
              <w:ind w:right="259" w:firstLine="210" w:firstLineChars="100"/>
              <w:rPr>
                <w:rFonts w:hint="eastAsia" w:ascii="宋体" w:hAnsi="宋体" w:eastAsia="宋体" w:cs="宋体"/>
                <w:sz w:val="21"/>
                <w:szCs w:val="21"/>
                <w:lang w:val="en-US"/>
              </w:rPr>
            </w:pPr>
            <w:r>
              <w:rPr>
                <w:rFonts w:hint="eastAsia" w:ascii="宋体" w:hAnsi="宋体" w:eastAsia="宋体" w:cs="宋体"/>
                <w:sz w:val="21"/>
                <w:szCs w:val="21"/>
              </w:rPr>
              <w:t>符合招标文件要求</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Borders>
              <w:top w:val="nil"/>
            </w:tcBorders>
          </w:tcPr>
          <w:p>
            <w:pPr>
              <w:rPr>
                <w:rFonts w:hint="eastAsia" w:ascii="宋体" w:hAnsi="宋体" w:eastAsia="宋体" w:cs="宋体"/>
                <w:sz w:val="21"/>
                <w:szCs w:val="21"/>
              </w:rPr>
            </w:pPr>
          </w:p>
        </w:tc>
        <w:tc>
          <w:tcPr>
            <w:tcW w:w="1128" w:type="dxa"/>
            <w:vMerge w:val="continue"/>
            <w:tcBorders>
              <w:top w:val="nil"/>
            </w:tcBorders>
          </w:tcPr>
          <w:p>
            <w:pPr>
              <w:rPr>
                <w:rFonts w:hint="eastAsia" w:ascii="宋体" w:hAnsi="宋体" w:eastAsia="宋体" w:cs="宋体"/>
                <w:sz w:val="21"/>
                <w:szCs w:val="21"/>
              </w:rPr>
            </w:pPr>
          </w:p>
        </w:tc>
        <w:tc>
          <w:tcPr>
            <w:tcW w:w="2472" w:type="dxa"/>
          </w:tcPr>
          <w:p>
            <w:pPr>
              <w:pStyle w:val="25"/>
              <w:spacing w:before="138"/>
              <w:ind w:left="267" w:right="259"/>
              <w:jc w:val="center"/>
              <w:rPr>
                <w:rFonts w:hint="eastAsia" w:ascii="宋体" w:hAnsi="宋体" w:eastAsia="宋体" w:cs="宋体"/>
                <w:sz w:val="21"/>
                <w:szCs w:val="21"/>
              </w:rPr>
            </w:pPr>
            <w:r>
              <w:rPr>
                <w:rFonts w:hint="eastAsia" w:ascii="宋体" w:hAnsi="宋体" w:eastAsia="宋体" w:cs="宋体"/>
                <w:sz w:val="21"/>
                <w:szCs w:val="21"/>
              </w:rPr>
              <w:t>权利义务</w:t>
            </w:r>
          </w:p>
        </w:tc>
        <w:tc>
          <w:tcPr>
            <w:tcW w:w="4680" w:type="dxa"/>
          </w:tcPr>
          <w:p>
            <w:pPr>
              <w:pStyle w:val="25"/>
              <w:spacing w:before="138"/>
              <w:ind w:left="267" w:right="259"/>
              <w:rPr>
                <w:rFonts w:hint="eastAsia" w:ascii="宋体" w:hAnsi="宋体" w:eastAsia="宋体" w:cs="宋体"/>
                <w:sz w:val="21"/>
                <w:szCs w:val="21"/>
              </w:rPr>
            </w:pPr>
            <w:r>
              <w:rPr>
                <w:rFonts w:hint="eastAsia" w:ascii="宋体" w:hAnsi="宋体" w:eastAsia="宋体" w:cs="宋体"/>
                <w:sz w:val="21"/>
                <w:szCs w:val="21"/>
              </w:rPr>
              <w:t>符合第四章“合同条款及格式”规定的权利义务</w:t>
            </w:r>
          </w:p>
        </w:tc>
      </w:tr>
    </w:tbl>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p>
    <w:tbl>
      <w:tblPr>
        <w:tblStyle w:val="10"/>
        <w:tblW w:w="9181" w:type="dxa"/>
        <w:tblInd w:w="237" w:type="dxa"/>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Layout w:type="fixed"/>
        <w:tblCellMar>
          <w:top w:w="0" w:type="dxa"/>
          <w:left w:w="0" w:type="dxa"/>
          <w:bottom w:w="0" w:type="dxa"/>
          <w:right w:w="0" w:type="dxa"/>
        </w:tblCellMar>
      </w:tblPr>
      <w:tblGrid>
        <w:gridCol w:w="897"/>
        <w:gridCol w:w="1128"/>
        <w:gridCol w:w="2475"/>
        <w:gridCol w:w="4681"/>
      </w:tblGrid>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2026" w:type="dxa"/>
            <w:gridSpan w:val="2"/>
          </w:tcPr>
          <w:p>
            <w:pPr>
              <w:pStyle w:val="25"/>
              <w:spacing w:before="73" w:line="360" w:lineRule="auto"/>
              <w:ind w:left="677" w:right="668"/>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2472" w:type="dxa"/>
          </w:tcPr>
          <w:p>
            <w:pPr>
              <w:pStyle w:val="25"/>
              <w:spacing w:before="143"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条款内容</w:t>
            </w:r>
          </w:p>
        </w:tc>
        <w:tc>
          <w:tcPr>
            <w:tcW w:w="4680" w:type="dxa"/>
          </w:tcPr>
          <w:p>
            <w:pPr>
              <w:pStyle w:val="25"/>
              <w:spacing w:before="73" w:line="360" w:lineRule="auto"/>
              <w:ind w:left="1901" w:right="1888"/>
              <w:jc w:val="center"/>
              <w:rPr>
                <w:rFonts w:hint="eastAsia" w:ascii="宋体" w:hAnsi="宋体" w:eastAsia="宋体" w:cs="宋体"/>
                <w:b/>
                <w:sz w:val="21"/>
                <w:szCs w:val="21"/>
              </w:rPr>
            </w:pPr>
            <w:r>
              <w:rPr>
                <w:rFonts w:hint="eastAsia" w:ascii="宋体" w:hAnsi="宋体" w:eastAsia="宋体" w:cs="宋体"/>
                <w:b/>
                <w:sz w:val="21"/>
                <w:szCs w:val="21"/>
              </w:rPr>
              <w:t>编列内容</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2197" w:hRule="atLeast"/>
        </w:trPr>
        <w:tc>
          <w:tcPr>
            <w:tcW w:w="2026" w:type="dxa"/>
            <w:gridSpan w:val="2"/>
          </w:tcPr>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before="5" w:line="360" w:lineRule="auto"/>
              <w:rPr>
                <w:rFonts w:hint="eastAsia" w:ascii="宋体" w:hAnsi="宋体" w:eastAsia="宋体" w:cs="宋体"/>
                <w:b/>
                <w:sz w:val="21"/>
                <w:szCs w:val="21"/>
              </w:rPr>
            </w:pPr>
          </w:p>
          <w:p>
            <w:pPr>
              <w:pStyle w:val="25"/>
              <w:spacing w:line="360" w:lineRule="auto"/>
              <w:ind w:left="677" w:right="668"/>
              <w:jc w:val="center"/>
              <w:rPr>
                <w:rFonts w:hint="eastAsia" w:ascii="宋体" w:hAnsi="宋体" w:eastAsia="宋体" w:cs="宋体"/>
                <w:sz w:val="21"/>
                <w:szCs w:val="21"/>
              </w:rPr>
            </w:pPr>
            <w:r>
              <w:rPr>
                <w:rFonts w:hint="eastAsia" w:ascii="宋体" w:hAnsi="宋体" w:eastAsia="宋体" w:cs="宋体"/>
                <w:sz w:val="21"/>
                <w:szCs w:val="21"/>
              </w:rPr>
              <w:t>2.2.1</w:t>
            </w:r>
          </w:p>
        </w:tc>
        <w:tc>
          <w:tcPr>
            <w:tcW w:w="2472" w:type="dxa"/>
          </w:tcPr>
          <w:p>
            <w:pPr>
              <w:pStyle w:val="25"/>
              <w:spacing w:line="360" w:lineRule="auto"/>
              <w:rPr>
                <w:rFonts w:hint="eastAsia" w:ascii="宋体" w:hAnsi="宋体" w:eastAsia="宋体" w:cs="宋体"/>
                <w:b/>
                <w:sz w:val="21"/>
                <w:szCs w:val="21"/>
              </w:rPr>
            </w:pPr>
          </w:p>
          <w:p>
            <w:pPr>
              <w:pStyle w:val="25"/>
              <w:spacing w:before="9" w:line="360" w:lineRule="auto"/>
              <w:rPr>
                <w:rFonts w:hint="eastAsia" w:ascii="宋体" w:hAnsi="宋体" w:eastAsia="宋体" w:cs="宋体"/>
                <w:b/>
                <w:sz w:val="21"/>
                <w:szCs w:val="21"/>
              </w:rPr>
            </w:pPr>
          </w:p>
          <w:p>
            <w:pPr>
              <w:pStyle w:val="25"/>
              <w:spacing w:before="1" w:line="360" w:lineRule="auto"/>
              <w:ind w:left="267" w:right="259"/>
              <w:jc w:val="center"/>
              <w:rPr>
                <w:rFonts w:hint="eastAsia" w:ascii="宋体" w:hAnsi="宋体" w:eastAsia="宋体" w:cs="宋体"/>
                <w:sz w:val="21"/>
                <w:szCs w:val="21"/>
              </w:rPr>
            </w:pPr>
            <w:r>
              <w:rPr>
                <w:rFonts w:hint="eastAsia" w:ascii="宋体" w:hAnsi="宋体" w:eastAsia="宋体" w:cs="宋体"/>
                <w:sz w:val="21"/>
                <w:szCs w:val="21"/>
              </w:rPr>
              <w:t>分值构成</w:t>
            </w:r>
          </w:p>
          <w:p>
            <w:pPr>
              <w:pStyle w:val="25"/>
              <w:spacing w:before="172" w:line="360" w:lineRule="auto"/>
              <w:ind w:left="266" w:right="259"/>
              <w:jc w:val="center"/>
              <w:rPr>
                <w:rFonts w:hint="eastAsia" w:ascii="宋体" w:hAnsi="宋体" w:eastAsia="宋体" w:cs="宋体"/>
                <w:sz w:val="21"/>
                <w:szCs w:val="21"/>
              </w:rPr>
            </w:pPr>
            <w:r>
              <w:rPr>
                <w:rFonts w:hint="eastAsia" w:ascii="宋体" w:hAnsi="宋体" w:eastAsia="宋体" w:cs="宋体"/>
                <w:sz w:val="21"/>
                <w:szCs w:val="21"/>
              </w:rPr>
              <w:t>(总分 100 分)</w:t>
            </w:r>
          </w:p>
        </w:tc>
        <w:tc>
          <w:tcPr>
            <w:tcW w:w="4680" w:type="dxa"/>
          </w:tcPr>
          <w:p>
            <w:pPr>
              <w:pStyle w:val="25"/>
              <w:tabs>
                <w:tab w:val="left" w:pos="2524"/>
              </w:tabs>
              <w:spacing w:before="138" w:line="360" w:lineRule="auto"/>
              <w:ind w:left="109" w:right="1932"/>
              <w:jc w:val="both"/>
              <w:rPr>
                <w:rFonts w:hint="eastAsia" w:ascii="宋体" w:hAnsi="宋体" w:eastAsia="宋体" w:cs="宋体"/>
                <w:sz w:val="21"/>
                <w:szCs w:val="21"/>
                <w:u w:val="single"/>
                <w:lang w:val="en-US"/>
              </w:rPr>
            </w:pPr>
            <w:r>
              <w:rPr>
                <w:rFonts w:hint="eastAsia" w:ascii="宋体" w:hAnsi="宋体" w:eastAsia="宋体" w:cs="宋体"/>
                <w:sz w:val="21"/>
                <w:szCs w:val="21"/>
              </w:rPr>
              <w:t>资信</w:t>
            </w:r>
            <w:r>
              <w:rPr>
                <w:rFonts w:hint="eastAsia" w:ascii="宋体" w:hAnsi="宋体" w:eastAsia="宋体" w:cs="宋体"/>
                <w:spacing w:val="-5"/>
                <w:sz w:val="21"/>
                <w:szCs w:val="21"/>
              </w:rPr>
              <w:t>业</w:t>
            </w:r>
            <w:r>
              <w:rPr>
                <w:rFonts w:hint="eastAsia" w:ascii="宋体" w:hAnsi="宋体" w:eastAsia="宋体" w:cs="宋体"/>
                <w:sz w:val="21"/>
                <w:szCs w:val="21"/>
              </w:rPr>
              <w:t>绩部</w:t>
            </w:r>
            <w:r>
              <w:rPr>
                <w:rFonts w:hint="eastAsia" w:ascii="宋体" w:hAnsi="宋体" w:eastAsia="宋体" w:cs="宋体"/>
                <w:spacing w:val="-5"/>
                <w:sz w:val="21"/>
                <w:szCs w:val="21"/>
              </w:rPr>
              <w:t>分</w:t>
            </w:r>
            <w:r>
              <w:rPr>
                <w:rFonts w:hint="eastAsia" w:ascii="宋体" w:hAnsi="宋体" w:eastAsia="宋体" w:cs="宋体"/>
                <w:sz w:val="21"/>
                <w:szCs w:val="21"/>
              </w:rPr>
              <w:t>：</w:t>
            </w:r>
            <w:r>
              <w:rPr>
                <w:rFonts w:hint="eastAsia" w:ascii="宋体" w:hAnsi="宋体" w:eastAsia="宋体" w:cs="宋体"/>
                <w:sz w:val="21"/>
                <w:szCs w:val="21"/>
                <w:u w:val="single"/>
                <w:lang w:val="en-US"/>
              </w:rPr>
              <w:t>16</w:t>
            </w:r>
            <w:r>
              <w:rPr>
                <w:rFonts w:hint="eastAsia" w:ascii="宋体" w:hAnsi="宋体" w:eastAsia="宋体" w:cs="宋体"/>
                <w:spacing w:val="-18"/>
                <w:sz w:val="21"/>
                <w:szCs w:val="21"/>
              </w:rPr>
              <w:t>分</w:t>
            </w:r>
          </w:p>
          <w:p>
            <w:pPr>
              <w:pStyle w:val="25"/>
              <w:tabs>
                <w:tab w:val="left" w:pos="2524"/>
              </w:tabs>
              <w:spacing w:before="138" w:line="360" w:lineRule="auto"/>
              <w:ind w:left="109" w:right="1932"/>
              <w:jc w:val="both"/>
              <w:rPr>
                <w:rFonts w:hint="eastAsia" w:ascii="宋体" w:hAnsi="宋体" w:eastAsia="宋体" w:cs="宋体"/>
                <w:spacing w:val="-18"/>
                <w:sz w:val="21"/>
                <w:szCs w:val="21"/>
              </w:rPr>
            </w:pPr>
            <w:r>
              <w:rPr>
                <w:rFonts w:hint="eastAsia" w:ascii="宋体" w:hAnsi="宋体" w:eastAsia="宋体" w:cs="宋体"/>
                <w:sz w:val="21"/>
                <w:szCs w:val="21"/>
              </w:rPr>
              <w:t>实施方案</w:t>
            </w:r>
            <w:r>
              <w:rPr>
                <w:rFonts w:hint="eastAsia" w:ascii="宋体" w:hAnsi="宋体" w:eastAsia="宋体" w:cs="宋体"/>
                <w:spacing w:val="-5"/>
                <w:sz w:val="21"/>
                <w:szCs w:val="21"/>
              </w:rPr>
              <w:t>：</w:t>
            </w:r>
            <w:r>
              <w:rPr>
                <w:rFonts w:hint="eastAsia" w:ascii="宋体" w:hAnsi="宋体" w:eastAsia="宋体" w:cs="宋体"/>
                <w:spacing w:val="-5"/>
                <w:sz w:val="21"/>
                <w:szCs w:val="21"/>
                <w:u w:val="single"/>
                <w:lang w:val="en-US"/>
              </w:rPr>
              <w:t>20</w:t>
            </w:r>
            <w:r>
              <w:rPr>
                <w:rFonts w:hint="eastAsia" w:ascii="宋体" w:hAnsi="宋体" w:eastAsia="宋体" w:cs="宋体"/>
                <w:spacing w:val="-18"/>
                <w:sz w:val="21"/>
                <w:szCs w:val="21"/>
              </w:rPr>
              <w:t>分</w:t>
            </w:r>
          </w:p>
          <w:p>
            <w:pPr>
              <w:pStyle w:val="25"/>
              <w:tabs>
                <w:tab w:val="left" w:pos="2524"/>
              </w:tabs>
              <w:spacing w:before="138" w:line="360" w:lineRule="auto"/>
              <w:ind w:left="109" w:right="1932"/>
              <w:jc w:val="both"/>
              <w:rPr>
                <w:rFonts w:hint="eastAsia" w:ascii="宋体" w:hAnsi="宋体" w:eastAsia="宋体" w:cs="宋体"/>
                <w:sz w:val="21"/>
                <w:szCs w:val="21"/>
              </w:rPr>
            </w:pPr>
            <w:r>
              <w:rPr>
                <w:rFonts w:hint="eastAsia" w:ascii="宋体" w:hAnsi="宋体" w:eastAsia="宋体" w:cs="宋体"/>
                <w:sz w:val="21"/>
                <w:szCs w:val="21"/>
              </w:rPr>
              <w:t>投标</w:t>
            </w:r>
            <w:r>
              <w:rPr>
                <w:rFonts w:hint="eastAsia" w:ascii="宋体" w:hAnsi="宋体" w:eastAsia="宋体" w:cs="宋体"/>
                <w:spacing w:val="-5"/>
                <w:sz w:val="21"/>
                <w:szCs w:val="21"/>
              </w:rPr>
              <w:t>报</w:t>
            </w:r>
            <w:r>
              <w:rPr>
                <w:rFonts w:hint="eastAsia" w:ascii="宋体" w:hAnsi="宋体" w:eastAsia="宋体" w:cs="宋体"/>
                <w:sz w:val="21"/>
                <w:szCs w:val="21"/>
              </w:rPr>
              <w:t>价：</w:t>
            </w:r>
            <w:r>
              <w:rPr>
                <w:rFonts w:hint="eastAsia" w:ascii="宋体" w:hAnsi="宋体" w:eastAsia="宋体" w:cs="宋体"/>
                <w:sz w:val="21"/>
                <w:szCs w:val="21"/>
                <w:u w:val="single"/>
                <w:lang w:val="en-US"/>
              </w:rPr>
              <w:t>50</w:t>
            </w:r>
            <w:r>
              <w:rPr>
                <w:rFonts w:hint="eastAsia" w:ascii="宋体" w:hAnsi="宋体" w:eastAsia="宋体" w:cs="宋体"/>
                <w:spacing w:val="-18"/>
                <w:sz w:val="21"/>
                <w:szCs w:val="21"/>
              </w:rPr>
              <w:t>分</w:t>
            </w:r>
          </w:p>
          <w:p>
            <w:pPr>
              <w:pStyle w:val="25"/>
              <w:tabs>
                <w:tab w:val="left" w:pos="2524"/>
              </w:tabs>
              <w:spacing w:line="360" w:lineRule="auto"/>
              <w:ind w:left="109"/>
              <w:rPr>
                <w:rFonts w:hint="eastAsia" w:ascii="宋体" w:hAnsi="宋体" w:eastAsia="宋体" w:cs="宋体"/>
                <w:sz w:val="21"/>
                <w:szCs w:val="21"/>
              </w:rPr>
            </w:pPr>
            <w:r>
              <w:rPr>
                <w:rFonts w:hint="eastAsia" w:ascii="宋体" w:hAnsi="宋体" w:eastAsia="宋体" w:cs="宋体"/>
                <w:sz w:val="21"/>
                <w:szCs w:val="21"/>
              </w:rPr>
              <w:t>其他</w:t>
            </w:r>
            <w:r>
              <w:rPr>
                <w:rFonts w:hint="eastAsia" w:ascii="宋体" w:hAnsi="宋体" w:eastAsia="宋体" w:cs="宋体"/>
                <w:spacing w:val="-5"/>
                <w:sz w:val="21"/>
                <w:szCs w:val="21"/>
              </w:rPr>
              <w:t>评</w:t>
            </w:r>
            <w:r>
              <w:rPr>
                <w:rFonts w:hint="eastAsia" w:ascii="宋体" w:hAnsi="宋体" w:eastAsia="宋体" w:cs="宋体"/>
                <w:sz w:val="21"/>
                <w:szCs w:val="21"/>
              </w:rPr>
              <w:t>分因素</w:t>
            </w:r>
            <w:r>
              <w:rPr>
                <w:rFonts w:hint="eastAsia" w:ascii="宋体" w:hAnsi="宋体" w:eastAsia="宋体" w:cs="宋体"/>
                <w:spacing w:val="-5"/>
                <w:sz w:val="21"/>
                <w:szCs w:val="21"/>
              </w:rPr>
              <w:t>：</w:t>
            </w:r>
            <w:r>
              <w:rPr>
                <w:rFonts w:hint="eastAsia" w:ascii="宋体" w:hAnsi="宋体" w:eastAsia="宋体" w:cs="宋体"/>
                <w:spacing w:val="-5"/>
                <w:sz w:val="21"/>
                <w:szCs w:val="21"/>
                <w:u w:val="single"/>
                <w:lang w:val="en-US"/>
              </w:rPr>
              <w:t>14</w:t>
            </w:r>
            <w:r>
              <w:rPr>
                <w:rFonts w:hint="eastAsia" w:ascii="宋体" w:hAnsi="宋体" w:eastAsia="宋体" w:cs="宋体"/>
                <w:sz w:val="21"/>
                <w:szCs w:val="21"/>
              </w:rPr>
              <w:t>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2026" w:type="dxa"/>
            <w:gridSpan w:val="2"/>
          </w:tcPr>
          <w:p>
            <w:pPr>
              <w:pStyle w:val="25"/>
              <w:spacing w:before="157" w:line="360" w:lineRule="auto"/>
              <w:ind w:left="677" w:right="668"/>
              <w:jc w:val="center"/>
              <w:rPr>
                <w:rFonts w:hint="eastAsia" w:ascii="宋体" w:hAnsi="宋体" w:eastAsia="宋体" w:cs="宋体"/>
                <w:sz w:val="21"/>
                <w:szCs w:val="21"/>
              </w:rPr>
            </w:pPr>
            <w:r>
              <w:rPr>
                <w:rFonts w:hint="eastAsia" w:ascii="宋体" w:hAnsi="宋体" w:eastAsia="宋体" w:cs="宋体"/>
                <w:sz w:val="21"/>
                <w:szCs w:val="21"/>
              </w:rPr>
              <w:t>2.2.2</w:t>
            </w:r>
          </w:p>
        </w:tc>
        <w:tc>
          <w:tcPr>
            <w:tcW w:w="2472" w:type="dxa"/>
          </w:tcPr>
          <w:p>
            <w:pPr>
              <w:pStyle w:val="25"/>
              <w:spacing w:before="143" w:line="360" w:lineRule="auto"/>
              <w:ind w:left="272" w:right="259"/>
              <w:jc w:val="center"/>
              <w:rPr>
                <w:rFonts w:hint="eastAsia" w:ascii="宋体" w:hAnsi="宋体" w:eastAsia="宋体" w:cs="宋体"/>
                <w:sz w:val="21"/>
                <w:szCs w:val="21"/>
              </w:rPr>
            </w:pPr>
          </w:p>
          <w:p>
            <w:pPr>
              <w:pStyle w:val="25"/>
              <w:spacing w:before="143" w:line="360" w:lineRule="auto"/>
              <w:ind w:left="272" w:right="259"/>
              <w:jc w:val="center"/>
              <w:rPr>
                <w:rFonts w:hint="eastAsia" w:ascii="宋体" w:hAnsi="宋体" w:eastAsia="宋体" w:cs="宋体"/>
                <w:sz w:val="21"/>
                <w:szCs w:val="21"/>
              </w:rPr>
            </w:pPr>
          </w:p>
          <w:p>
            <w:pPr>
              <w:pStyle w:val="25"/>
              <w:spacing w:before="143" w:line="360" w:lineRule="auto"/>
              <w:ind w:left="272" w:right="259"/>
              <w:jc w:val="center"/>
              <w:rPr>
                <w:rFonts w:hint="eastAsia" w:ascii="宋体" w:hAnsi="宋体" w:eastAsia="宋体" w:cs="宋体"/>
                <w:sz w:val="21"/>
                <w:szCs w:val="21"/>
              </w:rPr>
            </w:pPr>
            <w:r>
              <w:rPr>
                <w:rFonts w:hint="eastAsia" w:ascii="宋体" w:hAnsi="宋体" w:eastAsia="宋体" w:cs="宋体"/>
                <w:sz w:val="21"/>
                <w:szCs w:val="21"/>
              </w:rPr>
              <w:t>评标基准价计算方法</w:t>
            </w:r>
          </w:p>
        </w:tc>
        <w:tc>
          <w:tcPr>
            <w:tcW w:w="4680" w:type="dxa"/>
          </w:tcPr>
          <w:p>
            <w:pPr>
              <w:adjustRightInd w:val="0"/>
              <w:spacing w:line="340" w:lineRule="exact"/>
              <w:jc w:val="both"/>
              <w:rPr>
                <w:rFonts w:hint="eastAsia" w:ascii="宋体" w:hAnsi="宋体" w:eastAsia="宋体" w:cs="宋体"/>
                <w:bCs/>
                <w:sz w:val="21"/>
                <w:szCs w:val="21"/>
              </w:rPr>
            </w:pPr>
            <w:r>
              <w:rPr>
                <w:rFonts w:hint="eastAsia" w:ascii="宋体" w:hAnsi="宋体" w:eastAsia="宋体" w:cs="宋体"/>
                <w:bCs/>
                <w:sz w:val="21"/>
                <w:szCs w:val="21"/>
              </w:rPr>
              <w:t>评标基准价：</w:t>
            </w:r>
          </w:p>
          <w:p>
            <w:pPr>
              <w:pStyle w:val="25"/>
              <w:spacing w:line="360" w:lineRule="auto"/>
              <w:rPr>
                <w:rFonts w:hint="eastAsia" w:ascii="宋体" w:hAnsi="宋体" w:eastAsia="宋体" w:cs="宋体"/>
                <w:sz w:val="21"/>
                <w:szCs w:val="21"/>
                <w:lang w:val="en-US"/>
              </w:rPr>
            </w:pPr>
            <w:r>
              <w:rPr>
                <w:rFonts w:hint="eastAsia" w:ascii="宋体" w:hAnsi="宋体" w:eastAsia="宋体" w:cs="宋体"/>
                <w:sz w:val="21"/>
                <w:szCs w:val="21"/>
              </w:rPr>
              <w:t>（1）初步评审合格的所有投标人的评标价去掉</w:t>
            </w:r>
            <w:r>
              <w:rPr>
                <w:rFonts w:hint="eastAsia" w:ascii="宋体" w:hAnsi="宋体" w:eastAsia="宋体" w:cs="宋体"/>
                <w:sz w:val="21"/>
                <w:szCs w:val="21"/>
                <w:lang w:val="en-US"/>
              </w:rPr>
              <w:t>n个最高值和n个最低值（n为投标人数量/4，向下取整）后的算数平均值即为评标价平均值（如果投标人数量少于5家时，则计算评标价平均值时不去掉最高值和最低值），将评标价平均值直接作为评标基准价。</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901" w:hRule="atLeast"/>
        </w:trPr>
        <w:tc>
          <w:tcPr>
            <w:tcW w:w="2026" w:type="dxa"/>
            <w:gridSpan w:val="2"/>
          </w:tcPr>
          <w:p>
            <w:pPr>
              <w:pStyle w:val="25"/>
              <w:spacing w:before="1" w:line="360" w:lineRule="auto"/>
              <w:rPr>
                <w:rFonts w:hint="eastAsia" w:ascii="宋体" w:hAnsi="宋体" w:eastAsia="宋体" w:cs="宋体"/>
                <w:b/>
                <w:sz w:val="21"/>
                <w:szCs w:val="21"/>
              </w:rPr>
            </w:pPr>
          </w:p>
          <w:p>
            <w:pPr>
              <w:pStyle w:val="25"/>
              <w:spacing w:line="360" w:lineRule="auto"/>
              <w:ind w:left="677" w:right="668"/>
              <w:jc w:val="center"/>
              <w:rPr>
                <w:rFonts w:hint="eastAsia" w:ascii="宋体" w:hAnsi="宋体" w:eastAsia="宋体" w:cs="宋体"/>
                <w:sz w:val="21"/>
                <w:szCs w:val="21"/>
              </w:rPr>
            </w:pPr>
            <w:r>
              <w:rPr>
                <w:rFonts w:hint="eastAsia" w:ascii="宋体" w:hAnsi="宋体" w:eastAsia="宋体" w:cs="宋体"/>
                <w:sz w:val="21"/>
                <w:szCs w:val="21"/>
              </w:rPr>
              <w:t>2.2.3</w:t>
            </w:r>
          </w:p>
        </w:tc>
        <w:tc>
          <w:tcPr>
            <w:tcW w:w="2472" w:type="dxa"/>
          </w:tcPr>
          <w:p>
            <w:pPr>
              <w:pStyle w:val="25"/>
              <w:spacing w:before="9" w:line="360" w:lineRule="auto"/>
              <w:ind w:left="815" w:right="382" w:hanging="423"/>
              <w:rPr>
                <w:rFonts w:hint="eastAsia" w:ascii="宋体" w:hAnsi="宋体" w:eastAsia="宋体" w:cs="宋体"/>
                <w:sz w:val="21"/>
                <w:szCs w:val="21"/>
              </w:rPr>
            </w:pPr>
            <w:r>
              <w:rPr>
                <w:rFonts w:hint="eastAsia" w:ascii="宋体" w:hAnsi="宋体" w:eastAsia="宋体" w:cs="宋体"/>
                <w:sz w:val="21"/>
                <w:szCs w:val="21"/>
              </w:rPr>
              <w:t>投标报价的偏差率计算公式</w:t>
            </w:r>
          </w:p>
        </w:tc>
        <w:tc>
          <w:tcPr>
            <w:tcW w:w="4680" w:type="dxa"/>
          </w:tcPr>
          <w:p>
            <w:pPr>
              <w:pStyle w:val="25"/>
              <w:spacing w:before="9" w:line="360" w:lineRule="auto"/>
              <w:ind w:left="109" w:right="94"/>
              <w:rPr>
                <w:rFonts w:hint="eastAsia" w:ascii="宋体" w:hAnsi="宋体" w:eastAsia="宋体" w:cs="宋体"/>
                <w:sz w:val="21"/>
                <w:szCs w:val="21"/>
              </w:rPr>
            </w:pPr>
            <w:r>
              <w:rPr>
                <w:rFonts w:hint="eastAsia" w:ascii="宋体" w:hAnsi="宋体" w:eastAsia="宋体" w:cs="宋体"/>
                <w:sz w:val="21"/>
                <w:szCs w:val="21"/>
              </w:rPr>
              <w:t>偏差率=100%×|投标人投标报价-评标基准价|/评标基准价</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2026" w:type="dxa"/>
            <w:gridSpan w:val="2"/>
          </w:tcPr>
          <w:p>
            <w:pPr>
              <w:pStyle w:val="25"/>
              <w:spacing w:before="69" w:line="360" w:lineRule="auto"/>
              <w:ind w:left="677" w:right="668"/>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2472" w:type="dxa"/>
          </w:tcPr>
          <w:p>
            <w:pPr>
              <w:pStyle w:val="25"/>
              <w:spacing w:before="138" w:line="360" w:lineRule="auto"/>
              <w:ind w:left="272" w:right="259"/>
              <w:jc w:val="center"/>
              <w:rPr>
                <w:rFonts w:hint="eastAsia" w:ascii="宋体" w:hAnsi="宋体" w:eastAsia="宋体" w:cs="宋体"/>
                <w:sz w:val="21"/>
                <w:szCs w:val="21"/>
              </w:rPr>
            </w:pPr>
            <w:r>
              <w:rPr>
                <w:rFonts w:hint="eastAsia" w:ascii="宋体" w:hAnsi="宋体" w:eastAsia="宋体" w:cs="宋体"/>
                <w:sz w:val="21"/>
                <w:szCs w:val="21"/>
              </w:rPr>
              <w:t>评分因素（偏差率）</w:t>
            </w:r>
          </w:p>
        </w:tc>
        <w:tc>
          <w:tcPr>
            <w:tcW w:w="4680" w:type="dxa"/>
          </w:tcPr>
          <w:p>
            <w:pPr>
              <w:pStyle w:val="25"/>
              <w:spacing w:before="69" w:line="360" w:lineRule="auto"/>
              <w:ind w:left="1901" w:right="1888"/>
              <w:jc w:val="center"/>
              <w:rPr>
                <w:rFonts w:hint="eastAsia" w:ascii="宋体" w:hAnsi="宋体" w:eastAsia="宋体" w:cs="宋体"/>
                <w:b/>
                <w:sz w:val="21"/>
                <w:szCs w:val="21"/>
              </w:rPr>
            </w:pPr>
            <w:r>
              <w:rPr>
                <w:rFonts w:hint="eastAsia" w:ascii="宋体" w:hAnsi="宋体" w:eastAsia="宋体" w:cs="宋体"/>
                <w:b/>
                <w:sz w:val="21"/>
                <w:szCs w:val="21"/>
              </w:rPr>
              <w:t>评分标准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2740" w:hRule="atLeast"/>
        </w:trPr>
        <w:tc>
          <w:tcPr>
            <w:tcW w:w="898" w:type="dxa"/>
            <w:vMerge w:val="restart"/>
          </w:tcPr>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before="10" w:line="360" w:lineRule="auto"/>
              <w:rPr>
                <w:rFonts w:hint="eastAsia" w:ascii="宋体" w:hAnsi="宋体" w:eastAsia="宋体" w:cs="宋体"/>
                <w:b/>
                <w:sz w:val="21"/>
                <w:szCs w:val="21"/>
              </w:rPr>
            </w:pPr>
          </w:p>
          <w:p>
            <w:pPr>
              <w:pStyle w:val="25"/>
              <w:spacing w:line="360" w:lineRule="auto"/>
              <w:ind w:left="18"/>
              <w:jc w:val="center"/>
              <w:rPr>
                <w:rFonts w:hint="eastAsia" w:ascii="宋体" w:hAnsi="宋体" w:eastAsia="宋体" w:cs="宋体"/>
                <w:sz w:val="21"/>
                <w:szCs w:val="21"/>
              </w:rPr>
            </w:pPr>
            <w:r>
              <w:rPr>
                <w:rFonts w:hint="eastAsia" w:ascii="宋体" w:hAnsi="宋体" w:eastAsia="宋体" w:cs="宋体"/>
                <w:sz w:val="21"/>
                <w:szCs w:val="21"/>
              </w:rPr>
              <w:t>2.2.4（</w:t>
            </w:r>
            <w:r>
              <w:rPr>
                <w:rFonts w:hint="eastAsia" w:ascii="宋体" w:hAnsi="宋体" w:eastAsia="宋体" w:cs="宋体"/>
                <w:sz w:val="21"/>
                <w:szCs w:val="21"/>
                <w:lang w:val="en-US"/>
              </w:rPr>
              <w:t>1</w:t>
            </w:r>
          </w:p>
          <w:p>
            <w:pPr>
              <w:pStyle w:val="25"/>
              <w:spacing w:before="173" w:line="360" w:lineRule="auto"/>
              <w:ind w:left="14"/>
              <w:jc w:val="center"/>
              <w:rPr>
                <w:rFonts w:hint="eastAsia" w:ascii="宋体" w:hAnsi="宋体" w:eastAsia="宋体" w:cs="宋体"/>
                <w:sz w:val="21"/>
                <w:szCs w:val="21"/>
              </w:rPr>
            </w:pPr>
            <w:r>
              <w:rPr>
                <w:rFonts w:hint="eastAsia" w:ascii="宋体" w:hAnsi="宋体" w:eastAsia="宋体" w:cs="宋体"/>
                <w:sz w:val="21"/>
                <w:szCs w:val="21"/>
              </w:rPr>
              <w:t>）</w:t>
            </w:r>
          </w:p>
        </w:tc>
        <w:tc>
          <w:tcPr>
            <w:tcW w:w="1128" w:type="dxa"/>
            <w:vMerge w:val="restart"/>
          </w:tcPr>
          <w:p>
            <w:pPr>
              <w:pStyle w:val="25"/>
              <w:spacing w:line="360" w:lineRule="auto"/>
              <w:rPr>
                <w:rFonts w:hint="eastAsia" w:ascii="宋体" w:hAnsi="宋体" w:eastAsia="宋体" w:cs="宋体"/>
                <w:b/>
                <w:sz w:val="21"/>
                <w:szCs w:val="21"/>
              </w:rPr>
            </w:pPr>
          </w:p>
          <w:p>
            <w:pPr>
              <w:pStyle w:val="25"/>
              <w:spacing w:line="360" w:lineRule="auto"/>
              <w:rPr>
                <w:rFonts w:hint="eastAsia" w:ascii="宋体" w:hAnsi="宋体" w:eastAsia="宋体" w:cs="宋体"/>
                <w:b/>
                <w:sz w:val="21"/>
                <w:szCs w:val="21"/>
              </w:rPr>
            </w:pPr>
          </w:p>
          <w:p>
            <w:pPr>
              <w:pStyle w:val="25"/>
              <w:spacing w:before="5" w:line="360" w:lineRule="auto"/>
              <w:rPr>
                <w:rFonts w:hint="eastAsia" w:ascii="宋体" w:hAnsi="宋体" w:eastAsia="宋体" w:cs="宋体"/>
                <w:b/>
                <w:sz w:val="21"/>
                <w:szCs w:val="21"/>
              </w:rPr>
            </w:pPr>
          </w:p>
          <w:p>
            <w:pPr>
              <w:pStyle w:val="25"/>
              <w:spacing w:line="360" w:lineRule="auto"/>
              <w:ind w:left="143" w:right="132"/>
              <w:rPr>
                <w:rFonts w:hint="eastAsia" w:ascii="宋体" w:hAnsi="宋体" w:eastAsia="宋体" w:cs="宋体"/>
                <w:sz w:val="21"/>
                <w:szCs w:val="21"/>
                <w:lang w:val="en-US"/>
              </w:rPr>
            </w:pPr>
            <w:r>
              <w:rPr>
                <w:rFonts w:hint="eastAsia" w:ascii="宋体" w:hAnsi="宋体" w:eastAsia="宋体" w:cs="宋体"/>
                <w:sz w:val="21"/>
                <w:szCs w:val="21"/>
              </w:rPr>
              <w:t>资信业绩评分标准，满分</w:t>
            </w:r>
            <w:r>
              <w:rPr>
                <w:rFonts w:hint="eastAsia" w:ascii="宋体" w:hAnsi="宋体" w:eastAsia="宋体" w:cs="宋体"/>
                <w:sz w:val="21"/>
                <w:szCs w:val="21"/>
                <w:lang w:val="en-US"/>
              </w:rPr>
              <w:t>16分</w:t>
            </w:r>
          </w:p>
        </w:tc>
        <w:tc>
          <w:tcPr>
            <w:tcW w:w="2472" w:type="dxa"/>
          </w:tcPr>
          <w:p>
            <w:pPr>
              <w:pStyle w:val="25"/>
              <w:spacing w:before="138" w:line="360" w:lineRule="auto"/>
              <w:ind w:left="272" w:right="259"/>
              <w:jc w:val="center"/>
              <w:rPr>
                <w:rFonts w:hint="eastAsia" w:ascii="宋体" w:hAnsi="宋体" w:eastAsia="宋体" w:cs="宋体"/>
                <w:sz w:val="21"/>
                <w:szCs w:val="21"/>
              </w:rPr>
            </w:pPr>
          </w:p>
          <w:p>
            <w:pPr>
              <w:pStyle w:val="25"/>
              <w:spacing w:before="138" w:line="360" w:lineRule="auto"/>
              <w:ind w:right="259"/>
              <w:rPr>
                <w:rFonts w:hint="eastAsia" w:ascii="宋体" w:hAnsi="宋体" w:eastAsia="宋体" w:cs="宋体"/>
                <w:sz w:val="21"/>
                <w:szCs w:val="21"/>
              </w:rPr>
            </w:pPr>
          </w:p>
          <w:p>
            <w:pPr>
              <w:pStyle w:val="25"/>
              <w:spacing w:before="138" w:line="360" w:lineRule="auto"/>
              <w:ind w:left="272" w:right="259"/>
              <w:jc w:val="center"/>
              <w:rPr>
                <w:rFonts w:hint="eastAsia" w:ascii="宋体" w:hAnsi="宋体" w:eastAsia="宋体" w:cs="宋体"/>
                <w:sz w:val="21"/>
                <w:szCs w:val="21"/>
                <w:lang w:val="en-US"/>
              </w:rPr>
            </w:pPr>
            <w:r>
              <w:rPr>
                <w:rFonts w:hint="eastAsia" w:ascii="宋体" w:hAnsi="宋体" w:eastAsia="宋体" w:cs="宋体"/>
                <w:sz w:val="21"/>
                <w:szCs w:val="21"/>
              </w:rPr>
              <w:t>信誉（</w:t>
            </w:r>
            <w:r>
              <w:rPr>
                <w:rFonts w:hint="eastAsia" w:ascii="宋体" w:hAnsi="宋体" w:eastAsia="宋体" w:cs="宋体"/>
                <w:sz w:val="21"/>
                <w:szCs w:val="21"/>
                <w:lang w:val="en-US"/>
              </w:rPr>
              <w:t>4分</w:t>
            </w:r>
            <w:r>
              <w:rPr>
                <w:rFonts w:hint="eastAsia" w:ascii="宋体" w:hAnsi="宋体" w:eastAsia="宋体" w:cs="宋体"/>
                <w:sz w:val="21"/>
                <w:szCs w:val="21"/>
              </w:rPr>
              <w:t>）</w:t>
            </w:r>
          </w:p>
        </w:tc>
        <w:tc>
          <w:tcPr>
            <w:tcW w:w="4680" w:type="dxa"/>
          </w:tcPr>
          <w:p>
            <w:pPr>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rPr>
              <w:t>2017年1月1日至今获得由</w:t>
            </w:r>
            <w:r>
              <w:rPr>
                <w:rFonts w:hint="eastAsia" w:ascii="宋体" w:hAnsi="宋体" w:eastAsia="宋体" w:cs="宋体"/>
                <w:sz w:val="21"/>
                <w:szCs w:val="21"/>
              </w:rPr>
              <w:t>中国通信企业协会</w:t>
            </w:r>
            <w:r>
              <w:rPr>
                <w:rFonts w:hint="eastAsia" w:ascii="宋体" w:hAnsi="宋体" w:eastAsia="宋体" w:cs="宋体"/>
                <w:sz w:val="21"/>
                <w:szCs w:val="21"/>
                <w:lang w:val="en-US"/>
              </w:rPr>
              <w:t>公布的且在有效期内的施工单位AAA 得2分，AA 得1分，最高得2分。设计单位AAA 得2分，AA 得1分，最高得2分。</w:t>
            </w:r>
            <w:bookmarkStart w:id="12" w:name="_Toc401"/>
            <w:bookmarkStart w:id="13" w:name="_Toc18219"/>
            <w:bookmarkStart w:id="14" w:name="_Toc26885"/>
          </w:p>
          <w:p>
            <w:pPr>
              <w:spacing w:line="360" w:lineRule="auto"/>
              <w:rPr>
                <w:rFonts w:hint="eastAsia" w:ascii="宋体" w:hAnsi="宋体" w:eastAsia="宋体" w:cs="宋体"/>
                <w:sz w:val="21"/>
                <w:szCs w:val="21"/>
              </w:rPr>
            </w:pPr>
            <w:r>
              <w:rPr>
                <w:rFonts w:hint="eastAsia" w:ascii="宋体" w:hAnsi="宋体" w:eastAsia="宋体" w:cs="宋体"/>
                <w:b/>
                <w:bCs/>
                <w:sz w:val="21"/>
                <w:szCs w:val="21"/>
              </w:rPr>
              <w:t>提供复印件和网上查询截图，查询网址：中国通信企业协会</w:t>
            </w:r>
            <w:bookmarkEnd w:id="12"/>
            <w:bookmarkEnd w:id="13"/>
            <w:bookmarkEnd w:id="14"/>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55" w:hRule="atLeast"/>
        </w:trPr>
        <w:tc>
          <w:tcPr>
            <w:tcW w:w="898" w:type="dxa"/>
            <w:vMerge w:val="continue"/>
            <w:tcBorders>
              <w:top w:val="nil"/>
              <w:bottom w:val="nil"/>
            </w:tcBorders>
          </w:tcPr>
          <w:p>
            <w:pPr>
              <w:spacing w:line="360" w:lineRule="auto"/>
              <w:rPr>
                <w:rFonts w:hint="eastAsia" w:ascii="宋体" w:hAnsi="宋体" w:eastAsia="宋体" w:cs="宋体"/>
                <w:sz w:val="21"/>
                <w:szCs w:val="21"/>
              </w:rPr>
            </w:pPr>
          </w:p>
        </w:tc>
        <w:tc>
          <w:tcPr>
            <w:tcW w:w="1128" w:type="dxa"/>
            <w:vMerge w:val="continue"/>
            <w:tcBorders>
              <w:top w:val="nil"/>
              <w:bottom w:val="nil"/>
            </w:tcBorders>
          </w:tcPr>
          <w:p>
            <w:pPr>
              <w:spacing w:line="360" w:lineRule="auto"/>
              <w:rPr>
                <w:rFonts w:hint="eastAsia" w:ascii="宋体" w:hAnsi="宋体" w:eastAsia="宋体" w:cs="宋体"/>
                <w:sz w:val="21"/>
                <w:szCs w:val="21"/>
              </w:rPr>
            </w:pPr>
          </w:p>
        </w:tc>
        <w:tc>
          <w:tcPr>
            <w:tcW w:w="2472" w:type="dxa"/>
          </w:tcPr>
          <w:p>
            <w:pPr>
              <w:pStyle w:val="25"/>
              <w:spacing w:before="138" w:line="360" w:lineRule="auto"/>
              <w:ind w:left="267" w:right="259"/>
              <w:jc w:val="center"/>
              <w:rPr>
                <w:rFonts w:hint="eastAsia" w:ascii="宋体" w:hAnsi="宋体" w:eastAsia="宋体" w:cs="宋体"/>
                <w:sz w:val="21"/>
                <w:szCs w:val="21"/>
              </w:rPr>
            </w:pPr>
          </w:p>
          <w:p>
            <w:pPr>
              <w:pStyle w:val="25"/>
              <w:spacing w:before="138" w:line="360" w:lineRule="auto"/>
              <w:ind w:left="267" w:right="259"/>
              <w:jc w:val="center"/>
              <w:rPr>
                <w:rFonts w:hint="eastAsia" w:ascii="宋体" w:hAnsi="宋体" w:eastAsia="宋体" w:cs="宋体"/>
                <w:sz w:val="21"/>
                <w:szCs w:val="21"/>
              </w:rPr>
            </w:pPr>
          </w:p>
          <w:p>
            <w:pPr>
              <w:pStyle w:val="25"/>
              <w:spacing w:before="138" w:line="360" w:lineRule="auto"/>
              <w:ind w:left="267" w:right="259"/>
              <w:jc w:val="center"/>
              <w:rPr>
                <w:rFonts w:hint="eastAsia" w:ascii="宋体" w:hAnsi="宋体" w:eastAsia="宋体" w:cs="宋体"/>
                <w:sz w:val="21"/>
                <w:szCs w:val="21"/>
              </w:rPr>
            </w:pPr>
          </w:p>
          <w:p>
            <w:pPr>
              <w:pStyle w:val="25"/>
              <w:spacing w:before="138" w:line="360" w:lineRule="auto"/>
              <w:ind w:right="259"/>
              <w:jc w:val="both"/>
              <w:rPr>
                <w:rFonts w:hint="eastAsia" w:ascii="宋体" w:hAnsi="宋体" w:eastAsia="宋体" w:cs="宋体"/>
                <w:sz w:val="21"/>
                <w:szCs w:val="21"/>
                <w:lang w:val="en-US"/>
              </w:rPr>
            </w:pPr>
            <w:r>
              <w:rPr>
                <w:rFonts w:hint="eastAsia" w:ascii="宋体" w:hAnsi="宋体" w:eastAsia="宋体" w:cs="宋体"/>
                <w:sz w:val="21"/>
                <w:szCs w:val="21"/>
              </w:rPr>
              <w:t>类似项目业绩（</w:t>
            </w:r>
            <w:r>
              <w:rPr>
                <w:rFonts w:hint="eastAsia" w:ascii="宋体" w:hAnsi="宋体" w:eastAsia="宋体" w:cs="宋体"/>
                <w:sz w:val="21"/>
                <w:szCs w:val="21"/>
                <w:lang w:val="en-US"/>
              </w:rPr>
              <w:t>12分</w:t>
            </w:r>
            <w:r>
              <w:rPr>
                <w:rFonts w:hint="eastAsia" w:ascii="宋体" w:hAnsi="宋体" w:eastAsia="宋体" w:cs="宋体"/>
                <w:sz w:val="21"/>
                <w:szCs w:val="21"/>
              </w:rPr>
              <w:t>）</w:t>
            </w:r>
          </w:p>
        </w:tc>
        <w:tc>
          <w:tcPr>
            <w:tcW w:w="4680" w:type="dxa"/>
          </w:tcPr>
          <w:p>
            <w:pPr>
              <w:pStyle w:val="25"/>
              <w:spacing w:line="360" w:lineRule="auto"/>
              <w:rPr>
                <w:rFonts w:hint="eastAsia" w:ascii="宋体" w:hAnsi="宋体" w:eastAsia="宋体" w:cs="宋体"/>
                <w:sz w:val="21"/>
                <w:szCs w:val="21"/>
              </w:rPr>
            </w:pPr>
            <w:r>
              <w:rPr>
                <w:rFonts w:hint="eastAsia" w:ascii="宋体" w:hAnsi="宋体" w:eastAsia="宋体" w:cs="宋体"/>
                <w:sz w:val="21"/>
                <w:szCs w:val="21"/>
              </w:rPr>
              <w:t>施工业绩自2017年至今已完成业绩满足最低条件得基础分</w:t>
            </w:r>
            <w:r>
              <w:rPr>
                <w:rFonts w:hint="eastAsia" w:ascii="宋体" w:hAnsi="宋体" w:eastAsia="宋体" w:cs="宋体"/>
                <w:sz w:val="21"/>
                <w:szCs w:val="21"/>
                <w:lang w:val="en-US"/>
              </w:rPr>
              <w:t>3.6</w:t>
            </w:r>
            <w:r>
              <w:rPr>
                <w:rFonts w:hint="eastAsia" w:ascii="宋体" w:hAnsi="宋体" w:eastAsia="宋体" w:cs="宋体"/>
                <w:sz w:val="21"/>
                <w:szCs w:val="21"/>
              </w:rPr>
              <w:t>分，</w:t>
            </w:r>
            <w:r>
              <w:rPr>
                <w:rFonts w:hint="eastAsia" w:ascii="宋体" w:hAnsi="宋体" w:eastAsia="宋体" w:cs="宋体"/>
                <w:sz w:val="21"/>
                <w:szCs w:val="21"/>
                <w:lang w:val="en-US"/>
              </w:rPr>
              <w:t>在此基础上累计</w:t>
            </w:r>
            <w:r>
              <w:rPr>
                <w:rFonts w:hint="eastAsia" w:ascii="宋体" w:hAnsi="宋体" w:eastAsia="宋体" w:cs="宋体"/>
                <w:sz w:val="21"/>
                <w:szCs w:val="21"/>
              </w:rPr>
              <w:t>合同</w:t>
            </w:r>
            <w:r>
              <w:rPr>
                <w:rFonts w:hint="eastAsia" w:ascii="宋体" w:hAnsi="宋体" w:eastAsia="宋体" w:cs="宋体"/>
                <w:sz w:val="21"/>
                <w:szCs w:val="21"/>
                <w:lang w:val="en-US"/>
              </w:rPr>
              <w:t>金额</w:t>
            </w:r>
            <w:r>
              <w:rPr>
                <w:rFonts w:hint="eastAsia" w:ascii="宋体" w:hAnsi="宋体" w:eastAsia="宋体" w:cs="宋体"/>
                <w:sz w:val="21"/>
                <w:szCs w:val="21"/>
              </w:rPr>
              <w:t>每增加1000万加</w:t>
            </w:r>
            <w:r>
              <w:rPr>
                <w:rFonts w:hint="eastAsia" w:ascii="宋体" w:hAnsi="宋体" w:eastAsia="宋体" w:cs="宋体"/>
                <w:sz w:val="21"/>
                <w:szCs w:val="21"/>
                <w:lang w:val="en-US"/>
              </w:rPr>
              <w:t>1.2</w:t>
            </w:r>
            <w:r>
              <w:rPr>
                <w:rFonts w:hint="eastAsia" w:ascii="宋体" w:hAnsi="宋体" w:eastAsia="宋体" w:cs="宋体"/>
                <w:sz w:val="21"/>
                <w:szCs w:val="21"/>
              </w:rPr>
              <w:t>分，最多加2.4分</w:t>
            </w:r>
            <w:r>
              <w:rPr>
                <w:rFonts w:hint="eastAsia" w:ascii="宋体" w:hAnsi="宋体" w:eastAsia="宋体" w:cs="宋体"/>
                <w:sz w:val="21"/>
                <w:szCs w:val="21"/>
                <w:lang w:val="en-US"/>
              </w:rPr>
              <w:t>,本项满分6分</w:t>
            </w:r>
            <w:r>
              <w:rPr>
                <w:rFonts w:hint="eastAsia" w:ascii="宋体" w:hAnsi="宋体" w:eastAsia="宋体" w:cs="宋体"/>
                <w:sz w:val="21"/>
                <w:szCs w:val="21"/>
              </w:rPr>
              <w:t>；</w:t>
            </w:r>
          </w:p>
          <w:p>
            <w:pPr>
              <w:pStyle w:val="25"/>
              <w:spacing w:line="360" w:lineRule="auto"/>
              <w:rPr>
                <w:rFonts w:hint="eastAsia" w:ascii="宋体" w:hAnsi="宋体" w:eastAsia="宋体" w:cs="宋体"/>
                <w:sz w:val="21"/>
                <w:szCs w:val="21"/>
              </w:rPr>
            </w:pPr>
            <w:r>
              <w:rPr>
                <w:rFonts w:hint="eastAsia" w:ascii="宋体" w:hAnsi="宋体" w:eastAsia="宋体" w:cs="宋体"/>
                <w:sz w:val="21"/>
                <w:szCs w:val="21"/>
              </w:rPr>
              <w:t>设计业绩自2017年至今已完成业绩满足最低条件得基础分</w:t>
            </w:r>
            <w:r>
              <w:rPr>
                <w:rFonts w:hint="eastAsia" w:ascii="宋体" w:hAnsi="宋体" w:eastAsia="宋体" w:cs="宋体"/>
                <w:sz w:val="21"/>
                <w:szCs w:val="21"/>
                <w:lang w:val="en-US"/>
              </w:rPr>
              <w:t>3.6</w:t>
            </w:r>
            <w:r>
              <w:rPr>
                <w:rFonts w:hint="eastAsia" w:ascii="宋体" w:hAnsi="宋体" w:eastAsia="宋体" w:cs="宋体"/>
                <w:sz w:val="21"/>
                <w:szCs w:val="21"/>
              </w:rPr>
              <w:t>分，</w:t>
            </w:r>
            <w:r>
              <w:rPr>
                <w:rFonts w:hint="eastAsia" w:ascii="宋体" w:hAnsi="宋体" w:eastAsia="宋体" w:cs="宋体"/>
                <w:sz w:val="21"/>
                <w:szCs w:val="21"/>
                <w:lang w:val="en-US"/>
              </w:rPr>
              <w:t>在此基础上累计</w:t>
            </w:r>
            <w:r>
              <w:rPr>
                <w:rFonts w:hint="eastAsia" w:ascii="宋体" w:hAnsi="宋体" w:eastAsia="宋体" w:cs="宋体"/>
                <w:sz w:val="21"/>
                <w:szCs w:val="21"/>
              </w:rPr>
              <w:t>合同</w:t>
            </w:r>
            <w:r>
              <w:rPr>
                <w:rFonts w:hint="eastAsia" w:ascii="宋体" w:hAnsi="宋体" w:eastAsia="宋体" w:cs="宋体"/>
                <w:sz w:val="21"/>
                <w:szCs w:val="21"/>
                <w:lang w:val="en-US"/>
              </w:rPr>
              <w:t>金额</w:t>
            </w:r>
            <w:r>
              <w:rPr>
                <w:rFonts w:hint="eastAsia" w:ascii="宋体" w:hAnsi="宋体" w:eastAsia="宋体" w:cs="宋体"/>
                <w:sz w:val="21"/>
                <w:szCs w:val="21"/>
              </w:rPr>
              <w:t>每增加</w:t>
            </w:r>
            <w:r>
              <w:rPr>
                <w:rFonts w:hint="eastAsia" w:ascii="宋体" w:hAnsi="宋体" w:eastAsia="宋体" w:cs="宋体"/>
                <w:sz w:val="21"/>
                <w:szCs w:val="21"/>
                <w:lang w:val="en-US"/>
              </w:rPr>
              <w:t>500</w:t>
            </w:r>
            <w:r>
              <w:rPr>
                <w:rFonts w:hint="eastAsia" w:ascii="宋体" w:hAnsi="宋体" w:eastAsia="宋体" w:cs="宋体"/>
                <w:sz w:val="21"/>
                <w:szCs w:val="21"/>
              </w:rPr>
              <w:t>万加</w:t>
            </w:r>
            <w:r>
              <w:rPr>
                <w:rFonts w:hint="eastAsia" w:ascii="宋体" w:hAnsi="宋体" w:eastAsia="宋体" w:cs="宋体"/>
                <w:sz w:val="21"/>
                <w:szCs w:val="21"/>
                <w:lang w:val="en-US"/>
              </w:rPr>
              <w:t>0.6</w:t>
            </w:r>
            <w:r>
              <w:rPr>
                <w:rFonts w:hint="eastAsia" w:ascii="宋体" w:hAnsi="宋体" w:eastAsia="宋体" w:cs="宋体"/>
                <w:sz w:val="21"/>
                <w:szCs w:val="21"/>
              </w:rPr>
              <w:t>加</w:t>
            </w:r>
            <w:r>
              <w:rPr>
                <w:rFonts w:hint="eastAsia" w:ascii="宋体" w:hAnsi="宋体" w:eastAsia="宋体" w:cs="宋体"/>
                <w:sz w:val="21"/>
                <w:szCs w:val="21"/>
                <w:lang w:val="en-US"/>
              </w:rPr>
              <w:t>1.2</w:t>
            </w:r>
            <w:r>
              <w:rPr>
                <w:rFonts w:hint="eastAsia" w:ascii="宋体" w:hAnsi="宋体" w:eastAsia="宋体" w:cs="宋体"/>
                <w:sz w:val="21"/>
                <w:szCs w:val="21"/>
              </w:rPr>
              <w:t>分，最多加2.4分</w:t>
            </w:r>
            <w:r>
              <w:rPr>
                <w:rFonts w:hint="eastAsia" w:ascii="宋体" w:hAnsi="宋体" w:eastAsia="宋体" w:cs="宋体"/>
                <w:sz w:val="21"/>
                <w:szCs w:val="21"/>
                <w:lang w:val="en-US"/>
              </w:rPr>
              <w:t>,本项满分6分</w:t>
            </w:r>
            <w:r>
              <w:rPr>
                <w:rFonts w:hint="eastAsia" w:ascii="宋体" w:hAnsi="宋体" w:eastAsia="宋体" w:cs="宋体"/>
                <w:sz w:val="21"/>
                <w:szCs w:val="21"/>
              </w:rPr>
              <w:t>；</w:t>
            </w:r>
          </w:p>
          <w:p>
            <w:pPr>
              <w:pStyle w:val="25"/>
              <w:spacing w:line="360" w:lineRule="auto"/>
              <w:rPr>
                <w:rFonts w:hint="eastAsia" w:ascii="宋体" w:hAnsi="宋体" w:eastAsia="宋体" w:cs="宋体"/>
                <w:sz w:val="21"/>
                <w:szCs w:val="21"/>
              </w:rPr>
            </w:pPr>
            <w:r>
              <w:rPr>
                <w:rFonts w:hint="eastAsia" w:ascii="宋体" w:hAnsi="宋体" w:eastAsia="宋体" w:cs="宋体"/>
                <w:sz w:val="21"/>
                <w:szCs w:val="21"/>
              </w:rPr>
              <w:t>注：需提供合同关键页或中标通知书</w:t>
            </w:r>
            <w:r>
              <w:rPr>
                <w:rFonts w:hint="eastAsia" w:ascii="宋体" w:hAnsi="宋体" w:eastAsia="宋体" w:cs="宋体"/>
                <w:sz w:val="21"/>
                <w:szCs w:val="21"/>
                <w:lang w:val="en-US"/>
              </w:rPr>
              <w:t>的复印件</w:t>
            </w:r>
            <w:r>
              <w:rPr>
                <w:rFonts w:hint="eastAsia" w:ascii="宋体" w:hAnsi="宋体" w:eastAsia="宋体" w:cs="宋体"/>
                <w:sz w:val="21"/>
                <w:szCs w:val="21"/>
              </w:rPr>
              <w:t>，关键页包括体现合同标的、合同金额、签字盖章页，框架合同需提供订单，金额以订单金额为准，否则一律不认可，合同（订单）以签字盖章时间为准。地铁施工视同于隧道类。</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restart"/>
          </w:tcPr>
          <w:p>
            <w:pPr>
              <w:pStyle w:val="25"/>
              <w:spacing w:before="10"/>
              <w:rPr>
                <w:rFonts w:hint="eastAsia" w:ascii="宋体" w:hAnsi="宋体" w:eastAsia="宋体" w:cs="宋体"/>
                <w:b/>
                <w:sz w:val="21"/>
                <w:szCs w:val="21"/>
              </w:rPr>
            </w:pPr>
          </w:p>
          <w:p>
            <w:pPr>
              <w:pStyle w:val="25"/>
              <w:ind w:left="18"/>
              <w:jc w:val="center"/>
              <w:rPr>
                <w:rFonts w:hint="eastAsia" w:ascii="宋体" w:hAnsi="宋体" w:eastAsia="宋体" w:cs="宋体"/>
                <w:sz w:val="21"/>
                <w:szCs w:val="21"/>
              </w:rPr>
            </w:pPr>
            <w:r>
              <w:rPr>
                <w:rFonts w:hint="eastAsia" w:ascii="宋体" w:hAnsi="宋体" w:eastAsia="宋体" w:cs="宋体"/>
                <w:sz w:val="21"/>
                <w:szCs w:val="21"/>
              </w:rPr>
              <w:t>2.2.4（</w:t>
            </w:r>
            <w:r>
              <w:rPr>
                <w:rFonts w:hint="eastAsia" w:ascii="宋体" w:hAnsi="宋体" w:eastAsia="宋体" w:cs="宋体"/>
                <w:sz w:val="21"/>
                <w:szCs w:val="21"/>
                <w:lang w:val="en-US"/>
              </w:rPr>
              <w:t>2</w:t>
            </w:r>
          </w:p>
          <w:p>
            <w:pPr>
              <w:pStyle w:val="25"/>
              <w:spacing w:before="173"/>
              <w:ind w:left="14"/>
              <w:jc w:val="center"/>
              <w:rPr>
                <w:rFonts w:hint="eastAsia" w:ascii="宋体" w:hAnsi="宋体" w:eastAsia="宋体" w:cs="宋体"/>
                <w:sz w:val="21"/>
                <w:szCs w:val="21"/>
              </w:rPr>
            </w:pPr>
            <w:r>
              <w:rPr>
                <w:rFonts w:hint="eastAsia" w:ascii="宋体" w:hAnsi="宋体" w:eastAsia="宋体" w:cs="宋体"/>
                <w:sz w:val="21"/>
                <w:szCs w:val="21"/>
              </w:rPr>
              <w:t>）</w:t>
            </w:r>
          </w:p>
        </w:tc>
        <w:tc>
          <w:tcPr>
            <w:tcW w:w="1124" w:type="dxa"/>
            <w:vMerge w:val="restart"/>
          </w:tcPr>
          <w:p>
            <w:pPr>
              <w:pStyle w:val="25"/>
              <w:spacing w:before="15"/>
              <w:rPr>
                <w:rFonts w:hint="eastAsia" w:ascii="宋体" w:hAnsi="宋体" w:eastAsia="宋体" w:cs="宋体"/>
                <w:b/>
                <w:sz w:val="21"/>
                <w:szCs w:val="21"/>
              </w:rPr>
            </w:pPr>
          </w:p>
          <w:p>
            <w:pPr>
              <w:pStyle w:val="25"/>
              <w:spacing w:line="393" w:lineRule="auto"/>
              <w:ind w:left="143" w:right="128"/>
              <w:jc w:val="both"/>
              <w:rPr>
                <w:rFonts w:hint="eastAsia" w:ascii="宋体" w:hAnsi="宋体" w:eastAsia="宋体" w:cs="宋体"/>
                <w:sz w:val="21"/>
                <w:szCs w:val="21"/>
                <w:lang w:val="en-US"/>
              </w:rPr>
            </w:pPr>
            <w:r>
              <w:rPr>
                <w:rFonts w:hint="eastAsia" w:ascii="宋体" w:hAnsi="宋体" w:eastAsia="宋体" w:cs="宋体"/>
                <w:sz w:val="21"/>
                <w:szCs w:val="21"/>
              </w:rPr>
              <w:t>实施方案评分标准，满分</w:t>
            </w:r>
            <w:r>
              <w:rPr>
                <w:rFonts w:hint="eastAsia" w:ascii="宋体" w:hAnsi="宋体" w:eastAsia="宋体" w:cs="宋体"/>
                <w:sz w:val="21"/>
                <w:szCs w:val="21"/>
                <w:lang w:val="en-US"/>
              </w:rPr>
              <w:t>20分</w:t>
            </w:r>
          </w:p>
        </w:tc>
        <w:tc>
          <w:tcPr>
            <w:tcW w:w="2476" w:type="dxa"/>
            <w:vMerge w:val="restart"/>
          </w:tcPr>
          <w:p>
            <w:pPr>
              <w:pStyle w:val="25"/>
              <w:spacing w:before="143"/>
              <w:ind w:left="589" w:right="579"/>
              <w:jc w:val="center"/>
              <w:rPr>
                <w:rFonts w:hint="eastAsia" w:ascii="宋体" w:hAnsi="宋体" w:eastAsia="宋体" w:cs="宋体"/>
                <w:sz w:val="21"/>
                <w:szCs w:val="21"/>
              </w:rPr>
            </w:pPr>
            <w:r>
              <w:rPr>
                <w:rFonts w:hint="eastAsia" w:ascii="宋体" w:hAnsi="宋体" w:eastAsia="宋体" w:cs="宋体"/>
                <w:sz w:val="21"/>
                <w:szCs w:val="21"/>
              </w:rPr>
              <w:t>总体实施方案（</w:t>
            </w:r>
            <w:r>
              <w:rPr>
                <w:rFonts w:hint="eastAsia" w:ascii="宋体" w:hAnsi="宋体" w:eastAsia="宋体" w:cs="宋体"/>
                <w:sz w:val="21"/>
                <w:szCs w:val="21"/>
                <w:lang w:val="en-US"/>
              </w:rPr>
              <w:t>8分</w:t>
            </w:r>
            <w:r>
              <w:rPr>
                <w:rFonts w:hint="eastAsia" w:ascii="宋体" w:hAnsi="宋体" w:eastAsia="宋体" w:cs="宋体"/>
                <w:sz w:val="21"/>
                <w:szCs w:val="21"/>
              </w:rPr>
              <w:t>）</w:t>
            </w:r>
          </w:p>
        </w:tc>
        <w:tc>
          <w:tcPr>
            <w:tcW w:w="4683" w:type="dxa"/>
            <w:vAlign w:val="center"/>
          </w:tcPr>
          <w:p>
            <w:pPr>
              <w:widowControl/>
              <w:spacing w:line="360" w:lineRule="exact"/>
              <w:rPr>
                <w:rFonts w:hint="eastAsia" w:ascii="宋体" w:hAnsi="宋体" w:eastAsia="宋体" w:cs="宋体"/>
                <w:sz w:val="21"/>
                <w:szCs w:val="21"/>
              </w:rPr>
            </w:pPr>
            <w:r>
              <w:rPr>
                <w:rFonts w:hint="eastAsia" w:ascii="宋体" w:hAnsi="宋体" w:eastAsia="宋体" w:cs="宋体"/>
                <w:sz w:val="21"/>
                <w:szCs w:val="21"/>
              </w:rPr>
              <w:t>对投标人质量管理保证措施进行综合比较。</w:t>
            </w:r>
          </w:p>
          <w:p>
            <w:pPr>
              <w:widowControl/>
              <w:spacing w:line="360" w:lineRule="exact"/>
              <w:rPr>
                <w:rFonts w:hint="eastAsia" w:ascii="宋体" w:hAnsi="宋体" w:eastAsia="宋体" w:cs="宋体"/>
                <w:sz w:val="21"/>
                <w:szCs w:val="21"/>
                <w:lang w:val="en-US"/>
              </w:rPr>
            </w:pPr>
            <w:r>
              <w:rPr>
                <w:rFonts w:hint="eastAsia" w:ascii="宋体" w:hAnsi="宋体" w:eastAsia="宋体" w:cs="宋体"/>
                <w:sz w:val="21"/>
                <w:szCs w:val="21"/>
              </w:rPr>
              <w:t>优得</w:t>
            </w:r>
            <w:r>
              <w:rPr>
                <w:rFonts w:hint="eastAsia" w:ascii="宋体" w:hAnsi="宋体" w:eastAsia="宋体" w:cs="宋体"/>
                <w:sz w:val="21"/>
                <w:szCs w:val="21"/>
                <w:lang w:val="en-US"/>
              </w:rPr>
              <w:t>2</w:t>
            </w:r>
            <w:r>
              <w:rPr>
                <w:rFonts w:hint="eastAsia" w:ascii="宋体" w:hAnsi="宋体" w:eastAsia="宋体" w:cs="宋体"/>
                <w:sz w:val="21"/>
                <w:szCs w:val="21"/>
              </w:rPr>
              <w:t>分，良得</w:t>
            </w:r>
            <w:r>
              <w:rPr>
                <w:rFonts w:hint="eastAsia" w:ascii="宋体" w:hAnsi="宋体" w:eastAsia="宋体" w:cs="宋体"/>
                <w:sz w:val="21"/>
                <w:szCs w:val="21"/>
                <w:lang w:val="en-US"/>
              </w:rPr>
              <w:t>1.8</w:t>
            </w:r>
            <w:r>
              <w:rPr>
                <w:rFonts w:hint="eastAsia" w:ascii="宋体" w:hAnsi="宋体" w:eastAsia="宋体" w:cs="宋体"/>
                <w:sz w:val="21"/>
                <w:szCs w:val="21"/>
              </w:rPr>
              <w:t>分，一般得</w:t>
            </w:r>
            <w:r>
              <w:rPr>
                <w:rFonts w:hint="eastAsia" w:ascii="宋体" w:hAnsi="宋体" w:eastAsia="宋体" w:cs="宋体"/>
                <w:sz w:val="21"/>
                <w:szCs w:val="21"/>
                <w:lang w:val="en-US"/>
              </w:rPr>
              <w:t>1.2分，未提供不得分。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Pr>
          <w:p>
            <w:pPr>
              <w:pStyle w:val="25"/>
              <w:spacing w:before="173"/>
              <w:ind w:left="14"/>
              <w:jc w:val="center"/>
              <w:rPr>
                <w:rFonts w:hint="eastAsia" w:ascii="宋体" w:hAnsi="宋体" w:eastAsia="宋体" w:cs="宋体"/>
                <w:sz w:val="21"/>
                <w:szCs w:val="21"/>
              </w:rPr>
            </w:pPr>
          </w:p>
        </w:tc>
        <w:tc>
          <w:tcPr>
            <w:tcW w:w="1124" w:type="dxa"/>
            <w:vMerge w:val="continue"/>
          </w:tcPr>
          <w:p>
            <w:pPr>
              <w:pStyle w:val="25"/>
              <w:spacing w:line="393" w:lineRule="auto"/>
              <w:ind w:left="143" w:right="128"/>
              <w:jc w:val="both"/>
              <w:rPr>
                <w:rFonts w:hint="eastAsia" w:ascii="宋体" w:hAnsi="宋体" w:eastAsia="宋体" w:cs="宋体"/>
                <w:sz w:val="21"/>
                <w:szCs w:val="21"/>
              </w:rPr>
            </w:pPr>
          </w:p>
        </w:tc>
        <w:tc>
          <w:tcPr>
            <w:tcW w:w="2476" w:type="dxa"/>
            <w:vMerge w:val="continue"/>
          </w:tcPr>
          <w:p>
            <w:pPr>
              <w:pStyle w:val="25"/>
              <w:spacing w:before="143"/>
              <w:ind w:left="589" w:right="579"/>
              <w:jc w:val="center"/>
              <w:rPr>
                <w:rFonts w:hint="eastAsia" w:ascii="宋体" w:hAnsi="宋体" w:eastAsia="宋体" w:cs="宋体"/>
                <w:sz w:val="21"/>
                <w:szCs w:val="21"/>
              </w:rPr>
            </w:pPr>
          </w:p>
        </w:tc>
        <w:tc>
          <w:tcPr>
            <w:tcW w:w="4683" w:type="dxa"/>
            <w:vAlign w:val="center"/>
          </w:tcPr>
          <w:p>
            <w:pPr>
              <w:widowControl/>
              <w:spacing w:line="360" w:lineRule="exact"/>
              <w:rPr>
                <w:rFonts w:hint="eastAsia" w:ascii="宋体" w:hAnsi="宋体" w:eastAsia="宋体" w:cs="宋体"/>
                <w:sz w:val="21"/>
                <w:szCs w:val="21"/>
              </w:rPr>
            </w:pPr>
            <w:r>
              <w:rPr>
                <w:rFonts w:hint="eastAsia" w:ascii="宋体" w:hAnsi="宋体" w:eastAsia="宋体" w:cs="宋体"/>
                <w:sz w:val="21"/>
                <w:szCs w:val="21"/>
              </w:rPr>
              <w:t>对投标人工程进度保证措施进行综合比较。</w:t>
            </w:r>
          </w:p>
          <w:p>
            <w:pPr>
              <w:pStyle w:val="2"/>
              <w:rPr>
                <w:rFonts w:hint="eastAsia" w:ascii="宋体" w:hAnsi="宋体" w:eastAsia="宋体" w:cs="宋体"/>
                <w:sz w:val="21"/>
                <w:szCs w:val="21"/>
              </w:rPr>
            </w:pPr>
            <w:r>
              <w:rPr>
                <w:rFonts w:hint="eastAsia" w:ascii="宋体" w:hAnsi="宋体" w:eastAsia="宋体" w:cs="宋体"/>
                <w:sz w:val="21"/>
                <w:szCs w:val="21"/>
              </w:rPr>
              <w:t>优得</w:t>
            </w:r>
            <w:r>
              <w:rPr>
                <w:rFonts w:hint="eastAsia" w:ascii="宋体" w:hAnsi="宋体" w:eastAsia="宋体" w:cs="宋体"/>
                <w:sz w:val="21"/>
                <w:szCs w:val="21"/>
                <w:lang w:val="en-US"/>
              </w:rPr>
              <w:t>2</w:t>
            </w:r>
            <w:r>
              <w:rPr>
                <w:rFonts w:hint="eastAsia" w:ascii="宋体" w:hAnsi="宋体" w:eastAsia="宋体" w:cs="宋体"/>
                <w:sz w:val="21"/>
                <w:szCs w:val="21"/>
              </w:rPr>
              <w:t>分，良得</w:t>
            </w:r>
            <w:r>
              <w:rPr>
                <w:rFonts w:hint="eastAsia" w:ascii="宋体" w:hAnsi="宋体" w:eastAsia="宋体" w:cs="宋体"/>
                <w:sz w:val="21"/>
                <w:szCs w:val="21"/>
                <w:lang w:val="en-US"/>
              </w:rPr>
              <w:t>1.8</w:t>
            </w:r>
            <w:r>
              <w:rPr>
                <w:rFonts w:hint="eastAsia" w:ascii="宋体" w:hAnsi="宋体" w:eastAsia="宋体" w:cs="宋体"/>
                <w:sz w:val="21"/>
                <w:szCs w:val="21"/>
              </w:rPr>
              <w:t>分，一般得</w:t>
            </w:r>
            <w:r>
              <w:rPr>
                <w:rFonts w:hint="eastAsia" w:ascii="宋体" w:hAnsi="宋体" w:eastAsia="宋体" w:cs="宋体"/>
                <w:sz w:val="21"/>
                <w:szCs w:val="21"/>
                <w:lang w:val="en-US"/>
              </w:rPr>
              <w:t>1.2分，未提供不得分。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Pr>
          <w:p>
            <w:pPr>
              <w:pStyle w:val="25"/>
              <w:spacing w:before="173"/>
              <w:ind w:left="14"/>
              <w:jc w:val="center"/>
              <w:rPr>
                <w:rFonts w:hint="eastAsia" w:ascii="宋体" w:hAnsi="宋体" w:eastAsia="宋体" w:cs="宋体"/>
                <w:sz w:val="21"/>
                <w:szCs w:val="21"/>
              </w:rPr>
            </w:pPr>
          </w:p>
        </w:tc>
        <w:tc>
          <w:tcPr>
            <w:tcW w:w="1124" w:type="dxa"/>
            <w:vMerge w:val="continue"/>
          </w:tcPr>
          <w:p>
            <w:pPr>
              <w:pStyle w:val="25"/>
              <w:spacing w:line="393" w:lineRule="auto"/>
              <w:ind w:left="143" w:right="128"/>
              <w:jc w:val="both"/>
              <w:rPr>
                <w:rFonts w:hint="eastAsia" w:ascii="宋体" w:hAnsi="宋体" w:eastAsia="宋体" w:cs="宋体"/>
                <w:sz w:val="21"/>
                <w:szCs w:val="21"/>
              </w:rPr>
            </w:pPr>
          </w:p>
        </w:tc>
        <w:tc>
          <w:tcPr>
            <w:tcW w:w="2476" w:type="dxa"/>
            <w:vMerge w:val="continue"/>
          </w:tcPr>
          <w:p>
            <w:pPr>
              <w:pStyle w:val="25"/>
              <w:spacing w:before="143"/>
              <w:ind w:left="589" w:right="579"/>
              <w:jc w:val="center"/>
              <w:rPr>
                <w:rFonts w:hint="eastAsia" w:ascii="宋体" w:hAnsi="宋体" w:eastAsia="宋体" w:cs="宋体"/>
                <w:sz w:val="21"/>
                <w:szCs w:val="21"/>
              </w:rPr>
            </w:pPr>
          </w:p>
        </w:tc>
        <w:tc>
          <w:tcPr>
            <w:tcW w:w="4683" w:type="dxa"/>
            <w:vAlign w:val="center"/>
          </w:tcPr>
          <w:p>
            <w:pPr>
              <w:widowControl/>
              <w:spacing w:line="360" w:lineRule="exact"/>
              <w:rPr>
                <w:rFonts w:hint="eastAsia" w:ascii="宋体" w:hAnsi="宋体" w:eastAsia="宋体" w:cs="宋体"/>
                <w:sz w:val="21"/>
                <w:szCs w:val="21"/>
              </w:rPr>
            </w:pPr>
            <w:r>
              <w:rPr>
                <w:rFonts w:hint="eastAsia" w:ascii="宋体" w:hAnsi="宋体" w:eastAsia="宋体" w:cs="宋体"/>
                <w:sz w:val="21"/>
                <w:szCs w:val="21"/>
              </w:rPr>
              <w:t>对投标人安全生产、应急保障等方面综合比较。</w:t>
            </w:r>
          </w:p>
          <w:p>
            <w:pPr>
              <w:pStyle w:val="2"/>
              <w:rPr>
                <w:rFonts w:hint="eastAsia" w:ascii="宋体" w:hAnsi="宋体" w:eastAsia="宋体" w:cs="宋体"/>
                <w:sz w:val="21"/>
                <w:szCs w:val="21"/>
              </w:rPr>
            </w:pPr>
            <w:r>
              <w:rPr>
                <w:rFonts w:hint="eastAsia" w:ascii="宋体" w:hAnsi="宋体" w:eastAsia="宋体" w:cs="宋体"/>
                <w:sz w:val="21"/>
                <w:szCs w:val="21"/>
              </w:rPr>
              <w:t>优得</w:t>
            </w:r>
            <w:r>
              <w:rPr>
                <w:rFonts w:hint="eastAsia" w:ascii="宋体" w:hAnsi="宋体" w:eastAsia="宋体" w:cs="宋体"/>
                <w:sz w:val="21"/>
                <w:szCs w:val="21"/>
                <w:lang w:val="en-US"/>
              </w:rPr>
              <w:t>2</w:t>
            </w:r>
            <w:r>
              <w:rPr>
                <w:rFonts w:hint="eastAsia" w:ascii="宋体" w:hAnsi="宋体" w:eastAsia="宋体" w:cs="宋体"/>
                <w:sz w:val="21"/>
                <w:szCs w:val="21"/>
              </w:rPr>
              <w:t>分，良得</w:t>
            </w:r>
            <w:r>
              <w:rPr>
                <w:rFonts w:hint="eastAsia" w:ascii="宋体" w:hAnsi="宋体" w:eastAsia="宋体" w:cs="宋体"/>
                <w:sz w:val="21"/>
                <w:szCs w:val="21"/>
                <w:lang w:val="en-US"/>
              </w:rPr>
              <w:t>1.8</w:t>
            </w:r>
            <w:r>
              <w:rPr>
                <w:rFonts w:hint="eastAsia" w:ascii="宋体" w:hAnsi="宋体" w:eastAsia="宋体" w:cs="宋体"/>
                <w:sz w:val="21"/>
                <w:szCs w:val="21"/>
              </w:rPr>
              <w:t>分，一般得</w:t>
            </w:r>
            <w:r>
              <w:rPr>
                <w:rFonts w:hint="eastAsia" w:ascii="宋体" w:hAnsi="宋体" w:eastAsia="宋体" w:cs="宋体"/>
                <w:sz w:val="21"/>
                <w:szCs w:val="21"/>
                <w:lang w:val="en-US"/>
              </w:rPr>
              <w:t>1.2分，未提供不得分。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Pr>
          <w:p>
            <w:pPr>
              <w:pStyle w:val="25"/>
              <w:spacing w:before="173"/>
              <w:ind w:left="14"/>
              <w:jc w:val="center"/>
              <w:rPr>
                <w:rFonts w:hint="eastAsia" w:ascii="宋体" w:hAnsi="宋体" w:eastAsia="宋体" w:cs="宋体"/>
                <w:sz w:val="21"/>
                <w:szCs w:val="21"/>
              </w:rPr>
            </w:pPr>
          </w:p>
        </w:tc>
        <w:tc>
          <w:tcPr>
            <w:tcW w:w="1124" w:type="dxa"/>
            <w:vMerge w:val="continue"/>
          </w:tcPr>
          <w:p>
            <w:pPr>
              <w:pStyle w:val="25"/>
              <w:spacing w:line="393" w:lineRule="auto"/>
              <w:ind w:left="143" w:right="128"/>
              <w:jc w:val="both"/>
              <w:rPr>
                <w:rFonts w:hint="eastAsia" w:ascii="宋体" w:hAnsi="宋体" w:eastAsia="宋体" w:cs="宋体"/>
                <w:sz w:val="21"/>
                <w:szCs w:val="21"/>
              </w:rPr>
            </w:pPr>
          </w:p>
        </w:tc>
        <w:tc>
          <w:tcPr>
            <w:tcW w:w="2476" w:type="dxa"/>
            <w:vMerge w:val="continue"/>
          </w:tcPr>
          <w:p>
            <w:pPr>
              <w:pStyle w:val="25"/>
              <w:spacing w:before="143"/>
              <w:ind w:left="589" w:right="579"/>
              <w:jc w:val="center"/>
              <w:rPr>
                <w:rFonts w:hint="eastAsia" w:ascii="宋体" w:hAnsi="宋体" w:eastAsia="宋体" w:cs="宋体"/>
                <w:sz w:val="21"/>
                <w:szCs w:val="21"/>
              </w:rPr>
            </w:pPr>
          </w:p>
        </w:tc>
        <w:tc>
          <w:tcPr>
            <w:tcW w:w="4683" w:type="dxa"/>
            <w:vAlign w:val="center"/>
          </w:tcPr>
          <w:p>
            <w:pPr>
              <w:widowControl/>
              <w:spacing w:line="360" w:lineRule="exact"/>
              <w:rPr>
                <w:rFonts w:hint="eastAsia" w:ascii="宋体" w:hAnsi="宋体" w:eastAsia="宋体" w:cs="宋体"/>
                <w:sz w:val="21"/>
                <w:szCs w:val="21"/>
              </w:rPr>
            </w:pPr>
            <w:r>
              <w:rPr>
                <w:rFonts w:hint="eastAsia" w:ascii="宋体" w:hAnsi="宋体" w:eastAsia="宋体" w:cs="宋体"/>
                <w:sz w:val="21"/>
                <w:szCs w:val="21"/>
              </w:rPr>
              <w:t>对投标人人员配备、物料管理等等方面综合比较。</w:t>
            </w:r>
          </w:p>
          <w:p>
            <w:pPr>
              <w:widowControl/>
              <w:spacing w:line="360" w:lineRule="exact"/>
              <w:rPr>
                <w:rFonts w:hint="eastAsia" w:ascii="宋体" w:hAnsi="宋体" w:eastAsia="宋体" w:cs="宋体"/>
                <w:sz w:val="21"/>
                <w:szCs w:val="21"/>
              </w:rPr>
            </w:pPr>
            <w:r>
              <w:rPr>
                <w:rFonts w:hint="eastAsia" w:ascii="宋体" w:hAnsi="宋体" w:eastAsia="宋体" w:cs="宋体"/>
                <w:sz w:val="21"/>
                <w:szCs w:val="21"/>
              </w:rPr>
              <w:t>优得</w:t>
            </w:r>
            <w:r>
              <w:rPr>
                <w:rFonts w:hint="eastAsia" w:ascii="宋体" w:hAnsi="宋体" w:eastAsia="宋体" w:cs="宋体"/>
                <w:sz w:val="21"/>
                <w:szCs w:val="21"/>
                <w:lang w:val="en-US"/>
              </w:rPr>
              <w:t>2</w:t>
            </w:r>
            <w:r>
              <w:rPr>
                <w:rFonts w:hint="eastAsia" w:ascii="宋体" w:hAnsi="宋体" w:eastAsia="宋体" w:cs="宋体"/>
                <w:sz w:val="21"/>
                <w:szCs w:val="21"/>
              </w:rPr>
              <w:t>分，良得</w:t>
            </w:r>
            <w:r>
              <w:rPr>
                <w:rFonts w:hint="eastAsia" w:ascii="宋体" w:hAnsi="宋体" w:eastAsia="宋体" w:cs="宋体"/>
                <w:sz w:val="21"/>
                <w:szCs w:val="21"/>
                <w:lang w:val="en-US"/>
              </w:rPr>
              <w:t>1.8</w:t>
            </w:r>
            <w:r>
              <w:rPr>
                <w:rFonts w:hint="eastAsia" w:ascii="宋体" w:hAnsi="宋体" w:eastAsia="宋体" w:cs="宋体"/>
                <w:sz w:val="21"/>
                <w:szCs w:val="21"/>
              </w:rPr>
              <w:t>分，一般得</w:t>
            </w:r>
            <w:r>
              <w:rPr>
                <w:rFonts w:hint="eastAsia" w:ascii="宋体" w:hAnsi="宋体" w:eastAsia="宋体" w:cs="宋体"/>
                <w:sz w:val="21"/>
                <w:szCs w:val="21"/>
                <w:lang w:val="en-US"/>
              </w:rPr>
              <w:t>1.2分，未提供不得分。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41" w:hRule="atLeast"/>
        </w:trPr>
        <w:tc>
          <w:tcPr>
            <w:tcW w:w="898" w:type="dxa"/>
            <w:vMerge w:val="continue"/>
          </w:tcPr>
          <w:p>
            <w:pPr>
              <w:rPr>
                <w:rFonts w:hint="eastAsia" w:ascii="宋体" w:hAnsi="宋体" w:eastAsia="宋体" w:cs="宋体"/>
                <w:sz w:val="21"/>
                <w:szCs w:val="21"/>
              </w:rPr>
            </w:pPr>
          </w:p>
        </w:tc>
        <w:tc>
          <w:tcPr>
            <w:tcW w:w="1124" w:type="dxa"/>
            <w:vMerge w:val="continue"/>
          </w:tcPr>
          <w:p>
            <w:pPr>
              <w:rPr>
                <w:rFonts w:hint="eastAsia" w:ascii="宋体" w:hAnsi="宋体" w:eastAsia="宋体" w:cs="宋体"/>
                <w:sz w:val="21"/>
                <w:szCs w:val="21"/>
              </w:rPr>
            </w:pPr>
          </w:p>
        </w:tc>
        <w:tc>
          <w:tcPr>
            <w:tcW w:w="2476" w:type="dxa"/>
          </w:tcPr>
          <w:p>
            <w:pPr>
              <w:pStyle w:val="25"/>
              <w:spacing w:before="138"/>
              <w:ind w:left="589" w:right="579"/>
              <w:jc w:val="center"/>
              <w:rPr>
                <w:rFonts w:hint="eastAsia" w:ascii="宋体" w:hAnsi="宋体" w:eastAsia="宋体" w:cs="宋体"/>
                <w:sz w:val="21"/>
                <w:szCs w:val="21"/>
              </w:rPr>
            </w:pPr>
            <w:r>
              <w:rPr>
                <w:rFonts w:hint="eastAsia" w:ascii="宋体" w:hAnsi="宋体" w:eastAsia="宋体" w:cs="宋体"/>
                <w:sz w:val="21"/>
                <w:szCs w:val="21"/>
              </w:rPr>
              <w:t>项目实施要点（</w:t>
            </w:r>
            <w:r>
              <w:rPr>
                <w:rFonts w:hint="eastAsia" w:ascii="宋体" w:hAnsi="宋体" w:eastAsia="宋体" w:cs="宋体"/>
                <w:sz w:val="21"/>
                <w:szCs w:val="21"/>
                <w:lang w:val="en-US"/>
              </w:rPr>
              <w:t>6分</w:t>
            </w:r>
            <w:r>
              <w:rPr>
                <w:rFonts w:hint="eastAsia" w:ascii="宋体" w:hAnsi="宋体" w:eastAsia="宋体" w:cs="宋体"/>
                <w:sz w:val="21"/>
                <w:szCs w:val="21"/>
              </w:rPr>
              <w:t>）</w:t>
            </w:r>
          </w:p>
        </w:tc>
        <w:tc>
          <w:tcPr>
            <w:tcW w:w="4683" w:type="dxa"/>
          </w:tcPr>
          <w:p>
            <w:pPr>
              <w:widowControl/>
              <w:spacing w:line="340" w:lineRule="exact"/>
              <w:rPr>
                <w:rFonts w:hint="eastAsia" w:ascii="宋体" w:hAnsi="宋体" w:eastAsia="宋体" w:cs="宋体"/>
                <w:sz w:val="21"/>
                <w:szCs w:val="21"/>
              </w:rPr>
            </w:pPr>
            <w:r>
              <w:rPr>
                <w:rFonts w:hint="eastAsia" w:ascii="宋体" w:hAnsi="宋体" w:eastAsia="宋体" w:cs="宋体"/>
                <w:sz w:val="21"/>
                <w:szCs w:val="21"/>
              </w:rPr>
              <w:t>1、投标人对本项目理解深刻、需求分析全面、合理的，得</w:t>
            </w:r>
            <w:r>
              <w:rPr>
                <w:rFonts w:hint="eastAsia" w:ascii="宋体" w:hAnsi="宋体" w:eastAsia="宋体" w:cs="宋体"/>
                <w:sz w:val="21"/>
                <w:szCs w:val="21"/>
                <w:lang w:val="en-US"/>
              </w:rPr>
              <w:t>4.9-6</w:t>
            </w:r>
            <w:r>
              <w:rPr>
                <w:rFonts w:hint="eastAsia" w:ascii="宋体" w:hAnsi="宋体" w:eastAsia="宋体" w:cs="宋体"/>
                <w:sz w:val="21"/>
                <w:szCs w:val="21"/>
              </w:rPr>
              <w:t>分；</w:t>
            </w:r>
          </w:p>
          <w:p>
            <w:pPr>
              <w:widowControl/>
              <w:spacing w:line="340" w:lineRule="exact"/>
              <w:rPr>
                <w:rFonts w:hint="eastAsia" w:ascii="宋体" w:hAnsi="宋体" w:eastAsia="宋体" w:cs="宋体"/>
                <w:sz w:val="21"/>
                <w:szCs w:val="21"/>
              </w:rPr>
            </w:pPr>
            <w:r>
              <w:rPr>
                <w:rFonts w:hint="eastAsia" w:ascii="宋体" w:hAnsi="宋体" w:eastAsia="宋体" w:cs="宋体"/>
                <w:sz w:val="21"/>
                <w:szCs w:val="21"/>
              </w:rPr>
              <w:t>2、投标人对本项目理解程度比较深刻、需求分析比较全面、比较合理的，得</w:t>
            </w:r>
            <w:r>
              <w:rPr>
                <w:rFonts w:hint="eastAsia" w:ascii="宋体" w:hAnsi="宋体" w:eastAsia="宋体" w:cs="宋体"/>
                <w:sz w:val="21"/>
                <w:szCs w:val="21"/>
                <w:lang w:val="en-US"/>
              </w:rPr>
              <w:t>3.7-4.8</w:t>
            </w:r>
            <w:r>
              <w:rPr>
                <w:rFonts w:hint="eastAsia" w:ascii="宋体" w:hAnsi="宋体" w:eastAsia="宋体" w:cs="宋体"/>
                <w:sz w:val="21"/>
                <w:szCs w:val="21"/>
              </w:rPr>
              <w:t>分；</w:t>
            </w:r>
          </w:p>
          <w:p>
            <w:pPr>
              <w:widowControl/>
              <w:spacing w:line="340" w:lineRule="exact"/>
              <w:rPr>
                <w:rFonts w:hint="eastAsia" w:ascii="宋体" w:hAnsi="宋体" w:eastAsia="宋体" w:cs="宋体"/>
                <w:sz w:val="21"/>
                <w:szCs w:val="21"/>
              </w:rPr>
            </w:pPr>
            <w:r>
              <w:rPr>
                <w:rFonts w:hint="eastAsia" w:ascii="宋体" w:hAnsi="宋体" w:eastAsia="宋体" w:cs="宋体"/>
                <w:sz w:val="21"/>
                <w:szCs w:val="21"/>
              </w:rPr>
              <w:t>3、投标人对本项目理解出现偏差或需求分析与本项目关联性不大或不合理的，得1</w:t>
            </w:r>
            <w:r>
              <w:rPr>
                <w:rFonts w:hint="eastAsia" w:ascii="宋体" w:hAnsi="宋体" w:eastAsia="宋体" w:cs="宋体"/>
                <w:sz w:val="21"/>
                <w:szCs w:val="21"/>
                <w:lang w:val="en-US"/>
              </w:rPr>
              <w:t>-3.6</w:t>
            </w:r>
            <w:r>
              <w:rPr>
                <w:rFonts w:hint="eastAsia" w:ascii="宋体" w:hAnsi="宋体" w:eastAsia="宋体" w:cs="宋体"/>
                <w:sz w:val="21"/>
                <w:szCs w:val="21"/>
              </w:rPr>
              <w:t>分；</w:t>
            </w:r>
          </w:p>
          <w:p>
            <w:pPr>
              <w:pStyle w:val="25"/>
              <w:spacing w:before="138"/>
              <w:ind w:right="2101"/>
              <w:rPr>
                <w:rFonts w:hint="eastAsia" w:ascii="宋体" w:hAnsi="宋体" w:eastAsia="宋体" w:cs="宋体"/>
                <w:sz w:val="21"/>
                <w:szCs w:val="21"/>
              </w:rPr>
            </w:pPr>
            <w:r>
              <w:rPr>
                <w:rFonts w:hint="eastAsia" w:ascii="宋体" w:hAnsi="宋体" w:eastAsia="宋体" w:cs="宋体"/>
                <w:sz w:val="21"/>
                <w:szCs w:val="21"/>
              </w:rPr>
              <w:t>无此项内容的，不得分。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411" w:hRule="atLeast"/>
        </w:trPr>
        <w:tc>
          <w:tcPr>
            <w:tcW w:w="898" w:type="dxa"/>
            <w:vMerge w:val="continue"/>
          </w:tcPr>
          <w:p>
            <w:pPr>
              <w:rPr>
                <w:rFonts w:hint="eastAsia" w:ascii="宋体" w:hAnsi="宋体" w:eastAsia="宋体" w:cs="宋体"/>
                <w:sz w:val="21"/>
                <w:szCs w:val="21"/>
              </w:rPr>
            </w:pPr>
          </w:p>
        </w:tc>
        <w:tc>
          <w:tcPr>
            <w:tcW w:w="1124" w:type="dxa"/>
            <w:vMerge w:val="continue"/>
          </w:tcPr>
          <w:p>
            <w:pPr>
              <w:rPr>
                <w:rFonts w:hint="eastAsia" w:ascii="宋体" w:hAnsi="宋体" w:eastAsia="宋体" w:cs="宋体"/>
                <w:sz w:val="21"/>
                <w:szCs w:val="21"/>
              </w:rPr>
            </w:pPr>
          </w:p>
        </w:tc>
        <w:tc>
          <w:tcPr>
            <w:tcW w:w="2476" w:type="dxa"/>
          </w:tcPr>
          <w:p>
            <w:pPr>
              <w:pStyle w:val="25"/>
              <w:spacing w:before="138"/>
              <w:ind w:left="589" w:right="579"/>
              <w:jc w:val="center"/>
              <w:rPr>
                <w:rFonts w:hint="eastAsia" w:ascii="宋体" w:hAnsi="宋体" w:eastAsia="宋体" w:cs="宋体"/>
                <w:sz w:val="21"/>
                <w:szCs w:val="21"/>
              </w:rPr>
            </w:pPr>
            <w:r>
              <w:rPr>
                <w:rFonts w:hint="eastAsia" w:ascii="宋体" w:hAnsi="宋体" w:eastAsia="宋体" w:cs="宋体"/>
                <w:sz w:val="21"/>
                <w:szCs w:val="21"/>
              </w:rPr>
              <w:t>设计工作组织计划（</w:t>
            </w:r>
            <w:r>
              <w:rPr>
                <w:rFonts w:hint="eastAsia" w:ascii="宋体" w:hAnsi="宋体" w:eastAsia="宋体" w:cs="宋体"/>
                <w:sz w:val="21"/>
                <w:szCs w:val="21"/>
                <w:lang w:val="en-US"/>
              </w:rPr>
              <w:t>6分</w:t>
            </w:r>
            <w:r>
              <w:rPr>
                <w:rFonts w:hint="eastAsia" w:ascii="宋体" w:hAnsi="宋体" w:eastAsia="宋体" w:cs="宋体"/>
                <w:sz w:val="21"/>
                <w:szCs w:val="21"/>
              </w:rPr>
              <w:t>）</w:t>
            </w:r>
          </w:p>
        </w:tc>
        <w:tc>
          <w:tcPr>
            <w:tcW w:w="4683" w:type="dxa"/>
          </w:tcPr>
          <w:p>
            <w:pPr>
              <w:spacing w:line="300" w:lineRule="exact"/>
              <w:rPr>
                <w:rFonts w:hint="eastAsia" w:ascii="宋体" w:hAnsi="宋体" w:eastAsia="宋体" w:cs="宋体"/>
                <w:sz w:val="21"/>
                <w:szCs w:val="21"/>
              </w:rPr>
            </w:pPr>
            <w:r>
              <w:rPr>
                <w:rFonts w:hint="eastAsia" w:ascii="宋体" w:hAnsi="宋体" w:eastAsia="宋体" w:cs="宋体"/>
                <w:sz w:val="21"/>
                <w:szCs w:val="21"/>
              </w:rPr>
              <w:t>1、应答人提供的设计工作组织计划，科学、合理、全面得</w:t>
            </w:r>
            <w:r>
              <w:rPr>
                <w:rFonts w:hint="eastAsia" w:ascii="宋体" w:hAnsi="宋体" w:eastAsia="宋体" w:cs="宋体"/>
                <w:sz w:val="21"/>
                <w:szCs w:val="21"/>
                <w:lang w:val="en-US"/>
              </w:rPr>
              <w:t>4.9-6</w:t>
            </w:r>
            <w:r>
              <w:rPr>
                <w:rFonts w:hint="eastAsia" w:ascii="宋体" w:hAnsi="宋体" w:eastAsia="宋体" w:cs="宋体"/>
                <w:sz w:val="21"/>
                <w:szCs w:val="21"/>
              </w:rPr>
              <w:t>分。</w:t>
            </w:r>
          </w:p>
          <w:p>
            <w:pPr>
              <w:spacing w:line="300" w:lineRule="exact"/>
              <w:rPr>
                <w:rFonts w:hint="eastAsia" w:ascii="宋体" w:hAnsi="宋体" w:eastAsia="宋体" w:cs="宋体"/>
                <w:sz w:val="21"/>
                <w:szCs w:val="21"/>
              </w:rPr>
            </w:pPr>
            <w:r>
              <w:rPr>
                <w:rFonts w:hint="eastAsia" w:ascii="宋体" w:hAnsi="宋体" w:eastAsia="宋体" w:cs="宋体"/>
                <w:sz w:val="21"/>
                <w:szCs w:val="21"/>
              </w:rPr>
              <w:t>2、应答人提供的设计工作组织计划，较科学、较合理、较全面得</w:t>
            </w:r>
            <w:r>
              <w:rPr>
                <w:rFonts w:hint="eastAsia" w:ascii="宋体" w:hAnsi="宋体" w:eastAsia="宋体" w:cs="宋体"/>
                <w:sz w:val="21"/>
                <w:szCs w:val="21"/>
                <w:lang w:val="en-US"/>
              </w:rPr>
              <w:t>3.7-4.8</w:t>
            </w:r>
            <w:r>
              <w:rPr>
                <w:rFonts w:hint="eastAsia" w:ascii="宋体" w:hAnsi="宋体" w:eastAsia="宋体" w:cs="宋体"/>
                <w:sz w:val="21"/>
                <w:szCs w:val="21"/>
              </w:rPr>
              <w:t>分。</w:t>
            </w:r>
          </w:p>
          <w:p>
            <w:pPr>
              <w:spacing w:line="300" w:lineRule="exact"/>
              <w:rPr>
                <w:rFonts w:hint="eastAsia" w:ascii="宋体" w:hAnsi="宋体" w:eastAsia="宋体" w:cs="宋体"/>
                <w:sz w:val="21"/>
                <w:szCs w:val="21"/>
              </w:rPr>
            </w:pPr>
            <w:r>
              <w:rPr>
                <w:rFonts w:hint="eastAsia" w:ascii="宋体" w:hAnsi="宋体" w:eastAsia="宋体" w:cs="宋体"/>
                <w:sz w:val="21"/>
                <w:szCs w:val="21"/>
              </w:rPr>
              <w:t>3、应答人提供的设计工作组织计划，合理性差、不完整，得1</w:t>
            </w:r>
            <w:r>
              <w:rPr>
                <w:rFonts w:hint="eastAsia" w:ascii="宋体" w:hAnsi="宋体" w:eastAsia="宋体" w:cs="宋体"/>
                <w:sz w:val="21"/>
                <w:szCs w:val="21"/>
                <w:lang w:val="en-US"/>
              </w:rPr>
              <w:t>-3.6</w:t>
            </w:r>
            <w:r>
              <w:rPr>
                <w:rFonts w:hint="eastAsia" w:ascii="宋体" w:hAnsi="宋体" w:eastAsia="宋体" w:cs="宋体"/>
                <w:sz w:val="21"/>
                <w:szCs w:val="21"/>
              </w:rPr>
              <w:t>分。</w:t>
            </w:r>
          </w:p>
          <w:p>
            <w:pPr>
              <w:pStyle w:val="25"/>
              <w:spacing w:before="138"/>
              <w:ind w:right="2101"/>
              <w:jc w:val="both"/>
              <w:rPr>
                <w:rFonts w:hint="eastAsia" w:ascii="宋体" w:hAnsi="宋体" w:eastAsia="宋体" w:cs="宋体"/>
                <w:sz w:val="21"/>
                <w:szCs w:val="21"/>
              </w:rPr>
            </w:pPr>
            <w:r>
              <w:rPr>
                <w:rFonts w:hint="eastAsia" w:ascii="宋体" w:hAnsi="宋体" w:eastAsia="宋体" w:cs="宋体"/>
                <w:sz w:val="21"/>
                <w:szCs w:val="21"/>
              </w:rPr>
              <w:t>无此项内容的，不得分。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872" w:hRule="atLeast"/>
        </w:trPr>
        <w:tc>
          <w:tcPr>
            <w:tcW w:w="898" w:type="dxa"/>
          </w:tcPr>
          <w:p>
            <w:pPr>
              <w:pStyle w:val="25"/>
              <w:spacing w:before="148"/>
              <w:ind w:left="18"/>
              <w:jc w:val="center"/>
              <w:rPr>
                <w:rFonts w:hint="eastAsia" w:ascii="宋体" w:hAnsi="宋体" w:eastAsia="宋体" w:cs="宋体"/>
                <w:sz w:val="21"/>
                <w:szCs w:val="21"/>
              </w:rPr>
            </w:pPr>
            <w:r>
              <w:rPr>
                <w:rFonts w:hint="eastAsia" w:ascii="宋体" w:hAnsi="宋体" w:eastAsia="宋体" w:cs="宋体"/>
                <w:sz w:val="21"/>
                <w:szCs w:val="21"/>
              </w:rPr>
              <w:t>2.2.4（</w:t>
            </w:r>
            <w:r>
              <w:rPr>
                <w:rFonts w:hint="eastAsia" w:ascii="宋体" w:hAnsi="宋体" w:eastAsia="宋体" w:cs="宋体"/>
                <w:sz w:val="21"/>
                <w:szCs w:val="21"/>
                <w:lang w:val="en-US"/>
              </w:rPr>
              <w:t>3</w:t>
            </w:r>
          </w:p>
          <w:p>
            <w:pPr>
              <w:pStyle w:val="25"/>
              <w:spacing w:before="172"/>
              <w:ind w:left="14"/>
              <w:jc w:val="center"/>
              <w:rPr>
                <w:rFonts w:hint="eastAsia" w:ascii="宋体" w:hAnsi="宋体" w:eastAsia="宋体" w:cs="宋体"/>
                <w:sz w:val="21"/>
                <w:szCs w:val="21"/>
              </w:rPr>
            </w:pPr>
            <w:r>
              <w:rPr>
                <w:rFonts w:hint="eastAsia" w:ascii="宋体" w:hAnsi="宋体" w:eastAsia="宋体" w:cs="宋体"/>
                <w:sz w:val="21"/>
                <w:szCs w:val="21"/>
              </w:rPr>
              <w:t>）</w:t>
            </w:r>
          </w:p>
        </w:tc>
        <w:tc>
          <w:tcPr>
            <w:tcW w:w="1124" w:type="dxa"/>
          </w:tcPr>
          <w:p>
            <w:pPr>
              <w:pStyle w:val="25"/>
              <w:spacing w:before="4" w:line="442" w:lineRule="exact"/>
              <w:ind w:left="143" w:right="128"/>
              <w:rPr>
                <w:rFonts w:hint="eastAsia" w:ascii="宋体" w:hAnsi="宋体" w:eastAsia="宋体" w:cs="宋体"/>
                <w:sz w:val="21"/>
                <w:szCs w:val="21"/>
                <w:lang w:val="en-US"/>
              </w:rPr>
            </w:pPr>
            <w:r>
              <w:rPr>
                <w:rFonts w:hint="eastAsia" w:ascii="宋体" w:hAnsi="宋体" w:eastAsia="宋体" w:cs="宋体"/>
                <w:sz w:val="21"/>
                <w:szCs w:val="21"/>
              </w:rPr>
              <w:t>投标报价评分标准，满分</w:t>
            </w:r>
            <w:r>
              <w:rPr>
                <w:rFonts w:hint="eastAsia" w:ascii="宋体" w:hAnsi="宋体" w:eastAsia="宋体" w:cs="宋体"/>
                <w:sz w:val="21"/>
                <w:szCs w:val="21"/>
                <w:lang w:val="en-US"/>
              </w:rPr>
              <w:t>50分</w:t>
            </w:r>
          </w:p>
        </w:tc>
        <w:tc>
          <w:tcPr>
            <w:tcW w:w="2476" w:type="dxa"/>
          </w:tcPr>
          <w:p>
            <w:pPr>
              <w:pStyle w:val="25"/>
              <w:spacing w:before="162" w:line="259" w:lineRule="exact"/>
              <w:ind w:right="574"/>
              <w:jc w:val="both"/>
              <w:rPr>
                <w:rFonts w:hint="eastAsia" w:ascii="宋体" w:hAnsi="宋体" w:eastAsia="宋体" w:cs="宋体"/>
                <w:sz w:val="21"/>
                <w:szCs w:val="21"/>
                <w:lang w:val="en-US"/>
              </w:rPr>
            </w:pPr>
          </w:p>
          <w:p>
            <w:pPr>
              <w:pStyle w:val="25"/>
              <w:spacing w:before="162" w:line="259" w:lineRule="exact"/>
              <w:ind w:right="574" w:firstLine="630" w:firstLineChars="300"/>
              <w:jc w:val="both"/>
              <w:rPr>
                <w:rFonts w:hint="eastAsia" w:ascii="宋体" w:hAnsi="宋体" w:eastAsia="宋体" w:cs="宋体"/>
                <w:sz w:val="21"/>
                <w:szCs w:val="21"/>
                <w:lang w:val="en-US"/>
              </w:rPr>
            </w:pPr>
            <w:r>
              <w:rPr>
                <w:rFonts w:hint="eastAsia" w:ascii="宋体" w:hAnsi="宋体" w:eastAsia="宋体" w:cs="宋体"/>
                <w:sz w:val="21"/>
                <w:szCs w:val="21"/>
                <w:lang w:val="en-US"/>
              </w:rPr>
              <w:t>报价得分</w:t>
            </w:r>
          </w:p>
          <w:p>
            <w:pPr>
              <w:pStyle w:val="25"/>
              <w:spacing w:before="162" w:line="259" w:lineRule="exact"/>
              <w:ind w:right="574" w:firstLine="630" w:firstLineChars="300"/>
              <w:jc w:val="both"/>
              <w:rPr>
                <w:rFonts w:hint="eastAsia" w:ascii="宋体" w:hAnsi="宋体" w:eastAsia="宋体" w:cs="宋体"/>
                <w:sz w:val="21"/>
                <w:szCs w:val="21"/>
              </w:rPr>
            </w:pPr>
            <w:r>
              <w:rPr>
                <w:rFonts w:hint="eastAsia" w:ascii="宋体" w:hAnsi="宋体" w:eastAsia="宋体" w:cs="宋体"/>
                <w:sz w:val="21"/>
                <w:szCs w:val="21"/>
                <w:lang w:val="en-US"/>
              </w:rPr>
              <w:t>（50分）</w:t>
            </w:r>
          </w:p>
        </w:tc>
        <w:tc>
          <w:tcPr>
            <w:tcW w:w="4683" w:type="dxa"/>
          </w:tcPr>
          <w:p>
            <w:pPr>
              <w:adjustRightInd w:val="0"/>
              <w:outlineLvl w:val="0"/>
              <w:rPr>
                <w:rFonts w:hint="eastAsia" w:ascii="宋体" w:hAnsi="宋体" w:eastAsia="宋体" w:cs="宋体"/>
                <w:bCs/>
                <w:sz w:val="21"/>
                <w:szCs w:val="21"/>
              </w:rPr>
            </w:pPr>
            <w:bookmarkStart w:id="15" w:name="_Toc9283"/>
            <w:bookmarkStart w:id="16" w:name="_Toc36371337"/>
            <w:bookmarkStart w:id="17" w:name="_Toc20456"/>
            <w:bookmarkStart w:id="18" w:name="_Toc10323"/>
            <w:bookmarkStart w:id="19" w:name="_Toc501615043"/>
            <w:r>
              <w:rPr>
                <w:rFonts w:hint="eastAsia" w:ascii="宋体" w:hAnsi="宋体" w:eastAsia="宋体" w:cs="宋体"/>
                <w:bCs/>
                <w:sz w:val="21"/>
                <w:szCs w:val="21"/>
                <w:lang w:val="en-US"/>
              </w:rPr>
              <w:t>投</w:t>
            </w:r>
            <w:r>
              <w:rPr>
                <w:rFonts w:hint="eastAsia" w:ascii="宋体" w:hAnsi="宋体" w:eastAsia="宋体" w:cs="宋体"/>
                <w:bCs/>
                <w:sz w:val="21"/>
                <w:szCs w:val="21"/>
              </w:rPr>
              <w:t>标人的投标报价等于评标基准价时，得满分50分。</w:t>
            </w:r>
            <w:bookmarkEnd w:id="15"/>
            <w:bookmarkEnd w:id="16"/>
            <w:bookmarkEnd w:id="17"/>
            <w:bookmarkEnd w:id="18"/>
            <w:bookmarkEnd w:id="19"/>
          </w:p>
          <w:p>
            <w:pPr>
              <w:adjustRightInd w:val="0"/>
              <w:outlineLvl w:val="0"/>
              <w:rPr>
                <w:rFonts w:hint="eastAsia" w:ascii="宋体" w:hAnsi="宋体" w:eastAsia="宋体" w:cs="宋体"/>
                <w:bCs/>
                <w:sz w:val="21"/>
                <w:szCs w:val="21"/>
              </w:rPr>
            </w:pPr>
            <w:bookmarkStart w:id="20" w:name="_Toc36371338"/>
            <w:bookmarkStart w:id="21" w:name="_Toc16225"/>
            <w:bookmarkStart w:id="22" w:name="_Toc20582"/>
            <w:bookmarkStart w:id="23" w:name="_Toc501615044"/>
            <w:bookmarkStart w:id="24" w:name="_Toc9500"/>
            <w:r>
              <w:rPr>
                <w:rFonts w:hint="eastAsia" w:ascii="宋体" w:hAnsi="宋体" w:eastAsia="宋体" w:cs="宋体"/>
                <w:bCs/>
                <w:sz w:val="21"/>
                <w:szCs w:val="21"/>
              </w:rPr>
              <w:t>当投标人的投标报价与评标基准价的比值每高一个百分点时在满分基础上扣</w:t>
            </w:r>
            <w:r>
              <w:rPr>
                <w:rFonts w:hint="eastAsia" w:ascii="宋体" w:hAnsi="宋体" w:eastAsia="宋体" w:cs="宋体"/>
                <w:bCs/>
                <w:sz w:val="21"/>
                <w:szCs w:val="21"/>
                <w:lang w:val="en-US"/>
              </w:rPr>
              <w:t>0.2</w:t>
            </w:r>
            <w:r>
              <w:rPr>
                <w:rFonts w:hint="eastAsia" w:ascii="宋体" w:hAnsi="宋体" w:eastAsia="宋体" w:cs="宋体"/>
                <w:bCs/>
                <w:sz w:val="21"/>
                <w:szCs w:val="21"/>
              </w:rPr>
              <w:t>分，减至0分为止；</w:t>
            </w:r>
            <w:bookmarkEnd w:id="20"/>
            <w:bookmarkEnd w:id="21"/>
            <w:bookmarkEnd w:id="22"/>
            <w:bookmarkEnd w:id="23"/>
            <w:bookmarkEnd w:id="24"/>
          </w:p>
          <w:p>
            <w:pPr>
              <w:adjustRightInd w:val="0"/>
              <w:outlineLvl w:val="0"/>
              <w:rPr>
                <w:rFonts w:hint="eastAsia" w:ascii="宋体" w:hAnsi="宋体" w:eastAsia="宋体" w:cs="宋体"/>
                <w:bCs/>
                <w:sz w:val="21"/>
                <w:szCs w:val="21"/>
              </w:rPr>
            </w:pPr>
            <w:bookmarkStart w:id="25" w:name="_Toc36371339"/>
            <w:bookmarkStart w:id="26" w:name="_Toc31318"/>
            <w:bookmarkStart w:id="27" w:name="_Toc501615045"/>
            <w:bookmarkStart w:id="28" w:name="_Toc23143"/>
            <w:bookmarkStart w:id="29" w:name="_Toc694"/>
            <w:r>
              <w:rPr>
                <w:rFonts w:hint="eastAsia" w:ascii="宋体" w:hAnsi="宋体" w:eastAsia="宋体" w:cs="宋体"/>
                <w:bCs/>
                <w:sz w:val="21"/>
                <w:szCs w:val="21"/>
              </w:rPr>
              <w:t>当投标人的投标报价与评标基准价的比值每低一个百分点时在满分基础上扣0.</w:t>
            </w:r>
            <w:r>
              <w:rPr>
                <w:rFonts w:hint="eastAsia" w:ascii="宋体" w:hAnsi="宋体" w:eastAsia="宋体" w:cs="宋体"/>
                <w:bCs/>
                <w:sz w:val="21"/>
                <w:szCs w:val="21"/>
                <w:lang w:val="en-US"/>
              </w:rPr>
              <w:t>1</w:t>
            </w:r>
            <w:r>
              <w:rPr>
                <w:rFonts w:hint="eastAsia" w:ascii="宋体" w:hAnsi="宋体" w:eastAsia="宋体" w:cs="宋体"/>
                <w:bCs/>
                <w:sz w:val="21"/>
                <w:szCs w:val="21"/>
              </w:rPr>
              <w:t>分，减至0分为止；</w:t>
            </w:r>
            <w:bookmarkEnd w:id="25"/>
            <w:bookmarkEnd w:id="26"/>
            <w:bookmarkEnd w:id="27"/>
            <w:bookmarkEnd w:id="28"/>
            <w:bookmarkEnd w:id="29"/>
          </w:p>
          <w:p>
            <w:pPr>
              <w:adjustRightInd w:val="0"/>
              <w:spacing w:line="340" w:lineRule="exact"/>
              <w:jc w:val="both"/>
              <w:rPr>
                <w:rFonts w:hint="eastAsia" w:ascii="宋体" w:hAnsi="宋体" w:eastAsia="宋体" w:cs="宋体"/>
                <w:sz w:val="21"/>
                <w:szCs w:val="21"/>
              </w:rPr>
            </w:pPr>
            <w:bookmarkStart w:id="30" w:name="_Toc501615046"/>
            <w:bookmarkStart w:id="31" w:name="_Toc36371340"/>
            <w:r>
              <w:rPr>
                <w:rFonts w:hint="eastAsia" w:ascii="宋体" w:hAnsi="宋体" w:eastAsia="宋体" w:cs="宋体"/>
                <w:bCs/>
                <w:sz w:val="21"/>
                <w:szCs w:val="21"/>
              </w:rPr>
              <w:t>（</w:t>
            </w:r>
            <w:r>
              <w:rPr>
                <w:rFonts w:hint="eastAsia" w:ascii="宋体" w:hAnsi="宋体" w:eastAsia="宋体" w:cs="宋体"/>
                <w:bCs/>
                <w:sz w:val="21"/>
                <w:szCs w:val="21"/>
                <w:lang w:val="en-US"/>
              </w:rPr>
              <w:t>四舍五入，</w:t>
            </w:r>
            <w:r>
              <w:rPr>
                <w:rFonts w:hint="eastAsia" w:ascii="宋体" w:hAnsi="宋体" w:eastAsia="宋体" w:cs="宋体"/>
                <w:bCs/>
                <w:sz w:val="21"/>
                <w:szCs w:val="21"/>
              </w:rPr>
              <w:t>保留小数点后两位。）</w:t>
            </w:r>
            <w:bookmarkEnd w:id="30"/>
            <w:bookmarkEnd w:id="31"/>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877" w:hRule="atLeast"/>
        </w:trPr>
        <w:tc>
          <w:tcPr>
            <w:tcW w:w="898" w:type="dxa"/>
            <w:vMerge w:val="restart"/>
          </w:tcPr>
          <w:p>
            <w:pPr>
              <w:pStyle w:val="25"/>
              <w:spacing w:before="138"/>
              <w:ind w:left="18"/>
              <w:jc w:val="center"/>
              <w:rPr>
                <w:rFonts w:hint="eastAsia" w:ascii="宋体" w:hAnsi="宋体" w:eastAsia="宋体" w:cs="宋体"/>
                <w:sz w:val="21"/>
                <w:szCs w:val="21"/>
              </w:rPr>
            </w:pPr>
            <w:r>
              <w:rPr>
                <w:rFonts w:hint="eastAsia" w:ascii="宋体" w:hAnsi="宋体" w:eastAsia="宋体" w:cs="宋体"/>
                <w:sz w:val="21"/>
                <w:szCs w:val="21"/>
              </w:rPr>
              <w:t>2.2.4（</w:t>
            </w:r>
            <w:r>
              <w:rPr>
                <w:rFonts w:hint="eastAsia" w:ascii="宋体" w:hAnsi="宋体" w:eastAsia="宋体" w:cs="宋体"/>
                <w:sz w:val="21"/>
                <w:szCs w:val="21"/>
                <w:lang w:val="en-US"/>
              </w:rPr>
              <w:t>4</w:t>
            </w:r>
          </w:p>
          <w:p>
            <w:pPr>
              <w:pStyle w:val="25"/>
              <w:spacing w:before="172"/>
              <w:ind w:left="14"/>
              <w:jc w:val="center"/>
              <w:rPr>
                <w:rFonts w:hint="eastAsia" w:ascii="宋体" w:hAnsi="宋体" w:eastAsia="宋体" w:cs="宋体"/>
                <w:sz w:val="21"/>
                <w:szCs w:val="21"/>
              </w:rPr>
            </w:pPr>
            <w:r>
              <w:rPr>
                <w:rFonts w:hint="eastAsia" w:ascii="宋体" w:hAnsi="宋体" w:eastAsia="宋体" w:cs="宋体"/>
                <w:sz w:val="21"/>
                <w:szCs w:val="21"/>
              </w:rPr>
              <w:t>）</w:t>
            </w:r>
          </w:p>
        </w:tc>
        <w:tc>
          <w:tcPr>
            <w:tcW w:w="1124" w:type="dxa"/>
            <w:vMerge w:val="restart"/>
          </w:tcPr>
          <w:p>
            <w:pPr>
              <w:pStyle w:val="25"/>
              <w:spacing w:before="138"/>
              <w:ind w:left="143"/>
              <w:rPr>
                <w:rFonts w:hint="eastAsia" w:ascii="宋体" w:hAnsi="宋体" w:eastAsia="宋体" w:cs="宋体"/>
                <w:sz w:val="21"/>
                <w:szCs w:val="21"/>
              </w:rPr>
            </w:pPr>
            <w:r>
              <w:rPr>
                <w:rFonts w:hint="eastAsia" w:ascii="宋体" w:hAnsi="宋体" w:eastAsia="宋体" w:cs="宋体"/>
                <w:spacing w:val="-2"/>
                <w:sz w:val="21"/>
                <w:szCs w:val="21"/>
              </w:rPr>
              <w:t>其他因素</w:t>
            </w:r>
          </w:p>
          <w:p>
            <w:pPr>
              <w:pStyle w:val="25"/>
              <w:spacing w:before="172"/>
              <w:ind w:left="143"/>
              <w:rPr>
                <w:rFonts w:hint="eastAsia" w:ascii="宋体" w:hAnsi="宋体" w:eastAsia="宋体" w:cs="宋体"/>
                <w:sz w:val="21"/>
                <w:szCs w:val="21"/>
                <w:lang w:val="en-US"/>
              </w:rPr>
            </w:pPr>
            <w:r>
              <w:rPr>
                <w:rFonts w:hint="eastAsia" w:ascii="宋体" w:hAnsi="宋体" w:eastAsia="宋体" w:cs="宋体"/>
                <w:spacing w:val="-2"/>
                <w:sz w:val="21"/>
                <w:szCs w:val="21"/>
              </w:rPr>
              <w:t>评分标准，满分</w:t>
            </w:r>
            <w:r>
              <w:rPr>
                <w:rFonts w:hint="eastAsia" w:ascii="宋体" w:hAnsi="宋体" w:eastAsia="宋体" w:cs="宋体"/>
                <w:spacing w:val="-2"/>
                <w:sz w:val="21"/>
                <w:szCs w:val="21"/>
                <w:lang w:val="en-US"/>
              </w:rPr>
              <w:t>14分</w:t>
            </w:r>
          </w:p>
        </w:tc>
        <w:tc>
          <w:tcPr>
            <w:tcW w:w="2476" w:type="dxa"/>
          </w:tcPr>
          <w:p>
            <w:pPr>
              <w:pStyle w:val="25"/>
              <w:ind w:left="589" w:right="574"/>
              <w:jc w:val="center"/>
              <w:rPr>
                <w:rFonts w:hint="eastAsia" w:ascii="宋体" w:hAnsi="宋体" w:eastAsia="宋体" w:cs="宋体"/>
                <w:b/>
                <w:sz w:val="21"/>
                <w:szCs w:val="21"/>
              </w:rPr>
            </w:pPr>
          </w:p>
          <w:p>
            <w:pPr>
              <w:pStyle w:val="25"/>
              <w:ind w:left="808" w:leftChars="285" w:right="574" w:hanging="210" w:hangingChars="100"/>
              <w:jc w:val="both"/>
              <w:rPr>
                <w:rFonts w:hint="eastAsia" w:ascii="宋体" w:hAnsi="宋体" w:eastAsia="宋体" w:cs="宋体"/>
                <w:sz w:val="21"/>
                <w:szCs w:val="21"/>
              </w:rPr>
            </w:pPr>
            <w:r>
              <w:rPr>
                <w:rFonts w:hint="eastAsia" w:ascii="宋体" w:hAnsi="宋体" w:eastAsia="宋体" w:cs="宋体"/>
                <w:bCs/>
                <w:sz w:val="21"/>
                <w:szCs w:val="21"/>
                <w:lang w:val="en-US"/>
              </w:rPr>
              <w:t>工程保修期</w:t>
            </w:r>
            <w:r>
              <w:rPr>
                <w:rFonts w:hint="eastAsia" w:ascii="宋体" w:hAnsi="宋体" w:eastAsia="宋体" w:cs="宋体"/>
                <w:bCs/>
                <w:sz w:val="21"/>
                <w:szCs w:val="21"/>
              </w:rPr>
              <w:t>（</w:t>
            </w:r>
            <w:r>
              <w:rPr>
                <w:rFonts w:hint="eastAsia" w:ascii="宋体" w:hAnsi="宋体" w:eastAsia="宋体" w:cs="宋体"/>
                <w:bCs/>
                <w:sz w:val="21"/>
                <w:szCs w:val="21"/>
                <w:lang w:val="en-US"/>
              </w:rPr>
              <w:t>4分</w:t>
            </w:r>
            <w:r>
              <w:rPr>
                <w:rFonts w:hint="eastAsia" w:ascii="宋体" w:hAnsi="宋体" w:eastAsia="宋体" w:cs="宋体"/>
                <w:bCs/>
                <w:sz w:val="21"/>
                <w:szCs w:val="21"/>
              </w:rPr>
              <w:t>）</w:t>
            </w:r>
          </w:p>
        </w:tc>
        <w:tc>
          <w:tcPr>
            <w:tcW w:w="4683" w:type="dxa"/>
          </w:tcPr>
          <w:p>
            <w:pPr>
              <w:spacing w:line="340" w:lineRule="exact"/>
              <w:rPr>
                <w:rFonts w:hint="eastAsia" w:ascii="宋体" w:hAnsi="宋体" w:eastAsia="宋体" w:cs="宋体"/>
                <w:sz w:val="21"/>
                <w:szCs w:val="21"/>
              </w:rPr>
            </w:pPr>
            <w:r>
              <w:rPr>
                <w:rFonts w:hint="eastAsia" w:ascii="宋体" w:hAnsi="宋体" w:eastAsia="宋体" w:cs="宋体"/>
                <w:sz w:val="21"/>
                <w:szCs w:val="21"/>
              </w:rPr>
              <w:t>满足招标文件规定的工程保修期（钢筋混凝土主体结构为50年，钢结构为15年；电气管线、设备安装及其他项目为2年）的，得2.4分。在此基础上，投标人承诺所有工程项目的工程保修期每延长1年加0.4分，最多加1.6分。</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2201" w:hRule="atLeast"/>
        </w:trPr>
        <w:tc>
          <w:tcPr>
            <w:tcW w:w="898" w:type="dxa"/>
            <w:vMerge w:val="continue"/>
          </w:tcPr>
          <w:p>
            <w:pPr>
              <w:rPr>
                <w:rFonts w:hint="eastAsia" w:ascii="宋体" w:hAnsi="宋体" w:eastAsia="宋体" w:cs="宋体"/>
                <w:sz w:val="21"/>
                <w:szCs w:val="21"/>
              </w:rPr>
            </w:pPr>
          </w:p>
        </w:tc>
        <w:tc>
          <w:tcPr>
            <w:tcW w:w="1124" w:type="dxa"/>
            <w:vMerge w:val="continue"/>
          </w:tcPr>
          <w:p>
            <w:pPr>
              <w:pStyle w:val="25"/>
              <w:spacing w:before="138"/>
              <w:ind w:left="354"/>
              <w:rPr>
                <w:rFonts w:hint="eastAsia" w:ascii="宋体" w:hAnsi="宋体" w:eastAsia="宋体" w:cs="宋体"/>
                <w:sz w:val="21"/>
                <w:szCs w:val="21"/>
              </w:rPr>
            </w:pPr>
          </w:p>
        </w:tc>
        <w:tc>
          <w:tcPr>
            <w:tcW w:w="2476" w:type="dxa"/>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管理机构人员业绩（</w:t>
            </w:r>
            <w:r>
              <w:rPr>
                <w:rFonts w:hint="eastAsia" w:ascii="宋体" w:hAnsi="宋体" w:eastAsia="宋体" w:cs="宋体"/>
                <w:sz w:val="21"/>
                <w:szCs w:val="21"/>
                <w:lang w:val="en-US"/>
              </w:rPr>
              <w:t>8分</w:t>
            </w:r>
            <w:r>
              <w:rPr>
                <w:rFonts w:hint="eastAsia" w:ascii="宋体" w:hAnsi="宋体" w:eastAsia="宋体" w:cs="宋体"/>
                <w:sz w:val="21"/>
                <w:szCs w:val="21"/>
              </w:rPr>
              <w:t>）</w:t>
            </w:r>
          </w:p>
          <w:p>
            <w:pPr>
              <w:spacing w:line="340" w:lineRule="exact"/>
              <w:jc w:val="center"/>
              <w:rPr>
                <w:rFonts w:hint="eastAsia" w:ascii="宋体" w:hAnsi="宋体" w:eastAsia="宋体" w:cs="宋体"/>
                <w:sz w:val="21"/>
                <w:szCs w:val="21"/>
              </w:rPr>
            </w:pPr>
          </w:p>
        </w:tc>
        <w:tc>
          <w:tcPr>
            <w:tcW w:w="4683" w:type="dxa"/>
          </w:tcPr>
          <w:p>
            <w:pPr>
              <w:spacing w:line="340" w:lineRule="exact"/>
              <w:rPr>
                <w:rFonts w:hint="eastAsia" w:ascii="宋体" w:hAnsi="宋体" w:eastAsia="宋体" w:cs="宋体"/>
                <w:sz w:val="21"/>
                <w:szCs w:val="21"/>
                <w:lang w:val="en-US"/>
              </w:rPr>
            </w:pPr>
            <w:r>
              <w:rPr>
                <w:rFonts w:hint="eastAsia" w:ascii="宋体" w:hAnsi="宋体" w:eastAsia="宋体" w:cs="宋体"/>
                <w:sz w:val="21"/>
                <w:szCs w:val="21"/>
              </w:rPr>
              <w:t>项目经理业绩满足最低条件得基础分</w:t>
            </w:r>
            <w:r>
              <w:rPr>
                <w:rFonts w:hint="eastAsia" w:ascii="宋体" w:hAnsi="宋体" w:eastAsia="宋体" w:cs="宋体"/>
                <w:sz w:val="21"/>
                <w:szCs w:val="21"/>
                <w:lang w:val="en-US"/>
              </w:rPr>
              <w:t>3分，每增加一项通信工程类项目经理任职业绩加1分，最多加2分，本项满分5分。</w:t>
            </w:r>
          </w:p>
          <w:p>
            <w:pPr>
              <w:spacing w:line="340" w:lineRule="exact"/>
              <w:rPr>
                <w:rFonts w:hint="eastAsia" w:ascii="宋体" w:hAnsi="宋体" w:eastAsia="宋体" w:cs="宋体"/>
                <w:sz w:val="21"/>
                <w:szCs w:val="21"/>
                <w:lang w:val="en-US"/>
              </w:rPr>
            </w:pPr>
            <w:r>
              <w:rPr>
                <w:rFonts w:hint="eastAsia" w:ascii="宋体" w:hAnsi="宋体" w:eastAsia="宋体" w:cs="宋体"/>
                <w:sz w:val="21"/>
                <w:szCs w:val="21"/>
                <w:lang w:val="en-US"/>
              </w:rPr>
              <w:t>项目总工业绩</w:t>
            </w:r>
            <w:r>
              <w:rPr>
                <w:rFonts w:hint="eastAsia" w:ascii="宋体" w:hAnsi="宋体" w:eastAsia="宋体" w:cs="宋体"/>
                <w:sz w:val="21"/>
                <w:szCs w:val="21"/>
              </w:rPr>
              <w:t>最低条件得基础分</w:t>
            </w:r>
            <w:r>
              <w:rPr>
                <w:rFonts w:hint="eastAsia" w:ascii="宋体" w:hAnsi="宋体" w:eastAsia="宋体" w:cs="宋体"/>
                <w:sz w:val="21"/>
                <w:szCs w:val="21"/>
                <w:lang w:val="en-US"/>
              </w:rPr>
              <w:t>1.8分，每增加一项通信工程类项目总工任职业绩加0.6分，最多加1.2分，本项满分3分。</w:t>
            </w:r>
          </w:p>
          <w:p>
            <w:pPr>
              <w:pStyle w:val="2"/>
              <w:rPr>
                <w:rFonts w:hint="eastAsia" w:ascii="宋体" w:hAnsi="宋体" w:eastAsia="宋体" w:cs="宋体"/>
                <w:sz w:val="21"/>
                <w:szCs w:val="21"/>
                <w:lang w:val="en-US"/>
              </w:rPr>
            </w:pPr>
            <w:r>
              <w:rPr>
                <w:rFonts w:hint="eastAsia" w:ascii="宋体" w:hAnsi="宋体" w:eastAsia="宋体" w:cs="宋体"/>
                <w:sz w:val="21"/>
                <w:szCs w:val="21"/>
                <w:lang w:val="en-US"/>
              </w:rPr>
              <w:t>提供合同协议书或其他有效证明材料复印件。</w:t>
            </w:r>
          </w:p>
        </w:tc>
      </w:tr>
      <w:tr>
        <w:tblPrEx>
          <w:tblBorders>
            <w:top w:val="single" w:color="000008" w:sz="4" w:space="0"/>
            <w:left w:val="single" w:color="000008" w:sz="4" w:space="0"/>
            <w:bottom w:val="single" w:color="000008" w:sz="4" w:space="0"/>
            <w:right w:val="single" w:color="000008" w:sz="4" w:space="0"/>
            <w:insideH w:val="single" w:color="000008" w:sz="4" w:space="0"/>
            <w:insideV w:val="single" w:color="000008" w:sz="4" w:space="0"/>
          </w:tblBorders>
          <w:tblCellMar>
            <w:top w:w="0" w:type="dxa"/>
            <w:left w:w="0" w:type="dxa"/>
            <w:bottom w:w="0" w:type="dxa"/>
            <w:right w:w="0" w:type="dxa"/>
          </w:tblCellMar>
        </w:tblPrEx>
        <w:trPr>
          <w:trHeight w:val="503" w:hRule="atLeast"/>
        </w:trPr>
        <w:tc>
          <w:tcPr>
            <w:tcW w:w="898" w:type="dxa"/>
            <w:vMerge w:val="continue"/>
          </w:tcPr>
          <w:p>
            <w:pPr>
              <w:rPr>
                <w:rFonts w:hint="eastAsia" w:ascii="宋体" w:hAnsi="宋体" w:eastAsia="宋体" w:cs="宋体"/>
                <w:sz w:val="21"/>
                <w:szCs w:val="21"/>
              </w:rPr>
            </w:pPr>
          </w:p>
        </w:tc>
        <w:tc>
          <w:tcPr>
            <w:tcW w:w="1124" w:type="dxa"/>
            <w:vMerge w:val="continue"/>
          </w:tcPr>
          <w:p>
            <w:pPr>
              <w:pStyle w:val="25"/>
              <w:spacing w:before="138"/>
              <w:ind w:left="354"/>
              <w:rPr>
                <w:rFonts w:hint="eastAsia" w:ascii="宋体" w:hAnsi="宋体" w:eastAsia="宋体" w:cs="宋体"/>
                <w:sz w:val="21"/>
                <w:szCs w:val="21"/>
              </w:rPr>
            </w:pPr>
          </w:p>
        </w:tc>
        <w:tc>
          <w:tcPr>
            <w:tcW w:w="2476" w:type="dxa"/>
          </w:tcPr>
          <w:p>
            <w:pPr>
              <w:widowControl/>
              <w:spacing w:line="340" w:lineRule="exact"/>
              <w:rPr>
                <w:rFonts w:hint="eastAsia" w:ascii="宋体" w:hAnsi="宋体" w:eastAsia="宋体" w:cs="宋体"/>
                <w:sz w:val="21"/>
                <w:szCs w:val="21"/>
                <w:lang w:val="en-US"/>
              </w:rPr>
            </w:pPr>
          </w:p>
          <w:p>
            <w:pPr>
              <w:widowControl/>
              <w:spacing w:line="34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企业获奖（2分）</w:t>
            </w:r>
          </w:p>
          <w:p>
            <w:pPr>
              <w:widowControl/>
              <w:spacing w:line="340" w:lineRule="exact"/>
              <w:rPr>
                <w:rFonts w:hint="eastAsia" w:ascii="宋体" w:hAnsi="宋体" w:eastAsia="宋体" w:cs="宋体"/>
                <w:sz w:val="21"/>
                <w:szCs w:val="21"/>
                <w:lang w:val="en-US"/>
              </w:rPr>
            </w:pPr>
          </w:p>
        </w:tc>
        <w:tc>
          <w:tcPr>
            <w:tcW w:w="4683" w:type="dxa"/>
          </w:tcPr>
          <w:p>
            <w:pPr>
              <w:widowControl/>
              <w:spacing w:line="340" w:lineRule="exact"/>
              <w:rPr>
                <w:rFonts w:hint="eastAsia" w:ascii="宋体" w:hAnsi="宋体" w:eastAsia="宋体" w:cs="宋体"/>
                <w:sz w:val="21"/>
                <w:szCs w:val="21"/>
                <w:lang w:val="en-US"/>
              </w:rPr>
            </w:pPr>
            <w:r>
              <w:rPr>
                <w:rFonts w:hint="eastAsia" w:ascii="宋体" w:hAnsi="宋体" w:eastAsia="宋体" w:cs="宋体"/>
                <w:sz w:val="21"/>
                <w:szCs w:val="21"/>
                <w:lang w:val="en-US"/>
              </w:rPr>
              <w:t>承担施工任务的单位自2017年1月1日至今获得过由中国施工企业管理协会颁发的奖项，每有一项得1分，最高得1分。</w:t>
            </w:r>
          </w:p>
          <w:p>
            <w:pPr>
              <w:widowControl/>
              <w:spacing w:line="340" w:lineRule="exact"/>
              <w:rPr>
                <w:rFonts w:hint="eastAsia" w:ascii="宋体" w:hAnsi="宋体" w:eastAsia="宋体" w:cs="宋体"/>
                <w:sz w:val="21"/>
                <w:szCs w:val="21"/>
                <w:lang w:val="en-US"/>
              </w:rPr>
            </w:pPr>
            <w:r>
              <w:rPr>
                <w:rFonts w:hint="eastAsia" w:ascii="宋体" w:hAnsi="宋体" w:eastAsia="宋体" w:cs="宋体"/>
                <w:sz w:val="21"/>
                <w:szCs w:val="21"/>
                <w:lang w:val="en-US"/>
              </w:rPr>
              <w:t>承担设计任务的单位自2017年1月1日至今获得过由中国施工企业管理协会颁发的奖项，每有一项得1分，最高得1分。</w:t>
            </w:r>
          </w:p>
          <w:p>
            <w:pPr>
              <w:widowControl/>
              <w:spacing w:line="340" w:lineRule="exact"/>
              <w:rPr>
                <w:rFonts w:hint="eastAsia" w:ascii="宋体" w:hAnsi="宋体" w:eastAsia="宋体" w:cs="宋体"/>
                <w:sz w:val="21"/>
                <w:szCs w:val="21"/>
                <w:lang w:val="en-US"/>
              </w:rPr>
            </w:pPr>
            <w:r>
              <w:rPr>
                <w:rFonts w:hint="eastAsia" w:ascii="宋体" w:hAnsi="宋体" w:eastAsia="宋体" w:cs="宋体"/>
                <w:sz w:val="21"/>
                <w:szCs w:val="21"/>
                <w:lang w:val="en-US"/>
              </w:rPr>
              <w:t>注：需提供获奖证书复印件或评选机构正式下发的获奖通知文件复印件</w:t>
            </w:r>
          </w:p>
        </w:tc>
      </w:tr>
    </w:tbl>
    <w:p>
      <w:pPr>
        <w:pStyle w:val="24"/>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1.评标方法</w:t>
      </w:r>
    </w:p>
    <w:p>
      <w:pPr>
        <w:pStyle w:val="2"/>
        <w:pageBreakBefore w:val="0"/>
        <w:kinsoku/>
        <w:wordWrap/>
        <w:overflowPunct/>
        <w:topLinePunct w:val="0"/>
        <w:bidi w:val="0"/>
        <w:spacing w:line="240" w:lineRule="auto"/>
        <w:ind w:left="232" w:right="232" w:firstLine="417"/>
        <w:jc w:val="both"/>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pPr>
        <w:pStyle w:val="6"/>
        <w:pageBreakBefore w:val="0"/>
        <w:numPr>
          <w:ilvl w:val="0"/>
          <w:numId w:val="0"/>
        </w:numPr>
        <w:tabs>
          <w:tab w:val="left" w:pos="660"/>
        </w:tabs>
        <w:kinsoku/>
        <w:wordWrap/>
        <w:overflowPunct/>
        <w:topLinePunct w:val="0"/>
        <w:bidi w:val="0"/>
        <w:spacing w:before="149" w:line="240" w:lineRule="auto"/>
        <w:ind w:left="232" w:leftChars="0"/>
        <w:textAlignment w:val="auto"/>
        <w:rPr>
          <w:rFonts w:hint="eastAsia" w:ascii="宋体" w:hAnsi="宋体" w:eastAsia="宋体" w:cs="宋体"/>
          <w:b w:val="0"/>
          <w:bCs/>
          <w:kern w:val="44"/>
          <w:sz w:val="21"/>
          <w:szCs w:val="21"/>
          <w:lang w:val="en-US" w:eastAsia="zh-CN" w:bidi="ar-SA"/>
        </w:rPr>
      </w:pPr>
      <w:bookmarkStart w:id="32" w:name="2.评审标准"/>
      <w:bookmarkEnd w:id="32"/>
      <w:bookmarkStart w:id="33" w:name="_bookmark84"/>
      <w:bookmarkEnd w:id="33"/>
      <w:bookmarkStart w:id="34" w:name="_Toc16856"/>
      <w:bookmarkStart w:id="35" w:name="_Toc27349"/>
      <w:bookmarkStart w:id="36" w:name="_Toc24040"/>
      <w:r>
        <w:rPr>
          <w:rFonts w:hint="eastAsia" w:ascii="宋体" w:hAnsi="宋体" w:eastAsia="宋体" w:cs="宋体"/>
          <w:b w:val="0"/>
          <w:bCs/>
          <w:kern w:val="44"/>
          <w:sz w:val="21"/>
          <w:szCs w:val="21"/>
          <w:lang w:val="en-US" w:eastAsia="zh-CN" w:bidi="ar-SA"/>
        </w:rPr>
        <w:t>2.评审标准</w:t>
      </w:r>
      <w:bookmarkEnd w:id="34"/>
      <w:bookmarkEnd w:id="35"/>
      <w:bookmarkEnd w:id="36"/>
    </w:p>
    <w:p>
      <w:pPr>
        <w:pStyle w:val="7"/>
        <w:pageBreakBefore w:val="0"/>
        <w:numPr>
          <w:ilvl w:val="0"/>
          <w:numId w:val="0"/>
        </w:numPr>
        <w:tabs>
          <w:tab w:val="left" w:pos="857"/>
        </w:tabs>
        <w:kinsoku/>
        <w:wordWrap/>
        <w:overflowPunct/>
        <w:topLinePunct w:val="0"/>
        <w:bidi w:val="0"/>
        <w:spacing w:line="240" w:lineRule="auto"/>
        <w:ind w:left="366" w:leftChars="0"/>
        <w:textAlignment w:val="auto"/>
        <w:rPr>
          <w:rFonts w:hint="eastAsia" w:ascii="宋体" w:hAnsi="宋体" w:eastAsia="宋体" w:cs="宋体"/>
          <w:b w:val="0"/>
          <w:bCs/>
          <w:kern w:val="44"/>
          <w:sz w:val="21"/>
          <w:szCs w:val="21"/>
          <w:lang w:val="en-US" w:eastAsia="zh-CN" w:bidi="ar-SA"/>
        </w:rPr>
      </w:pPr>
      <w:bookmarkStart w:id="37" w:name="2.1初步评审标准"/>
      <w:bookmarkEnd w:id="37"/>
      <w:bookmarkStart w:id="38" w:name="_bookmark85"/>
      <w:bookmarkEnd w:id="38"/>
      <w:r>
        <w:rPr>
          <w:rFonts w:hint="eastAsia" w:ascii="宋体" w:hAnsi="宋体" w:eastAsia="宋体" w:cs="宋体"/>
          <w:b w:val="0"/>
          <w:bCs/>
          <w:kern w:val="44"/>
          <w:sz w:val="21"/>
          <w:szCs w:val="21"/>
          <w:lang w:val="en-US" w:eastAsia="zh-CN" w:bidi="ar-SA"/>
        </w:rPr>
        <w:t>2.1初步评审标准</w:t>
      </w:r>
    </w:p>
    <w:p>
      <w:pPr>
        <w:pStyle w:val="24"/>
        <w:pageBreakBefore w:val="0"/>
        <w:numPr>
          <w:ilvl w:val="0"/>
          <w:numId w:val="0"/>
        </w:numPr>
        <w:tabs>
          <w:tab w:val="left" w:pos="1179"/>
        </w:tabs>
        <w:kinsoku/>
        <w:wordWrap/>
        <w:overflowPunct/>
        <w:topLinePunct w:val="0"/>
        <w:bidi w:val="0"/>
        <w:spacing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2.1.1形式评审标准：见评标办法前附表。</w:t>
      </w:r>
    </w:p>
    <w:p>
      <w:pPr>
        <w:pStyle w:val="24"/>
        <w:pageBreakBefore w:val="0"/>
        <w:numPr>
          <w:ilvl w:val="0"/>
          <w:numId w:val="0"/>
        </w:numPr>
        <w:tabs>
          <w:tab w:val="left" w:pos="1179"/>
        </w:tabs>
        <w:kinsoku/>
        <w:wordWrap/>
        <w:overflowPunct/>
        <w:topLinePunct w:val="0"/>
        <w:bidi w:val="0"/>
        <w:spacing w:before="134"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2.1.2资格评审标准：见评标办法前附表。</w:t>
      </w:r>
    </w:p>
    <w:p>
      <w:pPr>
        <w:pStyle w:val="24"/>
        <w:pageBreakBefore w:val="0"/>
        <w:numPr>
          <w:ilvl w:val="0"/>
          <w:numId w:val="0"/>
        </w:numPr>
        <w:tabs>
          <w:tab w:val="left" w:pos="1179"/>
        </w:tabs>
        <w:kinsoku/>
        <w:wordWrap/>
        <w:overflowPunct/>
        <w:topLinePunct w:val="0"/>
        <w:bidi w:val="0"/>
        <w:spacing w:before="130"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2.1.3响应性评审标准：见评标办法前附表。</w:t>
      </w:r>
    </w:p>
    <w:p>
      <w:pPr>
        <w:pStyle w:val="7"/>
        <w:pageBreakBefore w:val="0"/>
        <w:numPr>
          <w:ilvl w:val="0"/>
          <w:numId w:val="0"/>
        </w:numPr>
        <w:tabs>
          <w:tab w:val="left" w:pos="857"/>
        </w:tabs>
        <w:kinsoku/>
        <w:wordWrap/>
        <w:overflowPunct/>
        <w:topLinePunct w:val="0"/>
        <w:bidi w:val="0"/>
        <w:spacing w:line="240" w:lineRule="auto"/>
        <w:ind w:left="366" w:leftChars="0"/>
        <w:textAlignment w:val="auto"/>
        <w:rPr>
          <w:rFonts w:hint="eastAsia" w:ascii="宋体" w:hAnsi="宋体" w:eastAsia="宋体" w:cs="宋体"/>
          <w:b w:val="0"/>
          <w:bCs/>
          <w:kern w:val="44"/>
          <w:sz w:val="21"/>
          <w:szCs w:val="21"/>
          <w:lang w:val="en-US" w:eastAsia="zh-CN" w:bidi="ar-SA"/>
        </w:rPr>
      </w:pPr>
      <w:bookmarkStart w:id="39" w:name="2.2分值构成与评分标准"/>
      <w:bookmarkEnd w:id="39"/>
      <w:bookmarkStart w:id="40" w:name="_bookmark86"/>
      <w:bookmarkEnd w:id="40"/>
      <w:r>
        <w:rPr>
          <w:rFonts w:hint="eastAsia" w:ascii="宋体" w:hAnsi="宋体" w:eastAsia="宋体" w:cs="宋体"/>
          <w:b w:val="0"/>
          <w:bCs/>
          <w:kern w:val="44"/>
          <w:sz w:val="21"/>
          <w:szCs w:val="21"/>
          <w:lang w:val="en-US" w:eastAsia="zh-CN" w:bidi="ar-SA"/>
        </w:rPr>
        <w:t>2.2分值构成与评分标准</w:t>
      </w:r>
    </w:p>
    <w:p>
      <w:pPr>
        <w:pStyle w:val="24"/>
        <w:pageBreakBefore w:val="0"/>
        <w:numPr>
          <w:ilvl w:val="0"/>
          <w:numId w:val="0"/>
        </w:numPr>
        <w:tabs>
          <w:tab w:val="left" w:pos="1179"/>
        </w:tabs>
        <w:kinsoku/>
        <w:wordWrap/>
        <w:overflowPunct/>
        <w:topLinePunct w:val="0"/>
        <w:bidi w:val="0"/>
        <w:spacing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2.2.1分值构成</w:t>
      </w:r>
    </w:p>
    <w:p>
      <w:pPr>
        <w:pStyle w:val="24"/>
        <w:pageBreakBefore w:val="0"/>
        <w:numPr>
          <w:ilvl w:val="0"/>
          <w:numId w:val="3"/>
        </w:numPr>
        <w:tabs>
          <w:tab w:val="left" w:pos="1180"/>
        </w:tabs>
        <w:kinsoku/>
        <w:wordWrap/>
        <w:overflowPunct/>
        <w:topLinePunct w:val="0"/>
        <w:bidi w:val="0"/>
        <w:spacing w:before="130"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资信业绩部分：见评标办法前附表；</w:t>
      </w:r>
    </w:p>
    <w:p>
      <w:pPr>
        <w:pStyle w:val="24"/>
        <w:pageBreakBefore w:val="0"/>
        <w:numPr>
          <w:ilvl w:val="0"/>
          <w:numId w:val="3"/>
        </w:numPr>
        <w:tabs>
          <w:tab w:val="left" w:pos="1180"/>
        </w:tabs>
        <w:kinsoku/>
        <w:wordWrap/>
        <w:overflowPunct/>
        <w:topLinePunct w:val="0"/>
        <w:bidi w:val="0"/>
        <w:spacing w:before="134"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承包人实施方案：见评标办法前附表；</w:t>
      </w:r>
    </w:p>
    <w:p>
      <w:pPr>
        <w:pStyle w:val="24"/>
        <w:pageBreakBefore w:val="0"/>
        <w:numPr>
          <w:ilvl w:val="0"/>
          <w:numId w:val="3"/>
        </w:numPr>
        <w:tabs>
          <w:tab w:val="left" w:pos="1180"/>
        </w:tabs>
        <w:kinsoku/>
        <w:wordWrap/>
        <w:overflowPunct/>
        <w:topLinePunct w:val="0"/>
        <w:bidi w:val="0"/>
        <w:spacing w:before="129"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投标报价：见评标办法前附表；</w:t>
      </w:r>
    </w:p>
    <w:p>
      <w:pPr>
        <w:pStyle w:val="24"/>
        <w:pageBreakBefore w:val="0"/>
        <w:numPr>
          <w:ilvl w:val="0"/>
          <w:numId w:val="3"/>
        </w:numPr>
        <w:tabs>
          <w:tab w:val="left" w:pos="1180"/>
        </w:tabs>
        <w:kinsoku/>
        <w:wordWrap/>
        <w:overflowPunct/>
        <w:topLinePunct w:val="0"/>
        <w:bidi w:val="0"/>
        <w:spacing w:before="129"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其他评分因素：见评标办法前附表。</w:t>
      </w:r>
    </w:p>
    <w:p>
      <w:pPr>
        <w:pStyle w:val="24"/>
        <w:pageBreakBefore w:val="0"/>
        <w:numPr>
          <w:ilvl w:val="0"/>
          <w:numId w:val="0"/>
        </w:numPr>
        <w:tabs>
          <w:tab w:val="left" w:pos="1179"/>
        </w:tabs>
        <w:kinsoku/>
        <w:wordWrap/>
        <w:overflowPunct/>
        <w:topLinePunct w:val="0"/>
        <w:bidi w:val="0"/>
        <w:spacing w:before="135"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2.2.2评标基准价计算</w:t>
      </w:r>
    </w:p>
    <w:p>
      <w:pPr>
        <w:pStyle w:val="2"/>
        <w:pageBreakBefore w:val="0"/>
        <w:kinsoku/>
        <w:wordWrap/>
        <w:overflowPunct/>
        <w:topLinePunct w:val="0"/>
        <w:bidi w:val="0"/>
        <w:spacing w:before="129" w:line="240" w:lineRule="auto"/>
        <w:ind w:left="65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评标基准价计算方法：见评标办法前附表。</w:t>
      </w:r>
    </w:p>
    <w:p>
      <w:pPr>
        <w:pStyle w:val="24"/>
        <w:pageBreakBefore w:val="0"/>
        <w:numPr>
          <w:ilvl w:val="0"/>
          <w:numId w:val="0"/>
        </w:numPr>
        <w:tabs>
          <w:tab w:val="left" w:pos="1179"/>
        </w:tabs>
        <w:kinsoku/>
        <w:wordWrap/>
        <w:overflowPunct/>
        <w:topLinePunct w:val="0"/>
        <w:bidi w:val="0"/>
        <w:spacing w:before="129"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2.2.3投标报价的偏差率计算</w:t>
      </w:r>
    </w:p>
    <w:p>
      <w:pPr>
        <w:pStyle w:val="2"/>
        <w:pageBreakBefore w:val="0"/>
        <w:kinsoku/>
        <w:wordWrap/>
        <w:overflowPunct/>
        <w:topLinePunct w:val="0"/>
        <w:bidi w:val="0"/>
        <w:spacing w:before="134" w:line="240" w:lineRule="auto"/>
        <w:ind w:left="65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投标报价的偏差率计算公式：见评标办法前附表。</w:t>
      </w:r>
    </w:p>
    <w:p>
      <w:pPr>
        <w:pStyle w:val="24"/>
        <w:pageBreakBefore w:val="0"/>
        <w:numPr>
          <w:ilvl w:val="0"/>
          <w:numId w:val="0"/>
        </w:numPr>
        <w:tabs>
          <w:tab w:val="left" w:pos="1179"/>
        </w:tabs>
        <w:kinsoku/>
        <w:wordWrap/>
        <w:overflowPunct/>
        <w:topLinePunct w:val="0"/>
        <w:bidi w:val="0"/>
        <w:spacing w:before="130"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2.2.4评分标准</w:t>
      </w:r>
    </w:p>
    <w:p>
      <w:pPr>
        <w:pStyle w:val="24"/>
        <w:pageBreakBefore w:val="0"/>
        <w:numPr>
          <w:ilvl w:val="0"/>
          <w:numId w:val="4"/>
        </w:numPr>
        <w:tabs>
          <w:tab w:val="left" w:pos="1180"/>
        </w:tabs>
        <w:kinsoku/>
        <w:wordWrap/>
        <w:overflowPunct/>
        <w:topLinePunct w:val="0"/>
        <w:bidi w:val="0"/>
        <w:spacing w:before="134"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资信业绩评分标准：见评标办法前附表；</w:t>
      </w:r>
    </w:p>
    <w:p>
      <w:pPr>
        <w:pStyle w:val="24"/>
        <w:pageBreakBefore w:val="0"/>
        <w:numPr>
          <w:ilvl w:val="0"/>
          <w:numId w:val="4"/>
        </w:numPr>
        <w:tabs>
          <w:tab w:val="left" w:pos="1180"/>
        </w:tabs>
        <w:kinsoku/>
        <w:wordWrap/>
        <w:overflowPunct/>
        <w:topLinePunct w:val="0"/>
        <w:bidi w:val="0"/>
        <w:spacing w:before="129"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承包人实施方案评分标准：见评标办法前附表；</w:t>
      </w:r>
    </w:p>
    <w:p>
      <w:pPr>
        <w:pStyle w:val="24"/>
        <w:pageBreakBefore w:val="0"/>
        <w:numPr>
          <w:ilvl w:val="0"/>
          <w:numId w:val="4"/>
        </w:numPr>
        <w:tabs>
          <w:tab w:val="left" w:pos="1180"/>
        </w:tabs>
        <w:kinsoku/>
        <w:wordWrap/>
        <w:overflowPunct/>
        <w:topLinePunct w:val="0"/>
        <w:bidi w:val="0"/>
        <w:spacing w:before="130"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投标报价评分标准：见评标办法前附表；</w:t>
      </w:r>
    </w:p>
    <w:p>
      <w:pPr>
        <w:pStyle w:val="24"/>
        <w:pageBreakBefore w:val="0"/>
        <w:numPr>
          <w:ilvl w:val="0"/>
          <w:numId w:val="4"/>
        </w:numPr>
        <w:tabs>
          <w:tab w:val="left" w:pos="1180"/>
        </w:tabs>
        <w:kinsoku/>
        <w:wordWrap/>
        <w:overflowPunct/>
        <w:topLinePunct w:val="0"/>
        <w:bidi w:val="0"/>
        <w:spacing w:before="49"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其他因素评分标准：见评标办法前附表。</w:t>
      </w:r>
    </w:p>
    <w:p>
      <w:pPr>
        <w:pStyle w:val="6"/>
        <w:pageBreakBefore w:val="0"/>
        <w:numPr>
          <w:ilvl w:val="0"/>
          <w:numId w:val="0"/>
        </w:numPr>
        <w:tabs>
          <w:tab w:val="left" w:pos="660"/>
        </w:tabs>
        <w:kinsoku/>
        <w:wordWrap/>
        <w:overflowPunct/>
        <w:topLinePunct w:val="0"/>
        <w:bidi w:val="0"/>
        <w:spacing w:line="240" w:lineRule="auto"/>
        <w:ind w:left="232" w:leftChars="0"/>
        <w:textAlignment w:val="auto"/>
        <w:rPr>
          <w:rFonts w:hint="eastAsia" w:ascii="宋体" w:hAnsi="宋体" w:eastAsia="宋体" w:cs="宋体"/>
          <w:b w:val="0"/>
          <w:bCs/>
          <w:kern w:val="44"/>
          <w:sz w:val="21"/>
          <w:szCs w:val="21"/>
          <w:lang w:val="en-US" w:eastAsia="zh-CN" w:bidi="ar-SA"/>
        </w:rPr>
      </w:pPr>
      <w:bookmarkStart w:id="41" w:name="3.评标程序"/>
      <w:bookmarkEnd w:id="41"/>
      <w:bookmarkStart w:id="42" w:name="_bookmark87"/>
      <w:bookmarkEnd w:id="42"/>
      <w:bookmarkStart w:id="43" w:name="_Toc1205"/>
      <w:bookmarkStart w:id="44" w:name="_Toc24874"/>
      <w:bookmarkStart w:id="45" w:name="_Toc24753"/>
      <w:r>
        <w:rPr>
          <w:rFonts w:hint="eastAsia" w:ascii="宋体" w:hAnsi="宋体" w:eastAsia="宋体" w:cs="宋体"/>
          <w:b w:val="0"/>
          <w:bCs/>
          <w:kern w:val="44"/>
          <w:sz w:val="21"/>
          <w:szCs w:val="21"/>
          <w:lang w:val="en-US" w:eastAsia="zh-CN" w:bidi="ar-SA"/>
        </w:rPr>
        <w:t>3.评标程序</w:t>
      </w:r>
      <w:bookmarkEnd w:id="43"/>
      <w:bookmarkEnd w:id="44"/>
      <w:bookmarkEnd w:id="45"/>
    </w:p>
    <w:p>
      <w:pPr>
        <w:pStyle w:val="7"/>
        <w:pageBreakBefore w:val="0"/>
        <w:numPr>
          <w:ilvl w:val="0"/>
          <w:numId w:val="0"/>
        </w:numPr>
        <w:tabs>
          <w:tab w:val="left" w:pos="857"/>
        </w:tabs>
        <w:kinsoku/>
        <w:wordWrap/>
        <w:overflowPunct/>
        <w:topLinePunct w:val="0"/>
        <w:bidi w:val="0"/>
        <w:spacing w:before="1" w:line="240" w:lineRule="auto"/>
        <w:ind w:left="366" w:leftChars="0"/>
        <w:textAlignment w:val="auto"/>
        <w:rPr>
          <w:rFonts w:hint="eastAsia" w:ascii="宋体" w:hAnsi="宋体" w:eastAsia="宋体" w:cs="宋体"/>
          <w:b w:val="0"/>
          <w:bCs/>
          <w:kern w:val="44"/>
          <w:sz w:val="21"/>
          <w:szCs w:val="21"/>
          <w:lang w:val="en-US" w:eastAsia="zh-CN" w:bidi="ar-SA"/>
        </w:rPr>
      </w:pPr>
      <w:bookmarkStart w:id="46" w:name="3.1初步评审"/>
      <w:bookmarkEnd w:id="46"/>
      <w:bookmarkStart w:id="47" w:name="_bookmark88"/>
      <w:bookmarkEnd w:id="47"/>
      <w:r>
        <w:rPr>
          <w:rFonts w:hint="eastAsia" w:ascii="宋体" w:hAnsi="宋体" w:eastAsia="宋体" w:cs="宋体"/>
          <w:b w:val="0"/>
          <w:bCs/>
          <w:kern w:val="44"/>
          <w:sz w:val="21"/>
          <w:szCs w:val="21"/>
          <w:lang w:val="en-US" w:eastAsia="zh-CN" w:bidi="ar-SA"/>
        </w:rPr>
        <w:t>3.1初步评审</w:t>
      </w:r>
    </w:p>
    <w:p>
      <w:pPr>
        <w:pStyle w:val="24"/>
        <w:pageBreakBefore w:val="0"/>
        <w:numPr>
          <w:ilvl w:val="0"/>
          <w:numId w:val="0"/>
        </w:numPr>
        <w:tabs>
          <w:tab w:val="left" w:pos="1179"/>
        </w:tabs>
        <w:kinsoku/>
        <w:wordWrap/>
        <w:overflowPunct/>
        <w:topLinePunct w:val="0"/>
        <w:bidi w:val="0"/>
        <w:spacing w:line="240" w:lineRule="auto"/>
        <w:ind w:right="242" w:rightChars="0" w:firstLine="630" w:firstLineChars="300"/>
        <w:jc w:val="both"/>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3.1.1评标委员会可以要求投标人提交第二章“投标人须知”第 3.5.1 项至第 3.5.5 项规定的有关证明和证件的原件，以便核验。评标委员会依据本章第 2.1 款规定的标准对投标文件进行初步评审。有一项不符合评审标准的，评标委员会应当否决其投标。</w:t>
      </w:r>
    </w:p>
    <w:p>
      <w:pPr>
        <w:pStyle w:val="24"/>
        <w:pageBreakBefore w:val="0"/>
        <w:tabs>
          <w:tab w:val="left" w:pos="1179"/>
        </w:tabs>
        <w:kinsoku/>
        <w:wordWrap/>
        <w:overflowPunct/>
        <w:topLinePunct w:val="0"/>
        <w:bidi w:val="0"/>
        <w:spacing w:before="5" w:line="240" w:lineRule="auto"/>
        <w:ind w:left="649" w:firstLine="0"/>
        <w:jc w:val="both"/>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3.1.2投标人有以下情形之一的，评标委员会应当否决其投标：</w:t>
      </w:r>
    </w:p>
    <w:p>
      <w:pPr>
        <w:pStyle w:val="24"/>
        <w:pageBreakBefore w:val="0"/>
        <w:numPr>
          <w:ilvl w:val="0"/>
          <w:numId w:val="5"/>
        </w:numPr>
        <w:tabs>
          <w:tab w:val="left" w:pos="1180"/>
        </w:tabs>
        <w:kinsoku/>
        <w:wordWrap/>
        <w:overflowPunct/>
        <w:topLinePunct w:val="0"/>
        <w:bidi w:val="0"/>
        <w:spacing w:before="129"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第二章“投标人须知”第 1.4.3 项、第 1.4.4 项规定的任何一种情形的；</w:t>
      </w:r>
    </w:p>
    <w:p>
      <w:pPr>
        <w:pStyle w:val="24"/>
        <w:pageBreakBefore w:val="0"/>
        <w:numPr>
          <w:ilvl w:val="0"/>
          <w:numId w:val="5"/>
        </w:numPr>
        <w:tabs>
          <w:tab w:val="left" w:pos="1180"/>
        </w:tabs>
        <w:kinsoku/>
        <w:wordWrap/>
        <w:overflowPunct/>
        <w:topLinePunct w:val="0"/>
        <w:bidi w:val="0"/>
        <w:spacing w:before="130"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串通投标或弄虚作假或有其他违法行为的；</w:t>
      </w:r>
    </w:p>
    <w:p>
      <w:pPr>
        <w:pStyle w:val="24"/>
        <w:pageBreakBefore w:val="0"/>
        <w:numPr>
          <w:ilvl w:val="0"/>
          <w:numId w:val="5"/>
        </w:numPr>
        <w:tabs>
          <w:tab w:val="left" w:pos="1180"/>
        </w:tabs>
        <w:kinsoku/>
        <w:wordWrap/>
        <w:overflowPunct/>
        <w:topLinePunct w:val="0"/>
        <w:bidi w:val="0"/>
        <w:spacing w:before="134"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不按评标委员会要求澄清、说明或补正的。</w:t>
      </w:r>
    </w:p>
    <w:p>
      <w:pPr>
        <w:pStyle w:val="24"/>
        <w:pageBreakBefore w:val="0"/>
        <w:tabs>
          <w:tab w:val="left" w:pos="1179"/>
        </w:tabs>
        <w:kinsoku/>
        <w:wordWrap/>
        <w:overflowPunct/>
        <w:topLinePunct w:val="0"/>
        <w:bidi w:val="0"/>
        <w:spacing w:before="129" w:line="240" w:lineRule="auto"/>
        <w:ind w:right="237"/>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3.1.3投标报价有算术错误的，评标委员会按以下原则对投标报价进行修正，修正的价格经投标人书面确认后具有约束力。投标人不接受修正价格的，评标委员会应当否决其投标。</w:t>
      </w:r>
    </w:p>
    <w:p>
      <w:pPr>
        <w:pStyle w:val="24"/>
        <w:pageBreakBefore w:val="0"/>
        <w:numPr>
          <w:ilvl w:val="0"/>
          <w:numId w:val="6"/>
        </w:numPr>
        <w:tabs>
          <w:tab w:val="left" w:pos="1180"/>
        </w:tabs>
        <w:kinsoku/>
        <w:wordWrap/>
        <w:overflowPunct/>
        <w:topLinePunct w:val="0"/>
        <w:bidi w:val="0"/>
        <w:spacing w:before="5"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投标文件中的大写金额与小写金额不一致的，以大写金额为准；</w:t>
      </w:r>
    </w:p>
    <w:p>
      <w:pPr>
        <w:pStyle w:val="24"/>
        <w:pageBreakBefore w:val="0"/>
        <w:numPr>
          <w:ilvl w:val="0"/>
          <w:numId w:val="6"/>
        </w:numPr>
        <w:tabs>
          <w:tab w:val="left" w:pos="1180"/>
        </w:tabs>
        <w:kinsoku/>
        <w:wordWrap/>
        <w:overflowPunct/>
        <w:topLinePunct w:val="0"/>
        <w:bidi w:val="0"/>
        <w:spacing w:before="130" w:line="240" w:lineRule="auto"/>
        <w:ind w:left="232" w:right="266" w:firstLine="417"/>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总价金额与依据单价计算出的结果不一致的，以单价金额为准修正总价，但单价金额小数点有明显错误的除外。</w:t>
      </w:r>
    </w:p>
    <w:p>
      <w:pPr>
        <w:pStyle w:val="7"/>
        <w:pageBreakBefore w:val="0"/>
        <w:numPr>
          <w:ilvl w:val="0"/>
          <w:numId w:val="0"/>
        </w:numPr>
        <w:tabs>
          <w:tab w:val="left" w:pos="857"/>
        </w:tabs>
        <w:kinsoku/>
        <w:wordWrap/>
        <w:overflowPunct/>
        <w:topLinePunct w:val="0"/>
        <w:bidi w:val="0"/>
        <w:spacing w:line="240" w:lineRule="auto"/>
        <w:ind w:left="366" w:leftChars="0"/>
        <w:textAlignment w:val="auto"/>
        <w:rPr>
          <w:rFonts w:hint="eastAsia" w:ascii="宋体" w:hAnsi="宋体" w:eastAsia="宋体" w:cs="宋体"/>
          <w:b w:val="0"/>
          <w:bCs/>
          <w:kern w:val="44"/>
          <w:sz w:val="21"/>
          <w:szCs w:val="21"/>
          <w:lang w:val="en-US" w:eastAsia="zh-CN" w:bidi="ar-SA"/>
        </w:rPr>
      </w:pPr>
      <w:bookmarkStart w:id="48" w:name="3.2详细评审"/>
      <w:bookmarkEnd w:id="48"/>
      <w:bookmarkStart w:id="49" w:name="_bookmark89"/>
      <w:bookmarkEnd w:id="49"/>
      <w:r>
        <w:rPr>
          <w:rFonts w:hint="eastAsia" w:ascii="宋体" w:hAnsi="宋体" w:eastAsia="宋体" w:cs="宋体"/>
          <w:b w:val="0"/>
          <w:bCs/>
          <w:kern w:val="44"/>
          <w:sz w:val="21"/>
          <w:szCs w:val="21"/>
          <w:lang w:val="en-US" w:eastAsia="zh-CN" w:bidi="ar-SA"/>
        </w:rPr>
        <w:t>3.2详细评审</w:t>
      </w:r>
    </w:p>
    <w:p>
      <w:pPr>
        <w:pStyle w:val="24"/>
        <w:pageBreakBefore w:val="0"/>
        <w:numPr>
          <w:ilvl w:val="0"/>
          <w:numId w:val="0"/>
        </w:numPr>
        <w:tabs>
          <w:tab w:val="left" w:pos="1179"/>
        </w:tabs>
        <w:kinsoku/>
        <w:wordWrap/>
        <w:overflowPunct/>
        <w:topLinePunct w:val="0"/>
        <w:bidi w:val="0"/>
        <w:spacing w:line="240" w:lineRule="auto"/>
        <w:ind w:left="210" w:leftChars="100" w:right="232" w:rightChars="0" w:firstLine="420" w:firstLineChars="20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3.2.1评标委员会按本章第 2.2 款规定的量化因素和分值进行打分，并计算出综合评估得分。评标办法前附表对承包人建议书中的设计文件评审有特殊规定的，从其规定。</w:t>
      </w:r>
    </w:p>
    <w:p>
      <w:pPr>
        <w:pStyle w:val="24"/>
        <w:pageBreakBefore w:val="0"/>
        <w:numPr>
          <w:ilvl w:val="0"/>
          <w:numId w:val="7"/>
        </w:numPr>
        <w:tabs>
          <w:tab w:val="left" w:pos="1180"/>
        </w:tabs>
        <w:kinsoku/>
        <w:wordWrap/>
        <w:overflowPunct/>
        <w:topLinePunct w:val="0"/>
        <w:bidi w:val="0"/>
        <w:spacing w:before="129"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按本章第 2.2.4（2）目规定的评审因素和分值对资信业绩部分计算出得分A；</w:t>
      </w:r>
    </w:p>
    <w:p>
      <w:pPr>
        <w:pStyle w:val="24"/>
        <w:pageBreakBefore w:val="0"/>
        <w:numPr>
          <w:ilvl w:val="0"/>
          <w:numId w:val="7"/>
        </w:numPr>
        <w:tabs>
          <w:tab w:val="left" w:pos="1180"/>
        </w:tabs>
        <w:kinsoku/>
        <w:wordWrap/>
        <w:overflowPunct/>
        <w:topLinePunct w:val="0"/>
        <w:bidi w:val="0"/>
        <w:spacing w:before="130"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按本章第 2.2.4（3）目规定的评审因素和分值对承包人实施方案计算出得分B；</w:t>
      </w:r>
    </w:p>
    <w:p>
      <w:pPr>
        <w:pStyle w:val="24"/>
        <w:pageBreakBefore w:val="0"/>
        <w:numPr>
          <w:ilvl w:val="0"/>
          <w:numId w:val="7"/>
        </w:numPr>
        <w:tabs>
          <w:tab w:val="left" w:pos="1180"/>
        </w:tabs>
        <w:kinsoku/>
        <w:wordWrap/>
        <w:overflowPunct/>
        <w:topLinePunct w:val="0"/>
        <w:bidi w:val="0"/>
        <w:spacing w:before="134"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按本章第 2.2.4（4）目规定的评审因素和分值对投标报价计算出得分C；</w:t>
      </w:r>
    </w:p>
    <w:p>
      <w:pPr>
        <w:pStyle w:val="24"/>
        <w:pageBreakBefore w:val="0"/>
        <w:numPr>
          <w:ilvl w:val="0"/>
          <w:numId w:val="7"/>
        </w:numPr>
        <w:tabs>
          <w:tab w:val="left" w:pos="1180"/>
        </w:tabs>
        <w:kinsoku/>
        <w:wordWrap/>
        <w:overflowPunct/>
        <w:topLinePunct w:val="0"/>
        <w:bidi w:val="0"/>
        <w:spacing w:before="129" w:line="240" w:lineRule="auto"/>
        <w:ind w:hanging="53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按本章第 2.2.4（5）目规定的评审因素和分值对其他部分计算出得分D。</w:t>
      </w:r>
    </w:p>
    <w:p>
      <w:pPr>
        <w:pStyle w:val="24"/>
        <w:pageBreakBefore w:val="0"/>
        <w:numPr>
          <w:ilvl w:val="0"/>
          <w:numId w:val="0"/>
        </w:numPr>
        <w:tabs>
          <w:tab w:val="left" w:pos="1179"/>
        </w:tabs>
        <w:kinsoku/>
        <w:wordWrap/>
        <w:overflowPunct/>
        <w:topLinePunct w:val="0"/>
        <w:bidi w:val="0"/>
        <w:spacing w:before="129"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3.2.2评分分值计算保留小数点后两位，小数点后第三位“四舍五入”。</w:t>
      </w:r>
    </w:p>
    <w:p>
      <w:pPr>
        <w:pStyle w:val="24"/>
        <w:pageBreakBefore w:val="0"/>
        <w:numPr>
          <w:ilvl w:val="0"/>
          <w:numId w:val="0"/>
        </w:numPr>
        <w:tabs>
          <w:tab w:val="left" w:pos="1179"/>
        </w:tabs>
        <w:kinsoku/>
        <w:wordWrap/>
        <w:overflowPunct/>
        <w:topLinePunct w:val="0"/>
        <w:bidi w:val="0"/>
        <w:spacing w:before="135"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3.2.3投标人得分=A+B+C+D。</w:t>
      </w:r>
    </w:p>
    <w:p>
      <w:pPr>
        <w:pStyle w:val="24"/>
        <w:pageBreakBefore w:val="0"/>
        <w:numPr>
          <w:ilvl w:val="0"/>
          <w:numId w:val="0"/>
        </w:numPr>
        <w:tabs>
          <w:tab w:val="left" w:pos="1179"/>
        </w:tabs>
        <w:kinsoku/>
        <w:wordWrap/>
        <w:overflowPunct/>
        <w:topLinePunct w:val="0"/>
        <w:bidi w:val="0"/>
        <w:spacing w:before="129"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3.2.4评标委员会发现投标人的报价明显低于其他投标报价，或者在设有标底时明显低于标底，使得</w:t>
      </w:r>
    </w:p>
    <w:p>
      <w:pPr>
        <w:pStyle w:val="2"/>
        <w:pageBreakBefore w:val="0"/>
        <w:kinsoku/>
        <w:wordWrap/>
        <w:overflowPunct/>
        <w:topLinePunct w:val="0"/>
        <w:bidi w:val="0"/>
        <w:spacing w:before="49" w:line="240" w:lineRule="auto"/>
        <w:ind w:left="232" w:right="232"/>
        <w:jc w:val="both"/>
        <w:textAlignment w:val="auto"/>
        <w:rPr>
          <w:rFonts w:hint="eastAsia" w:ascii="宋体" w:hAnsi="宋体" w:eastAsia="宋体" w:cs="宋体"/>
          <w:b w:val="0"/>
          <w:bCs/>
          <w:kern w:val="44"/>
          <w:sz w:val="21"/>
          <w:szCs w:val="21"/>
          <w:lang w:val="en-US" w:eastAsia="zh-CN" w:bidi="ar-SA"/>
        </w:rPr>
      </w:pPr>
      <w:bookmarkStart w:id="50" w:name="第三章评标办法（经评审的最低投标价法）"/>
      <w:bookmarkEnd w:id="50"/>
      <w:r>
        <w:rPr>
          <w:rFonts w:hint="eastAsia" w:ascii="宋体" w:hAnsi="宋体" w:eastAsia="宋体" w:cs="宋体"/>
          <w:b w:val="0"/>
          <w:bCs/>
          <w:kern w:val="44"/>
          <w:sz w:val="21"/>
          <w:szCs w:val="21"/>
          <w:lang w:val="en-US" w:eastAsia="zh-CN" w:bidi="ar-SA"/>
        </w:rPr>
        <w:t>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7"/>
        <w:pageBreakBefore w:val="0"/>
        <w:numPr>
          <w:ilvl w:val="0"/>
          <w:numId w:val="0"/>
        </w:numPr>
        <w:tabs>
          <w:tab w:val="left" w:pos="857"/>
        </w:tabs>
        <w:kinsoku/>
        <w:wordWrap/>
        <w:overflowPunct/>
        <w:topLinePunct w:val="0"/>
        <w:bidi w:val="0"/>
        <w:spacing w:line="240" w:lineRule="auto"/>
        <w:ind w:left="366" w:leftChars="0"/>
        <w:textAlignment w:val="auto"/>
        <w:rPr>
          <w:rFonts w:hint="eastAsia" w:ascii="宋体" w:hAnsi="宋体" w:eastAsia="宋体" w:cs="宋体"/>
          <w:b w:val="0"/>
          <w:bCs/>
          <w:kern w:val="44"/>
          <w:sz w:val="21"/>
          <w:szCs w:val="21"/>
          <w:lang w:val="en-US" w:eastAsia="zh-CN" w:bidi="ar-SA"/>
        </w:rPr>
      </w:pPr>
      <w:bookmarkStart w:id="51" w:name="_bookmark90"/>
      <w:bookmarkEnd w:id="51"/>
      <w:bookmarkStart w:id="52" w:name="3.3投标文件的澄清和补正"/>
      <w:bookmarkEnd w:id="52"/>
      <w:r>
        <w:rPr>
          <w:rFonts w:hint="eastAsia" w:ascii="宋体" w:hAnsi="宋体" w:eastAsia="宋体" w:cs="宋体"/>
          <w:b w:val="0"/>
          <w:bCs/>
          <w:kern w:val="44"/>
          <w:sz w:val="21"/>
          <w:szCs w:val="21"/>
          <w:lang w:val="en-US" w:eastAsia="zh-CN" w:bidi="ar-SA"/>
        </w:rPr>
        <w:t>3.3投标文件的澄清和补正</w:t>
      </w:r>
    </w:p>
    <w:p>
      <w:pPr>
        <w:pStyle w:val="24"/>
        <w:pageBreakBefore w:val="0"/>
        <w:numPr>
          <w:ilvl w:val="0"/>
          <w:numId w:val="0"/>
        </w:numPr>
        <w:tabs>
          <w:tab w:val="left" w:pos="1179"/>
        </w:tabs>
        <w:kinsoku/>
        <w:wordWrap/>
        <w:overflowPunct/>
        <w:topLinePunct w:val="0"/>
        <w:bidi w:val="0"/>
        <w:spacing w:line="240" w:lineRule="auto"/>
        <w:ind w:right="237" w:rightChars="0" w:firstLine="630" w:firstLineChars="30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3.3.1在评标过程中，评标委员会可以书面形式要求投标人对所提交投标文件中不明确的内容进行书面澄清或说明，或者对细微偏差进行补正。评标委员会不接受投标人主动提出的澄清、说明或补正。</w:t>
      </w:r>
    </w:p>
    <w:p>
      <w:pPr>
        <w:pStyle w:val="24"/>
        <w:pageBreakBefore w:val="0"/>
        <w:numPr>
          <w:ilvl w:val="0"/>
          <w:numId w:val="0"/>
        </w:numPr>
        <w:tabs>
          <w:tab w:val="left" w:pos="1179"/>
        </w:tabs>
        <w:kinsoku/>
        <w:wordWrap/>
        <w:overflowPunct/>
        <w:topLinePunct w:val="0"/>
        <w:bidi w:val="0"/>
        <w:spacing w:before="5" w:line="240" w:lineRule="auto"/>
        <w:ind w:right="237" w:rightChars="0" w:firstLine="630" w:firstLineChars="30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3.3.2澄清、说明和补正不得改变投标文件的实质性内容。投标人的书面澄清、说明和补正属于投标文件的组成部分。</w:t>
      </w:r>
    </w:p>
    <w:p>
      <w:pPr>
        <w:pStyle w:val="24"/>
        <w:pageBreakBefore w:val="0"/>
        <w:numPr>
          <w:ilvl w:val="0"/>
          <w:numId w:val="0"/>
        </w:numPr>
        <w:tabs>
          <w:tab w:val="left" w:pos="1179"/>
        </w:tabs>
        <w:kinsoku/>
        <w:wordWrap/>
        <w:overflowPunct/>
        <w:topLinePunct w:val="0"/>
        <w:bidi w:val="0"/>
        <w:spacing w:line="240" w:lineRule="auto"/>
        <w:ind w:right="237" w:rightChars="0" w:firstLine="630" w:firstLineChars="30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3.3.3评标委员会对投标人提交的澄清、说明或补正有疑问的，可以要求投标人进一步澄清、说明或补正，直至满足评标委员会的要求。</w:t>
      </w:r>
    </w:p>
    <w:p>
      <w:pPr>
        <w:pStyle w:val="7"/>
        <w:pageBreakBefore w:val="0"/>
        <w:numPr>
          <w:ilvl w:val="0"/>
          <w:numId w:val="0"/>
        </w:numPr>
        <w:tabs>
          <w:tab w:val="left" w:pos="857"/>
        </w:tabs>
        <w:kinsoku/>
        <w:wordWrap/>
        <w:overflowPunct/>
        <w:topLinePunct w:val="0"/>
        <w:bidi w:val="0"/>
        <w:spacing w:line="240" w:lineRule="auto"/>
        <w:ind w:left="366" w:leftChars="0"/>
        <w:textAlignment w:val="auto"/>
        <w:rPr>
          <w:rFonts w:hint="eastAsia" w:ascii="宋体" w:hAnsi="宋体" w:eastAsia="宋体" w:cs="宋体"/>
          <w:b w:val="0"/>
          <w:bCs/>
          <w:kern w:val="44"/>
          <w:sz w:val="21"/>
          <w:szCs w:val="21"/>
          <w:lang w:val="en-US" w:eastAsia="zh-CN" w:bidi="ar-SA"/>
        </w:rPr>
      </w:pPr>
      <w:bookmarkStart w:id="53" w:name="_bookmark91"/>
      <w:bookmarkEnd w:id="53"/>
      <w:bookmarkStart w:id="54" w:name="3.4评标结果"/>
      <w:bookmarkEnd w:id="54"/>
      <w:r>
        <w:rPr>
          <w:rFonts w:hint="eastAsia" w:ascii="宋体" w:hAnsi="宋体" w:eastAsia="宋体" w:cs="宋体"/>
          <w:b w:val="0"/>
          <w:bCs/>
          <w:kern w:val="44"/>
          <w:sz w:val="21"/>
          <w:szCs w:val="21"/>
          <w:lang w:val="en-US" w:eastAsia="zh-CN" w:bidi="ar-SA"/>
        </w:rPr>
        <w:t>3.4评标结果</w:t>
      </w:r>
    </w:p>
    <w:p>
      <w:pPr>
        <w:pStyle w:val="24"/>
        <w:pageBreakBefore w:val="0"/>
        <w:numPr>
          <w:ilvl w:val="0"/>
          <w:numId w:val="0"/>
        </w:numPr>
        <w:tabs>
          <w:tab w:val="left" w:pos="1179"/>
        </w:tabs>
        <w:kinsoku/>
        <w:wordWrap/>
        <w:overflowPunct/>
        <w:topLinePunct w:val="0"/>
        <w:bidi w:val="0"/>
        <w:spacing w:line="240" w:lineRule="auto"/>
        <w:ind w:right="237" w:rightChars="0" w:firstLine="630" w:firstLineChars="30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3.4.1除第二章“投标人须知”前附表授权直接确定中标人外，评标委员会按照得分由高到低的顺序推荐中标候选人。</w:t>
      </w:r>
    </w:p>
    <w:p>
      <w:pPr>
        <w:pStyle w:val="24"/>
        <w:pageBreakBefore w:val="0"/>
        <w:numPr>
          <w:ilvl w:val="0"/>
          <w:numId w:val="0"/>
        </w:numPr>
        <w:tabs>
          <w:tab w:val="left" w:pos="1179"/>
        </w:tabs>
        <w:kinsoku/>
        <w:wordWrap/>
        <w:overflowPunct/>
        <w:topLinePunct w:val="0"/>
        <w:bidi w:val="0"/>
        <w:spacing w:line="240" w:lineRule="auto"/>
        <w:ind w:left="649" w:leftChars="0"/>
        <w:textAlignment w:val="auto"/>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3.4.2评标委员会完成评标后，应当向招标人提交书面评标报告。</w:t>
      </w:r>
    </w:p>
    <w:p>
      <w:pPr>
        <w:pageBreakBefore w:val="0"/>
        <w:widowControl/>
        <w:kinsoku/>
        <w:wordWrap/>
        <w:overflowPunct/>
        <w:topLinePunct w:val="0"/>
        <w:bidi w:val="0"/>
        <w:snapToGrid w:val="0"/>
        <w:spacing w:line="240" w:lineRule="auto"/>
        <w:jc w:val="left"/>
        <w:textAlignment w:val="auto"/>
        <w:rPr>
          <w:rFonts w:hint="eastAsia" w:ascii="宋体" w:hAnsi="宋体" w:eastAsia="宋体" w:cs="宋体"/>
          <w:b w:val="0"/>
          <w:bCs/>
          <w:kern w:val="44"/>
          <w:sz w:val="21"/>
          <w:szCs w:val="21"/>
          <w:lang w:val="en-US" w:eastAsia="zh-CN" w:bidi="ar-SA"/>
        </w:rPr>
      </w:pPr>
    </w:p>
    <w:sectPr>
      <w:footerReference r:id="rId3" w:type="default"/>
      <w:pgSz w:w="11906" w:h="16838"/>
      <w:pgMar w:top="1134" w:right="1134" w:bottom="1134" w:left="1134" w:header="0"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eastAsia="宋体" w:cs="宋体"/>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hint="eastAsia" w:ascii="宋体" w:hAnsi="宋体" w:eastAsia="宋体" w:cs="宋体"/>
                              <w:sz w:val="21"/>
                              <w:szCs w:val="21"/>
                              <w:lang w:val="zh-CN"/>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PAGE  \* Arabic  \* MERGEFORMAT</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w:t>
                          </w:r>
                          <w:r>
                            <w:rPr>
                              <w:rFonts w:hint="eastAsia" w:ascii="宋体" w:hAnsi="宋体" w:eastAsia="宋体" w:cs="宋体"/>
                              <w:b/>
                              <w:bCs/>
                              <w:sz w:val="21"/>
                              <w:szCs w:val="21"/>
                            </w:rPr>
                            <w:fldChar w:fldCharType="end"/>
                          </w:r>
                          <w:r>
                            <w:rPr>
                              <w:rFonts w:hint="eastAsia" w:ascii="宋体" w:hAnsi="宋体" w:eastAsia="宋体" w:cs="宋体"/>
                              <w:sz w:val="21"/>
                              <w:szCs w:val="21"/>
                              <w:lang w:val="zh-CN"/>
                            </w:rPr>
                            <w:t xml:space="preserve"> 页/共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NUMPAGES  \* Arabic  \* MERGEFORMAT</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7</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jc w:val="center"/>
                    </w:pPr>
                    <w:r>
                      <w:rPr>
                        <w:rFonts w:hint="eastAsia" w:ascii="宋体" w:hAnsi="宋体" w:eastAsia="宋体" w:cs="宋体"/>
                        <w:sz w:val="21"/>
                        <w:szCs w:val="21"/>
                        <w:lang w:val="zh-CN"/>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PAGE  \* Arabic  \* MERGEFORMAT</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w:t>
                    </w:r>
                    <w:r>
                      <w:rPr>
                        <w:rFonts w:hint="eastAsia" w:ascii="宋体" w:hAnsi="宋体" w:eastAsia="宋体" w:cs="宋体"/>
                        <w:b/>
                        <w:bCs/>
                        <w:sz w:val="21"/>
                        <w:szCs w:val="21"/>
                      </w:rPr>
                      <w:fldChar w:fldCharType="end"/>
                    </w:r>
                    <w:r>
                      <w:rPr>
                        <w:rFonts w:hint="eastAsia" w:ascii="宋体" w:hAnsi="宋体" w:eastAsia="宋体" w:cs="宋体"/>
                        <w:sz w:val="21"/>
                        <w:szCs w:val="21"/>
                        <w:lang w:val="zh-CN"/>
                      </w:rPr>
                      <w:t xml:space="preserve"> 页/共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NUMPAGES  \* Arabic  \* MERGEFORMAT</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7</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EB125"/>
    <w:multiLevelType w:val="multilevel"/>
    <w:tmpl w:val="8CAEB125"/>
    <w:lvl w:ilvl="0" w:tentative="0">
      <w:start w:val="1"/>
      <w:numFmt w:val="decimal"/>
      <w:lvlText w:val="（%1）"/>
      <w:lvlJc w:val="left"/>
      <w:pPr>
        <w:ind w:left="1179" w:hanging="529"/>
        <w:jc w:val="lef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072" w:hanging="529"/>
      </w:pPr>
      <w:rPr>
        <w:rFonts w:hint="default"/>
        <w:lang w:val="zh-CN" w:eastAsia="zh-CN" w:bidi="zh-CN"/>
      </w:rPr>
    </w:lvl>
    <w:lvl w:ilvl="2" w:tentative="0">
      <w:start w:val="0"/>
      <w:numFmt w:val="bullet"/>
      <w:lvlText w:val="•"/>
      <w:lvlJc w:val="left"/>
      <w:pPr>
        <w:ind w:left="2965" w:hanging="529"/>
      </w:pPr>
      <w:rPr>
        <w:rFonts w:hint="default"/>
        <w:lang w:val="zh-CN" w:eastAsia="zh-CN" w:bidi="zh-CN"/>
      </w:rPr>
    </w:lvl>
    <w:lvl w:ilvl="3" w:tentative="0">
      <w:start w:val="0"/>
      <w:numFmt w:val="bullet"/>
      <w:lvlText w:val="•"/>
      <w:lvlJc w:val="left"/>
      <w:pPr>
        <w:ind w:left="3857" w:hanging="529"/>
      </w:pPr>
      <w:rPr>
        <w:rFonts w:hint="default"/>
        <w:lang w:val="zh-CN" w:eastAsia="zh-CN" w:bidi="zh-CN"/>
      </w:rPr>
    </w:lvl>
    <w:lvl w:ilvl="4" w:tentative="0">
      <w:start w:val="0"/>
      <w:numFmt w:val="bullet"/>
      <w:lvlText w:val="•"/>
      <w:lvlJc w:val="left"/>
      <w:pPr>
        <w:ind w:left="4750" w:hanging="529"/>
      </w:pPr>
      <w:rPr>
        <w:rFonts w:hint="default"/>
        <w:lang w:val="zh-CN" w:eastAsia="zh-CN" w:bidi="zh-CN"/>
      </w:rPr>
    </w:lvl>
    <w:lvl w:ilvl="5" w:tentative="0">
      <w:start w:val="0"/>
      <w:numFmt w:val="bullet"/>
      <w:lvlText w:val="•"/>
      <w:lvlJc w:val="left"/>
      <w:pPr>
        <w:ind w:left="5643" w:hanging="529"/>
      </w:pPr>
      <w:rPr>
        <w:rFonts w:hint="default"/>
        <w:lang w:val="zh-CN" w:eastAsia="zh-CN" w:bidi="zh-CN"/>
      </w:rPr>
    </w:lvl>
    <w:lvl w:ilvl="6" w:tentative="0">
      <w:start w:val="0"/>
      <w:numFmt w:val="bullet"/>
      <w:lvlText w:val="•"/>
      <w:lvlJc w:val="left"/>
      <w:pPr>
        <w:ind w:left="6535" w:hanging="529"/>
      </w:pPr>
      <w:rPr>
        <w:rFonts w:hint="default"/>
        <w:lang w:val="zh-CN" w:eastAsia="zh-CN" w:bidi="zh-CN"/>
      </w:rPr>
    </w:lvl>
    <w:lvl w:ilvl="7" w:tentative="0">
      <w:start w:val="0"/>
      <w:numFmt w:val="bullet"/>
      <w:lvlText w:val="•"/>
      <w:lvlJc w:val="left"/>
      <w:pPr>
        <w:ind w:left="7428" w:hanging="529"/>
      </w:pPr>
      <w:rPr>
        <w:rFonts w:hint="default"/>
        <w:lang w:val="zh-CN" w:eastAsia="zh-CN" w:bidi="zh-CN"/>
      </w:rPr>
    </w:lvl>
    <w:lvl w:ilvl="8" w:tentative="0">
      <w:start w:val="0"/>
      <w:numFmt w:val="bullet"/>
      <w:lvlText w:val="•"/>
      <w:lvlJc w:val="left"/>
      <w:pPr>
        <w:ind w:left="8320" w:hanging="529"/>
      </w:pPr>
      <w:rPr>
        <w:rFonts w:hint="default"/>
        <w:lang w:val="zh-CN" w:eastAsia="zh-CN" w:bidi="zh-CN"/>
      </w:rPr>
    </w:lvl>
  </w:abstractNum>
  <w:abstractNum w:abstractNumId="1">
    <w:nsid w:val="1D085E34"/>
    <w:multiLevelType w:val="singleLevel"/>
    <w:tmpl w:val="1D085E34"/>
    <w:lvl w:ilvl="0" w:tentative="0">
      <w:start w:val="1"/>
      <w:numFmt w:val="decimal"/>
      <w:suff w:val="nothing"/>
      <w:lvlText w:val="%1、"/>
      <w:lvlJc w:val="left"/>
    </w:lvl>
  </w:abstractNum>
  <w:abstractNum w:abstractNumId="2">
    <w:nsid w:val="322D85CA"/>
    <w:multiLevelType w:val="multilevel"/>
    <w:tmpl w:val="322D85CA"/>
    <w:lvl w:ilvl="0" w:tentative="0">
      <w:start w:val="1"/>
      <w:numFmt w:val="decimal"/>
      <w:lvlText w:val="（%1）"/>
      <w:lvlJc w:val="left"/>
      <w:pPr>
        <w:ind w:left="1179" w:hanging="529"/>
        <w:jc w:val="lef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072" w:hanging="529"/>
      </w:pPr>
      <w:rPr>
        <w:rFonts w:hint="default"/>
        <w:lang w:val="zh-CN" w:eastAsia="zh-CN" w:bidi="zh-CN"/>
      </w:rPr>
    </w:lvl>
    <w:lvl w:ilvl="2" w:tentative="0">
      <w:start w:val="0"/>
      <w:numFmt w:val="bullet"/>
      <w:lvlText w:val="•"/>
      <w:lvlJc w:val="left"/>
      <w:pPr>
        <w:ind w:left="2965" w:hanging="529"/>
      </w:pPr>
      <w:rPr>
        <w:rFonts w:hint="default"/>
        <w:lang w:val="zh-CN" w:eastAsia="zh-CN" w:bidi="zh-CN"/>
      </w:rPr>
    </w:lvl>
    <w:lvl w:ilvl="3" w:tentative="0">
      <w:start w:val="0"/>
      <w:numFmt w:val="bullet"/>
      <w:lvlText w:val="•"/>
      <w:lvlJc w:val="left"/>
      <w:pPr>
        <w:ind w:left="3857" w:hanging="529"/>
      </w:pPr>
      <w:rPr>
        <w:rFonts w:hint="default"/>
        <w:lang w:val="zh-CN" w:eastAsia="zh-CN" w:bidi="zh-CN"/>
      </w:rPr>
    </w:lvl>
    <w:lvl w:ilvl="4" w:tentative="0">
      <w:start w:val="0"/>
      <w:numFmt w:val="bullet"/>
      <w:lvlText w:val="•"/>
      <w:lvlJc w:val="left"/>
      <w:pPr>
        <w:ind w:left="4750" w:hanging="529"/>
      </w:pPr>
      <w:rPr>
        <w:rFonts w:hint="default"/>
        <w:lang w:val="zh-CN" w:eastAsia="zh-CN" w:bidi="zh-CN"/>
      </w:rPr>
    </w:lvl>
    <w:lvl w:ilvl="5" w:tentative="0">
      <w:start w:val="0"/>
      <w:numFmt w:val="bullet"/>
      <w:lvlText w:val="•"/>
      <w:lvlJc w:val="left"/>
      <w:pPr>
        <w:ind w:left="5643" w:hanging="529"/>
      </w:pPr>
      <w:rPr>
        <w:rFonts w:hint="default"/>
        <w:lang w:val="zh-CN" w:eastAsia="zh-CN" w:bidi="zh-CN"/>
      </w:rPr>
    </w:lvl>
    <w:lvl w:ilvl="6" w:tentative="0">
      <w:start w:val="0"/>
      <w:numFmt w:val="bullet"/>
      <w:lvlText w:val="•"/>
      <w:lvlJc w:val="left"/>
      <w:pPr>
        <w:ind w:left="6535" w:hanging="529"/>
      </w:pPr>
      <w:rPr>
        <w:rFonts w:hint="default"/>
        <w:lang w:val="zh-CN" w:eastAsia="zh-CN" w:bidi="zh-CN"/>
      </w:rPr>
    </w:lvl>
    <w:lvl w:ilvl="7" w:tentative="0">
      <w:start w:val="0"/>
      <w:numFmt w:val="bullet"/>
      <w:lvlText w:val="•"/>
      <w:lvlJc w:val="left"/>
      <w:pPr>
        <w:ind w:left="7428" w:hanging="529"/>
      </w:pPr>
      <w:rPr>
        <w:rFonts w:hint="default"/>
        <w:lang w:val="zh-CN" w:eastAsia="zh-CN" w:bidi="zh-CN"/>
      </w:rPr>
    </w:lvl>
    <w:lvl w:ilvl="8" w:tentative="0">
      <w:start w:val="0"/>
      <w:numFmt w:val="bullet"/>
      <w:lvlText w:val="•"/>
      <w:lvlJc w:val="left"/>
      <w:pPr>
        <w:ind w:left="8320" w:hanging="529"/>
      </w:pPr>
      <w:rPr>
        <w:rFonts w:hint="default"/>
        <w:lang w:val="zh-CN" w:eastAsia="zh-CN" w:bidi="zh-CN"/>
      </w:rPr>
    </w:lvl>
  </w:abstractNum>
  <w:abstractNum w:abstractNumId="3">
    <w:nsid w:val="4C3D7A74"/>
    <w:multiLevelType w:val="multilevel"/>
    <w:tmpl w:val="4C3D7A74"/>
    <w:lvl w:ilvl="0" w:tentative="0">
      <w:start w:val="1"/>
      <w:numFmt w:val="decimal"/>
      <w:lvlText w:val="（%1）"/>
      <w:lvlJc w:val="left"/>
      <w:pPr>
        <w:ind w:left="1179" w:hanging="529"/>
        <w:jc w:val="left"/>
      </w:pPr>
      <w:rPr>
        <w:rFonts w:hint="default" w:ascii="宋体" w:hAnsi="宋体" w:eastAsia="宋体" w:cs="宋体"/>
        <w:spacing w:val="-57"/>
        <w:w w:val="100"/>
        <w:sz w:val="19"/>
        <w:szCs w:val="19"/>
        <w:lang w:val="zh-CN" w:eastAsia="zh-CN" w:bidi="zh-CN"/>
      </w:rPr>
    </w:lvl>
    <w:lvl w:ilvl="1" w:tentative="0">
      <w:start w:val="0"/>
      <w:numFmt w:val="bullet"/>
      <w:lvlText w:val="•"/>
      <w:lvlJc w:val="left"/>
      <w:pPr>
        <w:ind w:left="2072" w:hanging="529"/>
      </w:pPr>
      <w:rPr>
        <w:rFonts w:hint="default"/>
        <w:lang w:val="zh-CN" w:eastAsia="zh-CN" w:bidi="zh-CN"/>
      </w:rPr>
    </w:lvl>
    <w:lvl w:ilvl="2" w:tentative="0">
      <w:start w:val="0"/>
      <w:numFmt w:val="bullet"/>
      <w:lvlText w:val="•"/>
      <w:lvlJc w:val="left"/>
      <w:pPr>
        <w:ind w:left="2965" w:hanging="529"/>
      </w:pPr>
      <w:rPr>
        <w:rFonts w:hint="default"/>
        <w:lang w:val="zh-CN" w:eastAsia="zh-CN" w:bidi="zh-CN"/>
      </w:rPr>
    </w:lvl>
    <w:lvl w:ilvl="3" w:tentative="0">
      <w:start w:val="0"/>
      <w:numFmt w:val="bullet"/>
      <w:lvlText w:val="•"/>
      <w:lvlJc w:val="left"/>
      <w:pPr>
        <w:ind w:left="3857" w:hanging="529"/>
      </w:pPr>
      <w:rPr>
        <w:rFonts w:hint="default"/>
        <w:lang w:val="zh-CN" w:eastAsia="zh-CN" w:bidi="zh-CN"/>
      </w:rPr>
    </w:lvl>
    <w:lvl w:ilvl="4" w:tentative="0">
      <w:start w:val="0"/>
      <w:numFmt w:val="bullet"/>
      <w:lvlText w:val="•"/>
      <w:lvlJc w:val="left"/>
      <w:pPr>
        <w:ind w:left="4750" w:hanging="529"/>
      </w:pPr>
      <w:rPr>
        <w:rFonts w:hint="default"/>
        <w:lang w:val="zh-CN" w:eastAsia="zh-CN" w:bidi="zh-CN"/>
      </w:rPr>
    </w:lvl>
    <w:lvl w:ilvl="5" w:tentative="0">
      <w:start w:val="0"/>
      <w:numFmt w:val="bullet"/>
      <w:lvlText w:val="•"/>
      <w:lvlJc w:val="left"/>
      <w:pPr>
        <w:ind w:left="5643" w:hanging="529"/>
      </w:pPr>
      <w:rPr>
        <w:rFonts w:hint="default"/>
        <w:lang w:val="zh-CN" w:eastAsia="zh-CN" w:bidi="zh-CN"/>
      </w:rPr>
    </w:lvl>
    <w:lvl w:ilvl="6" w:tentative="0">
      <w:start w:val="0"/>
      <w:numFmt w:val="bullet"/>
      <w:lvlText w:val="•"/>
      <w:lvlJc w:val="left"/>
      <w:pPr>
        <w:ind w:left="6535" w:hanging="529"/>
      </w:pPr>
      <w:rPr>
        <w:rFonts w:hint="default"/>
        <w:lang w:val="zh-CN" w:eastAsia="zh-CN" w:bidi="zh-CN"/>
      </w:rPr>
    </w:lvl>
    <w:lvl w:ilvl="7" w:tentative="0">
      <w:start w:val="0"/>
      <w:numFmt w:val="bullet"/>
      <w:lvlText w:val="•"/>
      <w:lvlJc w:val="left"/>
      <w:pPr>
        <w:ind w:left="7428" w:hanging="529"/>
      </w:pPr>
      <w:rPr>
        <w:rFonts w:hint="default"/>
        <w:lang w:val="zh-CN" w:eastAsia="zh-CN" w:bidi="zh-CN"/>
      </w:rPr>
    </w:lvl>
    <w:lvl w:ilvl="8" w:tentative="0">
      <w:start w:val="0"/>
      <w:numFmt w:val="bullet"/>
      <w:lvlText w:val="•"/>
      <w:lvlJc w:val="left"/>
      <w:pPr>
        <w:ind w:left="8320" w:hanging="529"/>
      </w:pPr>
      <w:rPr>
        <w:rFonts w:hint="default"/>
        <w:lang w:val="zh-CN" w:eastAsia="zh-CN" w:bidi="zh-CN"/>
      </w:rPr>
    </w:lvl>
  </w:abstractNum>
  <w:abstractNum w:abstractNumId="4">
    <w:nsid w:val="54D762D9"/>
    <w:multiLevelType w:val="singleLevel"/>
    <w:tmpl w:val="54D762D9"/>
    <w:lvl w:ilvl="0" w:tentative="0">
      <w:start w:val="1"/>
      <w:numFmt w:val="decimal"/>
      <w:lvlText w:val="%1."/>
      <w:lvlJc w:val="left"/>
      <w:pPr>
        <w:tabs>
          <w:tab w:val="left" w:pos="312"/>
        </w:tabs>
      </w:pPr>
    </w:lvl>
  </w:abstractNum>
  <w:abstractNum w:abstractNumId="5">
    <w:nsid w:val="5FFFB1A7"/>
    <w:multiLevelType w:val="multilevel"/>
    <w:tmpl w:val="5FFFB1A7"/>
    <w:lvl w:ilvl="0" w:tentative="0">
      <w:start w:val="1"/>
      <w:numFmt w:val="decimal"/>
      <w:lvlText w:val="（%1）"/>
      <w:lvlJc w:val="left"/>
      <w:pPr>
        <w:ind w:left="1179" w:hanging="529"/>
        <w:jc w:val="lef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072" w:hanging="529"/>
      </w:pPr>
      <w:rPr>
        <w:rFonts w:hint="default"/>
        <w:lang w:val="zh-CN" w:eastAsia="zh-CN" w:bidi="zh-CN"/>
      </w:rPr>
    </w:lvl>
    <w:lvl w:ilvl="2" w:tentative="0">
      <w:start w:val="0"/>
      <w:numFmt w:val="bullet"/>
      <w:lvlText w:val="•"/>
      <w:lvlJc w:val="left"/>
      <w:pPr>
        <w:ind w:left="2965" w:hanging="529"/>
      </w:pPr>
      <w:rPr>
        <w:rFonts w:hint="default"/>
        <w:lang w:val="zh-CN" w:eastAsia="zh-CN" w:bidi="zh-CN"/>
      </w:rPr>
    </w:lvl>
    <w:lvl w:ilvl="3" w:tentative="0">
      <w:start w:val="0"/>
      <w:numFmt w:val="bullet"/>
      <w:lvlText w:val="•"/>
      <w:lvlJc w:val="left"/>
      <w:pPr>
        <w:ind w:left="3857" w:hanging="529"/>
      </w:pPr>
      <w:rPr>
        <w:rFonts w:hint="default"/>
        <w:lang w:val="zh-CN" w:eastAsia="zh-CN" w:bidi="zh-CN"/>
      </w:rPr>
    </w:lvl>
    <w:lvl w:ilvl="4" w:tentative="0">
      <w:start w:val="0"/>
      <w:numFmt w:val="bullet"/>
      <w:lvlText w:val="•"/>
      <w:lvlJc w:val="left"/>
      <w:pPr>
        <w:ind w:left="4750" w:hanging="529"/>
      </w:pPr>
      <w:rPr>
        <w:rFonts w:hint="default"/>
        <w:lang w:val="zh-CN" w:eastAsia="zh-CN" w:bidi="zh-CN"/>
      </w:rPr>
    </w:lvl>
    <w:lvl w:ilvl="5" w:tentative="0">
      <w:start w:val="0"/>
      <w:numFmt w:val="bullet"/>
      <w:lvlText w:val="•"/>
      <w:lvlJc w:val="left"/>
      <w:pPr>
        <w:ind w:left="5643" w:hanging="529"/>
      </w:pPr>
      <w:rPr>
        <w:rFonts w:hint="default"/>
        <w:lang w:val="zh-CN" w:eastAsia="zh-CN" w:bidi="zh-CN"/>
      </w:rPr>
    </w:lvl>
    <w:lvl w:ilvl="6" w:tentative="0">
      <w:start w:val="0"/>
      <w:numFmt w:val="bullet"/>
      <w:lvlText w:val="•"/>
      <w:lvlJc w:val="left"/>
      <w:pPr>
        <w:ind w:left="6535" w:hanging="529"/>
      </w:pPr>
      <w:rPr>
        <w:rFonts w:hint="default"/>
        <w:lang w:val="zh-CN" w:eastAsia="zh-CN" w:bidi="zh-CN"/>
      </w:rPr>
    </w:lvl>
    <w:lvl w:ilvl="7" w:tentative="0">
      <w:start w:val="0"/>
      <w:numFmt w:val="bullet"/>
      <w:lvlText w:val="•"/>
      <w:lvlJc w:val="left"/>
      <w:pPr>
        <w:ind w:left="7428" w:hanging="529"/>
      </w:pPr>
      <w:rPr>
        <w:rFonts w:hint="default"/>
        <w:lang w:val="zh-CN" w:eastAsia="zh-CN" w:bidi="zh-CN"/>
      </w:rPr>
    </w:lvl>
    <w:lvl w:ilvl="8" w:tentative="0">
      <w:start w:val="0"/>
      <w:numFmt w:val="bullet"/>
      <w:lvlText w:val="•"/>
      <w:lvlJc w:val="left"/>
      <w:pPr>
        <w:ind w:left="8320" w:hanging="529"/>
      </w:pPr>
      <w:rPr>
        <w:rFonts w:hint="default"/>
        <w:lang w:val="zh-CN" w:eastAsia="zh-CN" w:bidi="zh-CN"/>
      </w:rPr>
    </w:lvl>
  </w:abstractNum>
  <w:abstractNum w:abstractNumId="6">
    <w:nsid w:val="65CD0074"/>
    <w:multiLevelType w:val="multilevel"/>
    <w:tmpl w:val="65CD0074"/>
    <w:lvl w:ilvl="0" w:tentative="0">
      <w:start w:val="1"/>
      <w:numFmt w:val="decimal"/>
      <w:lvlText w:val="（%1）"/>
      <w:lvlJc w:val="left"/>
      <w:pPr>
        <w:ind w:left="1179" w:hanging="529"/>
        <w:jc w:val="left"/>
      </w:pPr>
      <w:rPr>
        <w:rFonts w:hint="default" w:ascii="宋体" w:hAnsi="宋体" w:eastAsia="宋体" w:cs="宋体"/>
        <w:spacing w:val="-53"/>
        <w:w w:val="100"/>
        <w:sz w:val="19"/>
        <w:szCs w:val="19"/>
        <w:lang w:val="zh-CN" w:eastAsia="zh-CN" w:bidi="zh-CN"/>
      </w:rPr>
    </w:lvl>
    <w:lvl w:ilvl="1" w:tentative="0">
      <w:start w:val="0"/>
      <w:numFmt w:val="bullet"/>
      <w:lvlText w:val="•"/>
      <w:lvlJc w:val="left"/>
      <w:pPr>
        <w:ind w:left="2072" w:hanging="529"/>
      </w:pPr>
      <w:rPr>
        <w:rFonts w:hint="default"/>
        <w:lang w:val="zh-CN" w:eastAsia="zh-CN" w:bidi="zh-CN"/>
      </w:rPr>
    </w:lvl>
    <w:lvl w:ilvl="2" w:tentative="0">
      <w:start w:val="0"/>
      <w:numFmt w:val="bullet"/>
      <w:lvlText w:val="•"/>
      <w:lvlJc w:val="left"/>
      <w:pPr>
        <w:ind w:left="2965" w:hanging="529"/>
      </w:pPr>
      <w:rPr>
        <w:rFonts w:hint="default"/>
        <w:lang w:val="zh-CN" w:eastAsia="zh-CN" w:bidi="zh-CN"/>
      </w:rPr>
    </w:lvl>
    <w:lvl w:ilvl="3" w:tentative="0">
      <w:start w:val="0"/>
      <w:numFmt w:val="bullet"/>
      <w:lvlText w:val="•"/>
      <w:lvlJc w:val="left"/>
      <w:pPr>
        <w:ind w:left="3857" w:hanging="529"/>
      </w:pPr>
      <w:rPr>
        <w:rFonts w:hint="default"/>
        <w:lang w:val="zh-CN" w:eastAsia="zh-CN" w:bidi="zh-CN"/>
      </w:rPr>
    </w:lvl>
    <w:lvl w:ilvl="4" w:tentative="0">
      <w:start w:val="0"/>
      <w:numFmt w:val="bullet"/>
      <w:lvlText w:val="•"/>
      <w:lvlJc w:val="left"/>
      <w:pPr>
        <w:ind w:left="4750" w:hanging="529"/>
      </w:pPr>
      <w:rPr>
        <w:rFonts w:hint="default"/>
        <w:lang w:val="zh-CN" w:eastAsia="zh-CN" w:bidi="zh-CN"/>
      </w:rPr>
    </w:lvl>
    <w:lvl w:ilvl="5" w:tentative="0">
      <w:start w:val="0"/>
      <w:numFmt w:val="bullet"/>
      <w:lvlText w:val="•"/>
      <w:lvlJc w:val="left"/>
      <w:pPr>
        <w:ind w:left="5643" w:hanging="529"/>
      </w:pPr>
      <w:rPr>
        <w:rFonts w:hint="default"/>
        <w:lang w:val="zh-CN" w:eastAsia="zh-CN" w:bidi="zh-CN"/>
      </w:rPr>
    </w:lvl>
    <w:lvl w:ilvl="6" w:tentative="0">
      <w:start w:val="0"/>
      <w:numFmt w:val="bullet"/>
      <w:lvlText w:val="•"/>
      <w:lvlJc w:val="left"/>
      <w:pPr>
        <w:ind w:left="6535" w:hanging="529"/>
      </w:pPr>
      <w:rPr>
        <w:rFonts w:hint="default"/>
        <w:lang w:val="zh-CN" w:eastAsia="zh-CN" w:bidi="zh-CN"/>
      </w:rPr>
    </w:lvl>
    <w:lvl w:ilvl="7" w:tentative="0">
      <w:start w:val="0"/>
      <w:numFmt w:val="bullet"/>
      <w:lvlText w:val="•"/>
      <w:lvlJc w:val="left"/>
      <w:pPr>
        <w:ind w:left="7428" w:hanging="529"/>
      </w:pPr>
      <w:rPr>
        <w:rFonts w:hint="default"/>
        <w:lang w:val="zh-CN" w:eastAsia="zh-CN" w:bidi="zh-CN"/>
      </w:rPr>
    </w:lvl>
    <w:lvl w:ilvl="8" w:tentative="0">
      <w:start w:val="0"/>
      <w:numFmt w:val="bullet"/>
      <w:lvlText w:val="•"/>
      <w:lvlJc w:val="left"/>
      <w:pPr>
        <w:ind w:left="8320" w:hanging="529"/>
      </w:pPr>
      <w:rPr>
        <w:rFonts w:hint="default"/>
        <w:lang w:val="zh-CN" w:eastAsia="zh-CN" w:bidi="zh-CN"/>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BF"/>
    <w:rsid w:val="002E7BA2"/>
    <w:rsid w:val="003B4FDD"/>
    <w:rsid w:val="00552FCC"/>
    <w:rsid w:val="00594685"/>
    <w:rsid w:val="00737E81"/>
    <w:rsid w:val="00787213"/>
    <w:rsid w:val="007969AD"/>
    <w:rsid w:val="008B12FD"/>
    <w:rsid w:val="00900DD9"/>
    <w:rsid w:val="009170B6"/>
    <w:rsid w:val="00A1547A"/>
    <w:rsid w:val="00C63D34"/>
    <w:rsid w:val="00C821BF"/>
    <w:rsid w:val="00CD0AC2"/>
    <w:rsid w:val="00CF03F8"/>
    <w:rsid w:val="00E01DD5"/>
    <w:rsid w:val="00E14DB3"/>
    <w:rsid w:val="00E755FB"/>
    <w:rsid w:val="0D835C77"/>
    <w:rsid w:val="15F202C6"/>
    <w:rsid w:val="1E04160B"/>
    <w:rsid w:val="1E643ED4"/>
    <w:rsid w:val="21B86970"/>
    <w:rsid w:val="23BA5FBD"/>
    <w:rsid w:val="246A7B26"/>
    <w:rsid w:val="24A35C6C"/>
    <w:rsid w:val="2C44339D"/>
    <w:rsid w:val="2F727166"/>
    <w:rsid w:val="2FBF4823"/>
    <w:rsid w:val="330F5B4D"/>
    <w:rsid w:val="375E7F18"/>
    <w:rsid w:val="3BC95290"/>
    <w:rsid w:val="43882727"/>
    <w:rsid w:val="44FD7803"/>
    <w:rsid w:val="468E722E"/>
    <w:rsid w:val="47081A3A"/>
    <w:rsid w:val="4AE51915"/>
    <w:rsid w:val="55AE7CB5"/>
    <w:rsid w:val="55E63573"/>
    <w:rsid w:val="5E6A7A37"/>
    <w:rsid w:val="5FD15611"/>
    <w:rsid w:val="61C419D3"/>
    <w:rsid w:val="64654820"/>
    <w:rsid w:val="69C77A09"/>
    <w:rsid w:val="711222C5"/>
    <w:rsid w:val="71603E7A"/>
    <w:rsid w:val="7B40503B"/>
    <w:rsid w:val="7EAF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13"/>
    <w:qFormat/>
    <w:uiPriority w:val="0"/>
    <w:pPr>
      <w:keepNext/>
      <w:keepLines/>
      <w:spacing w:before="260" w:after="260" w:line="500" w:lineRule="exact"/>
      <w:jc w:val="left"/>
      <w:outlineLvl w:val="1"/>
    </w:pPr>
    <w:rPr>
      <w:rFonts w:ascii="黑体" w:hAnsi="宋体" w:eastAsia="黑体"/>
      <w:b/>
      <w:smallCaps/>
      <w:snapToGrid w:val="0"/>
      <w:color w:val="000000"/>
      <w:sz w:val="32"/>
      <w:szCs w:val="32"/>
    </w:rPr>
  </w:style>
  <w:style w:type="paragraph" w:styleId="6">
    <w:name w:val="heading 3"/>
    <w:basedOn w:val="1"/>
    <w:next w:val="1"/>
    <w:link w:val="21"/>
    <w:qFormat/>
    <w:uiPriority w:val="0"/>
    <w:pPr>
      <w:keepNext/>
      <w:keepLines/>
      <w:spacing w:before="260" w:after="260" w:line="416" w:lineRule="auto"/>
      <w:outlineLvl w:val="2"/>
    </w:pPr>
    <w:rPr>
      <w:rFonts w:eastAsia="黑体"/>
      <w:b/>
      <w:bCs/>
      <w:sz w:val="32"/>
      <w:szCs w:val="32"/>
    </w:rPr>
  </w:style>
  <w:style w:type="paragraph" w:styleId="7">
    <w:name w:val="heading 4"/>
    <w:basedOn w:val="1"/>
    <w:next w:val="1"/>
    <w:link w:val="23"/>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5">
    <w:name w:val="Normal Indent"/>
    <w:basedOn w:val="1"/>
    <w:unhideWhenUsed/>
    <w:qFormat/>
    <w:uiPriority w:val="0"/>
    <w:pPr>
      <w:ind w:firstLine="420" w:firstLineChars="200"/>
    </w:p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unhideWhenUsed/>
    <w:qFormat/>
    <w:uiPriority w:val="99"/>
    <w:rPr>
      <w:color w:val="0000FF"/>
      <w:u w:val="single"/>
    </w:rPr>
  </w:style>
  <w:style w:type="character" w:customStyle="1" w:styleId="13">
    <w:name w:val="标题 2 字符"/>
    <w:basedOn w:val="11"/>
    <w:link w:val="4"/>
    <w:qFormat/>
    <w:uiPriority w:val="0"/>
    <w:rPr>
      <w:rFonts w:ascii="黑体" w:hAnsi="宋体" w:eastAsia="黑体" w:cs="Times New Roman"/>
      <w:b/>
      <w:smallCaps/>
      <w:snapToGrid w:val="0"/>
      <w:color w:val="000000"/>
      <w:sz w:val="32"/>
      <w:szCs w:val="32"/>
    </w:rPr>
  </w:style>
  <w:style w:type="paragraph" w:customStyle="1" w:styleId="14">
    <w:name w:val="列出段落1"/>
    <w:basedOn w:val="1"/>
    <w:qFormat/>
    <w:uiPriority w:val="34"/>
    <w:pPr>
      <w:ind w:firstLine="420" w:firstLineChars="200"/>
    </w:pPr>
    <w:rPr>
      <w:rFonts w:ascii="Times New Roman" w:hAnsi="Times New Roman"/>
      <w:szCs w:val="24"/>
    </w:rPr>
  </w:style>
  <w:style w:type="paragraph" w:customStyle="1" w:styleId="15">
    <w:name w:val="正文首行缩进1"/>
    <w:basedOn w:val="2"/>
    <w:qFormat/>
    <w:uiPriority w:val="0"/>
    <w:pPr>
      <w:spacing w:line="312" w:lineRule="auto"/>
      <w:ind w:firstLine="420"/>
    </w:pPr>
    <w:rPr>
      <w:rFonts w:cs="宋体"/>
      <w:sz w:val="24"/>
      <w:szCs w:val="24"/>
    </w:rPr>
  </w:style>
  <w:style w:type="character" w:customStyle="1" w:styleId="16">
    <w:name w:val="正文文本 字符"/>
    <w:basedOn w:val="11"/>
    <w:link w:val="2"/>
    <w:semiHidden/>
    <w:qFormat/>
    <w:uiPriority w:val="99"/>
    <w:rPr>
      <w:rFonts w:ascii="Calibri" w:hAnsi="Calibri" w:eastAsia="宋体" w:cs="Times New Roman"/>
    </w:rPr>
  </w:style>
  <w:style w:type="character" w:customStyle="1" w:styleId="17">
    <w:name w:val="标题 1 字符"/>
    <w:basedOn w:val="11"/>
    <w:qFormat/>
    <w:uiPriority w:val="9"/>
    <w:rPr>
      <w:rFonts w:ascii="Calibri" w:hAnsi="Calibri" w:eastAsia="宋体" w:cs="Times New Roman"/>
      <w:b/>
      <w:bCs/>
      <w:kern w:val="44"/>
      <w:sz w:val="44"/>
      <w:szCs w:val="44"/>
    </w:rPr>
  </w:style>
  <w:style w:type="character" w:customStyle="1" w:styleId="18">
    <w:name w:val="标题 1 字符1"/>
    <w:link w:val="3"/>
    <w:qFormat/>
    <w:uiPriority w:val="0"/>
    <w:rPr>
      <w:rFonts w:ascii="Calibri" w:hAnsi="Calibri" w:eastAsia="宋体" w:cs="Times New Roman"/>
      <w:b/>
      <w:bCs/>
      <w:kern w:val="44"/>
      <w:sz w:val="44"/>
      <w:szCs w:val="44"/>
    </w:rPr>
  </w:style>
  <w:style w:type="character" w:customStyle="1" w:styleId="19">
    <w:name w:val="页眉 字符"/>
    <w:basedOn w:val="11"/>
    <w:link w:val="9"/>
    <w:qFormat/>
    <w:uiPriority w:val="99"/>
    <w:rPr>
      <w:rFonts w:ascii="Calibri" w:hAnsi="Calibri" w:eastAsia="宋体" w:cs="Times New Roman"/>
      <w:sz w:val="18"/>
      <w:szCs w:val="18"/>
    </w:rPr>
  </w:style>
  <w:style w:type="character" w:customStyle="1" w:styleId="20">
    <w:name w:val="页脚 字符"/>
    <w:basedOn w:val="11"/>
    <w:link w:val="8"/>
    <w:qFormat/>
    <w:uiPriority w:val="99"/>
    <w:rPr>
      <w:rFonts w:ascii="Calibri" w:hAnsi="Calibri" w:eastAsia="宋体" w:cs="Times New Roman"/>
      <w:sz w:val="18"/>
      <w:szCs w:val="18"/>
    </w:rPr>
  </w:style>
  <w:style w:type="character" w:customStyle="1" w:styleId="21">
    <w:name w:val="标题 3 字符"/>
    <w:basedOn w:val="11"/>
    <w:link w:val="6"/>
    <w:qFormat/>
    <w:uiPriority w:val="0"/>
    <w:rPr>
      <w:rFonts w:ascii="Calibri" w:hAnsi="Calibri" w:eastAsia="黑体" w:cs="Times New Roman"/>
      <w:b/>
      <w:bCs/>
      <w:sz w:val="32"/>
      <w:szCs w:val="32"/>
    </w:rPr>
  </w:style>
  <w:style w:type="character" w:customStyle="1" w:styleId="22">
    <w:name w:val="标题 4 字符"/>
    <w:basedOn w:val="11"/>
    <w:semiHidden/>
    <w:qFormat/>
    <w:uiPriority w:val="9"/>
    <w:rPr>
      <w:rFonts w:asciiTheme="majorHAnsi" w:hAnsiTheme="majorHAnsi" w:eastAsiaTheme="majorEastAsia" w:cstheme="majorBidi"/>
      <w:b/>
      <w:bCs/>
      <w:sz w:val="28"/>
      <w:szCs w:val="28"/>
    </w:rPr>
  </w:style>
  <w:style w:type="character" w:customStyle="1" w:styleId="23">
    <w:name w:val="标题 4 字符1"/>
    <w:link w:val="7"/>
    <w:qFormat/>
    <w:uiPriority w:val="0"/>
    <w:rPr>
      <w:rFonts w:ascii="Arial" w:hAnsi="Arial" w:eastAsia="黑体" w:cs="Times New Roman"/>
      <w:b/>
      <w:bCs/>
      <w:sz w:val="28"/>
      <w:szCs w:val="28"/>
    </w:rPr>
  </w:style>
  <w:style w:type="paragraph" w:styleId="24">
    <w:name w:val="List Paragraph"/>
    <w:basedOn w:val="1"/>
    <w:qFormat/>
    <w:uiPriority w:val="1"/>
    <w:pPr>
      <w:ind w:left="232" w:firstLine="417"/>
    </w:pPr>
  </w:style>
  <w:style w:type="paragraph" w:customStyle="1" w:styleId="25">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707</Words>
  <Characters>4030</Characters>
  <Lines>33</Lines>
  <Paragraphs>9</Paragraphs>
  <TotalTime>0</TotalTime>
  <ScaleCrop>false</ScaleCrop>
  <LinksUpToDate>false</LinksUpToDate>
  <CharactersWithSpaces>4728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2020-08-27T13:14:00Z</dcterms:created>
  <dc:creator>Feng</dc:creator>
  <cp:lastModifiedBy>Miss_婷小姐</cp:lastModifiedBy>
  <cp:lastPrinted>2020-09-24T11:57:00Z</cp:lastPrinted>
  <dcterms:modified xsi:type="dcterms:W3CDTF">2020-09-30T05:38:31Z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