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color w:val="auto"/>
          <w:sz w:val="32"/>
          <w:szCs w:val="32"/>
          <w:highlight w:val="none"/>
        </w:rPr>
      </w:pPr>
      <w:bookmarkStart w:id="0" w:name="_Toc258182499"/>
      <w:bookmarkStart w:id="1" w:name="_Hlk33781144"/>
      <w:r>
        <w:rPr>
          <w:rFonts w:hint="eastAsia" w:ascii="黑体" w:hAnsi="黑体" w:eastAsia="黑体"/>
          <w:color w:val="auto"/>
          <w:sz w:val="32"/>
          <w:szCs w:val="32"/>
          <w:highlight w:val="none"/>
        </w:rPr>
        <w:t>吉林省高速公路视频云联网工程施工</w:t>
      </w:r>
    </w:p>
    <w:p>
      <w:pPr>
        <w:adjustRightInd w:val="0"/>
        <w:snapToGrid w:val="0"/>
        <w:jc w:val="center"/>
        <w:rPr>
          <w:rFonts w:hint="default" w:ascii="黑体" w:hAnsi="黑体" w:eastAsia="黑体"/>
          <w:color w:val="auto"/>
          <w:sz w:val="36"/>
          <w:szCs w:val="36"/>
          <w:highlight w:val="none"/>
          <w:lang w:val="en-US" w:eastAsia="zh-CN"/>
        </w:rPr>
      </w:pPr>
      <w:r>
        <w:rPr>
          <w:rFonts w:hint="eastAsia" w:ascii="黑体" w:hAnsi="宋体" w:eastAsia="黑体"/>
          <w:sz w:val="30"/>
          <w:szCs w:val="30"/>
        </w:rPr>
        <w:t>招标文件关键内容信息公开</w:t>
      </w:r>
    </w:p>
    <w:bookmarkEnd w:id="0"/>
    <w:bookmarkEnd w:id="1"/>
    <w:p>
      <w:pPr>
        <w:adjustRightInd w:val="0"/>
        <w:snapToGrid w:val="0"/>
        <w:spacing w:line="360" w:lineRule="auto"/>
        <w:ind w:firstLine="420" w:firstLineChars="200"/>
        <w:rPr>
          <w:rFonts w:hint="eastAsia" w:ascii="宋体" w:hAnsi="宋体" w:eastAsia="宋体" w:cs="Times New Roman"/>
          <w:szCs w:val="21"/>
        </w:rPr>
      </w:pPr>
      <w:bookmarkStart w:id="2" w:name="_Toc258182503"/>
      <w:bookmarkStart w:id="3" w:name="_Toc530376653"/>
      <w:bookmarkStart w:id="4" w:name="_Toc24400"/>
      <w:r>
        <w:rPr>
          <w:rFonts w:hint="eastAsia" w:ascii="宋体" w:hAnsi="宋体" w:eastAsia="宋体" w:cs="Times New Roman"/>
          <w:szCs w:val="21"/>
        </w:rPr>
        <w:t>项目概况详见本次招标项目招标公告第1条、第2条。</w:t>
      </w:r>
    </w:p>
    <w:p>
      <w:pPr>
        <w:adjustRightInd w:val="0"/>
        <w:snapToGrid w:val="0"/>
        <w:spacing w:line="360" w:lineRule="auto"/>
        <w:ind w:firstLine="640" w:firstLineChars="200"/>
        <w:rPr>
          <w:b w:val="0"/>
          <w:bCs w:val="0"/>
          <w:color w:val="auto"/>
          <w:sz w:val="32"/>
          <w:szCs w:val="32"/>
          <w:highlight w:val="none"/>
        </w:rPr>
      </w:pPr>
      <w:bookmarkStart w:id="23" w:name="_GoBack"/>
      <w:bookmarkEnd w:id="23"/>
      <w:r>
        <w:rPr>
          <w:rFonts w:hint="eastAsia"/>
          <w:b w:val="0"/>
          <w:bCs w:val="0"/>
          <w:color w:val="auto"/>
          <w:sz w:val="32"/>
          <w:szCs w:val="32"/>
          <w:highlight w:val="none"/>
        </w:rPr>
        <w:t>投标人须知前附表</w:t>
      </w:r>
      <w:bookmarkEnd w:id="2"/>
      <w:r>
        <w:rPr>
          <w:rStyle w:val="55"/>
          <w:b w:val="0"/>
          <w:bCs w:val="0"/>
          <w:color w:val="auto"/>
          <w:sz w:val="32"/>
          <w:szCs w:val="32"/>
          <w:highlight w:val="none"/>
        </w:rPr>
        <w:footnoteReference w:id="0"/>
      </w:r>
      <w:bookmarkEnd w:id="3"/>
      <w:bookmarkEnd w:id="4"/>
    </w:p>
    <w:tbl>
      <w:tblPr>
        <w:tblStyle w:val="43"/>
        <w:tblW w:w="9057" w:type="dxa"/>
        <w:tblInd w:w="0" w:type="dxa"/>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Layout w:type="fixed"/>
        <w:tblCellMar>
          <w:top w:w="0" w:type="dxa"/>
          <w:left w:w="57" w:type="dxa"/>
          <w:bottom w:w="0" w:type="dxa"/>
          <w:right w:w="57" w:type="dxa"/>
        </w:tblCellMar>
      </w:tblPr>
      <w:tblGrid>
        <w:gridCol w:w="769"/>
        <w:gridCol w:w="1626"/>
        <w:gridCol w:w="6662"/>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blHeader/>
        </w:trPr>
        <w:tc>
          <w:tcPr>
            <w:tcW w:w="769"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条款号</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条 款 名 称</w:t>
            </w:r>
          </w:p>
        </w:tc>
        <w:tc>
          <w:tcPr>
            <w:tcW w:w="6662"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编 列 内 容</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1.1.2</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招标人</w:t>
            </w: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招 标 人：吉林省高速公路集团有限公司</w:t>
            </w:r>
          </w:p>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地　　址：吉林省长春市南关区人民大街11511号</w:t>
            </w:r>
          </w:p>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邮政编码：130028</w:t>
            </w:r>
          </w:p>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 xml:space="preserve">联 系 人：于忠宏 </w:t>
            </w:r>
            <w:r>
              <w:rPr>
                <w:rFonts w:hint="eastAsia" w:ascii="宋体" w:hAnsi="宋体" w:cs="宋体"/>
                <w:color w:val="auto"/>
                <w:szCs w:val="21"/>
                <w:highlight w:val="none"/>
              </w:rPr>
              <w:t>李昱翠</w:t>
            </w:r>
          </w:p>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电    话：</w:t>
            </w:r>
            <w:r>
              <w:rPr>
                <w:rFonts w:hint="eastAsia" w:ascii="宋体" w:hAnsi="宋体" w:cs="宋体"/>
                <w:color w:val="auto"/>
                <w:szCs w:val="21"/>
                <w:highlight w:val="none"/>
              </w:rPr>
              <w:t>0431-85254020</w:t>
            </w:r>
          </w:p>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电子邮箱：525208509@qq.com</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1.1.3</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招标代理机构</w:t>
            </w: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招标代理机构：国信国际工程咨询集团股份有限公司</w:t>
            </w:r>
          </w:p>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地　　址：</w:t>
            </w:r>
            <w:r>
              <w:rPr>
                <w:rFonts w:hint="eastAsia" w:ascii="宋体" w:hAnsi="宋体" w:cs="宋体"/>
                <w:color w:val="auto"/>
                <w:szCs w:val="21"/>
                <w:highlight w:val="none"/>
              </w:rPr>
              <w:t>长春市净月旅游开发区生态大街3777号明宇广场A4栋32层招标部</w:t>
            </w:r>
          </w:p>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邮政编码：130000</w:t>
            </w:r>
          </w:p>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联 系 人：</w:t>
            </w:r>
            <w:r>
              <w:rPr>
                <w:rFonts w:hint="eastAsia" w:ascii="宋体" w:hAnsi="宋体" w:cs="宋体"/>
                <w:color w:val="auto"/>
                <w:szCs w:val="21"/>
                <w:highlight w:val="none"/>
              </w:rPr>
              <w:t>张娉婷、王建</w:t>
            </w:r>
          </w:p>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电　　话：</w:t>
            </w:r>
            <w:r>
              <w:rPr>
                <w:rFonts w:hint="eastAsia" w:ascii="宋体" w:hAnsi="宋体" w:cs="宋体"/>
                <w:color w:val="auto"/>
                <w:szCs w:val="21"/>
                <w:highlight w:val="none"/>
              </w:rPr>
              <w:t>0431-81852896</w:t>
            </w:r>
          </w:p>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电子邮箱：</w:t>
            </w:r>
            <w:r>
              <w:rPr>
                <w:rFonts w:hint="eastAsia" w:ascii="宋体" w:hAnsi="宋体" w:cs="宋体"/>
                <w:color w:val="auto"/>
                <w:szCs w:val="21"/>
                <w:highlight w:val="none"/>
                <w:shd w:val="clear" w:color="auto" w:fill="FFFFFF"/>
              </w:rPr>
              <w:t>2232574732@qq.com</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1.1.4</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招标项目名称</w:t>
            </w: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szCs w:val="21"/>
                <w:highlight w:val="none"/>
              </w:rPr>
              <w:t>吉林省高速公路视频云联网工程</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1.1.5</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标段建设地点</w:t>
            </w: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color w:val="auto"/>
                <w:highlight w:val="none"/>
              </w:rPr>
              <w:t>吉林省境内。</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1.2.1</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资金来源及比例</w:t>
            </w: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见招标公告</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1.2.2</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资金落实情况</w:t>
            </w: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已落实</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1.3.1</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招标范围</w:t>
            </w: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见招标文件第一章“招标公告”第2条</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1.3.2</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计划工期</w:t>
            </w: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见招标文件第一章“招标公告”第2条</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1.3.3</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质量要求</w:t>
            </w: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olor w:val="auto"/>
                <w:kern w:val="0"/>
                <w:szCs w:val="21"/>
                <w:highlight w:val="none"/>
              </w:rPr>
              <w:t>符合</w:t>
            </w:r>
            <w:bookmarkStart w:id="5" w:name="_Hlk43382631"/>
            <w:r>
              <w:rPr>
                <w:rFonts w:hint="eastAsia" w:ascii="宋体" w:hAnsi="宋体"/>
                <w:color w:val="auto"/>
                <w:kern w:val="0"/>
                <w:szCs w:val="21"/>
                <w:highlight w:val="none"/>
              </w:rPr>
              <w:t>国家、交通运输部、吉林省相关规范、规程和技术标准及招标人技术要求</w:t>
            </w:r>
            <w:bookmarkEnd w:id="5"/>
            <w:r>
              <w:rPr>
                <w:rFonts w:hint="eastAsia" w:ascii="宋体" w:hAnsi="宋体"/>
                <w:color w:val="auto"/>
                <w:kern w:val="0"/>
                <w:szCs w:val="21"/>
                <w:highlight w:val="none"/>
              </w:rPr>
              <w:t>，并通过交通运输部竣工验收</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1.3.4</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安全目标</w:t>
            </w: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在项目建设过程中杜绝重大安全责任事故，避免发生较大安全责任事故，控制一般安全责任事故。</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vertAlign w:val="superscript"/>
              </w:rPr>
            </w:pPr>
            <w:r>
              <w:rPr>
                <w:rFonts w:hint="eastAsia" w:ascii="宋体" w:hAnsi="宋体" w:cs="宋体"/>
                <w:color w:val="auto"/>
                <w:szCs w:val="21"/>
                <w:highlight w:val="none"/>
              </w:rPr>
              <w:t>1.4.1</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投标人资质条件、能力和信誉</w:t>
            </w: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资质条件：见附录1</w:t>
            </w:r>
          </w:p>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财务要求：见附录2</w:t>
            </w:r>
          </w:p>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业绩要求：见附录3</w:t>
            </w:r>
          </w:p>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信誉要求：见附录4</w:t>
            </w:r>
          </w:p>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项目经理和项目总工资格要求：见附录5</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1.4.2</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是否接受</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联合体投标</w:t>
            </w: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不接受</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1.4.3</w:t>
            </w:r>
          </w:p>
        </w:tc>
        <w:tc>
          <w:tcPr>
            <w:tcW w:w="1626" w:type="dxa"/>
            <w:shd w:val="clear" w:color="auto" w:fill="FFFFFF" w:themeFill="background1"/>
            <w:vAlign w:val="center"/>
          </w:tcPr>
          <w:p>
            <w:pPr>
              <w:keepLines/>
              <w:snapToGrid w:val="0"/>
              <w:jc w:val="center"/>
              <w:rPr>
                <w:rFonts w:ascii="宋体" w:hAnsi="宋体" w:cs="宋体"/>
                <w:color w:val="auto"/>
                <w:szCs w:val="21"/>
                <w:highlight w:val="none"/>
              </w:rPr>
            </w:pPr>
            <w:r>
              <w:rPr>
                <w:rFonts w:hint="eastAsia" w:ascii="宋体" w:hAnsi="宋体" w:cs="宋体"/>
                <w:color w:val="auto"/>
                <w:kern w:val="0"/>
                <w:szCs w:val="21"/>
                <w:highlight w:val="none"/>
                <w:lang w:val="zh-CN"/>
              </w:rPr>
              <w:t>投标人不得存在的其他关联情形</w:t>
            </w: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firstLine="210" w:firstLineChars="100"/>
              <w:rPr>
                <w:rFonts w:ascii="宋体" w:hAnsi="宋体" w:cs="宋体"/>
                <w:color w:val="auto"/>
                <w:kern w:val="0"/>
                <w:szCs w:val="21"/>
                <w:highlight w:val="none"/>
              </w:rPr>
            </w:pPr>
            <w:r>
              <w:rPr>
                <w:rFonts w:hint="eastAsia" w:ascii="宋体" w:hAnsi="宋体" w:cs="宋体"/>
                <w:color w:val="auto"/>
                <w:kern w:val="0"/>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1.4.4</w:t>
            </w:r>
          </w:p>
        </w:tc>
        <w:tc>
          <w:tcPr>
            <w:tcW w:w="1626" w:type="dxa"/>
            <w:shd w:val="clear" w:color="auto" w:fill="FFFFFF" w:themeFill="background1"/>
            <w:vAlign w:val="center"/>
          </w:tcPr>
          <w:p>
            <w:pPr>
              <w:keepLines/>
              <w:snapToGrid w:val="0"/>
              <w:jc w:val="center"/>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投标人不得存在的其他不良状况或不良信用记录</w:t>
            </w: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本款内容第（6）目修改为：</w:t>
            </w:r>
          </w:p>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（6）投标人或其法定代表人、拟委任的项目经理在近三年内有行贿犯罪行为的。</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vMerge w:val="restart"/>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1.10.2</w:t>
            </w:r>
          </w:p>
        </w:tc>
        <w:tc>
          <w:tcPr>
            <w:tcW w:w="1626" w:type="dxa"/>
            <w:vMerge w:val="restart"/>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投标人在投标预备会前提出问题</w:t>
            </w: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时间：/</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vMerge w:val="continue"/>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p>
        </w:tc>
        <w:tc>
          <w:tcPr>
            <w:tcW w:w="1626" w:type="dxa"/>
            <w:vMerge w:val="continue"/>
            <w:shd w:val="clear" w:color="auto" w:fill="FFFFFF" w:themeFill="background1"/>
            <w:vAlign w:val="center"/>
          </w:tcPr>
          <w:p>
            <w:pPr>
              <w:keepLines/>
              <w:adjustRightInd w:val="0"/>
              <w:snapToGrid w:val="0"/>
              <w:jc w:val="center"/>
              <w:rPr>
                <w:rFonts w:ascii="宋体" w:hAnsi="宋体" w:cs="宋体"/>
                <w:color w:val="auto"/>
                <w:szCs w:val="21"/>
                <w:highlight w:val="none"/>
              </w:rPr>
            </w:pP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形式：/</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1.11.1</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分包</w:t>
            </w: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不允许</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2.1</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构成招标文件的</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其他资料</w:t>
            </w: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firstLine="210" w:firstLineChars="100"/>
              <w:rPr>
                <w:rFonts w:ascii="宋体" w:hAnsi="宋体" w:cs="宋体"/>
                <w:color w:val="auto"/>
                <w:kern w:val="0"/>
                <w:szCs w:val="21"/>
                <w:highlight w:val="none"/>
              </w:rPr>
            </w:pPr>
            <w:r>
              <w:rPr>
                <w:rFonts w:hint="eastAsia" w:ascii="宋体" w:hAnsi="宋体" w:cs="宋体"/>
                <w:color w:val="auto"/>
                <w:kern w:val="0"/>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vMerge w:val="restart"/>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2.2.1</w:t>
            </w:r>
          </w:p>
        </w:tc>
        <w:tc>
          <w:tcPr>
            <w:tcW w:w="1626" w:type="dxa"/>
            <w:vMerge w:val="restart"/>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投标人要求澄清</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招标文件</w:t>
            </w: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时间：投标截止时间10天前</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1220" w:hRule="atLeast"/>
        </w:trPr>
        <w:tc>
          <w:tcPr>
            <w:tcW w:w="769" w:type="dxa"/>
            <w:vMerge w:val="continue"/>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p>
        </w:tc>
        <w:tc>
          <w:tcPr>
            <w:tcW w:w="1626" w:type="dxa"/>
            <w:vMerge w:val="continue"/>
            <w:shd w:val="clear" w:color="auto" w:fill="FFFFFF" w:themeFill="background1"/>
            <w:vAlign w:val="center"/>
          </w:tcPr>
          <w:p>
            <w:pPr>
              <w:keepLines/>
              <w:adjustRightInd w:val="0"/>
              <w:snapToGrid w:val="0"/>
              <w:jc w:val="center"/>
              <w:rPr>
                <w:rFonts w:ascii="宋体" w:hAnsi="宋体" w:cs="宋体"/>
                <w:color w:val="auto"/>
                <w:szCs w:val="21"/>
                <w:highlight w:val="none"/>
              </w:rPr>
            </w:pPr>
          </w:p>
        </w:tc>
        <w:tc>
          <w:tcPr>
            <w:tcW w:w="6662" w:type="dxa"/>
            <w:shd w:val="clear" w:color="auto" w:fill="FFFFFF" w:themeFill="background1"/>
            <w:vAlign w:val="center"/>
          </w:tcPr>
          <w:p>
            <w:pPr>
              <w:keepLines/>
              <w:wordWrap w:val="0"/>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形式：将要求澄清内容（应加盖投标人单位章，或由投标人的法定代表人或其委托代理人签字）以电子邮件的形式发送至</w:t>
            </w:r>
            <w:r>
              <w:rPr>
                <w:rFonts w:hint="eastAsia" w:ascii="宋体" w:hAnsi="宋体" w:cs="宋体"/>
                <w:color w:val="auto"/>
                <w:szCs w:val="21"/>
                <w:highlight w:val="none"/>
                <w:shd w:val="clear" w:color="auto" w:fill="FFFFFF"/>
              </w:rPr>
              <w:t>2232574732@qq.com</w:t>
            </w:r>
            <w:r>
              <w:rPr>
                <w:rFonts w:hint="eastAsia" w:ascii="宋体" w:hAnsi="宋体" w:cs="宋体"/>
                <w:i/>
                <w:color w:val="auto"/>
                <w:kern w:val="0"/>
                <w:szCs w:val="21"/>
                <w:highlight w:val="none"/>
              </w:rPr>
              <w:t>，</w:t>
            </w:r>
            <w:r>
              <w:rPr>
                <w:rFonts w:hint="eastAsia" w:ascii="宋体" w:hAnsi="宋体" w:cs="宋体"/>
                <w:color w:val="auto"/>
                <w:szCs w:val="21"/>
                <w:highlight w:val="none"/>
              </w:rPr>
              <w:t>并电话通知招标代理机构。</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2.2.2</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招标文件澄清</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发出的形式</w:t>
            </w:r>
          </w:p>
        </w:tc>
        <w:tc>
          <w:tcPr>
            <w:tcW w:w="6662" w:type="dxa"/>
            <w:shd w:val="clear" w:color="auto" w:fill="FFFFFF" w:themeFill="background1"/>
            <w:vAlign w:val="center"/>
          </w:tcPr>
          <w:p>
            <w:pPr>
              <w:keepLines/>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通过电子邮件的方式</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vMerge w:val="restart"/>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2.2.3</w:t>
            </w:r>
          </w:p>
        </w:tc>
        <w:tc>
          <w:tcPr>
            <w:tcW w:w="1626" w:type="dxa"/>
            <w:vMerge w:val="restart"/>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投标人确认收到</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招标文件澄清</w:t>
            </w: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时间：收到澄清后24小时内（以发出时间为准）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vMerge w:val="continue"/>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p>
        </w:tc>
        <w:tc>
          <w:tcPr>
            <w:tcW w:w="1626" w:type="dxa"/>
            <w:vMerge w:val="continue"/>
            <w:shd w:val="clear" w:color="auto" w:fill="FFFFFF" w:themeFill="background1"/>
            <w:vAlign w:val="center"/>
          </w:tcPr>
          <w:p>
            <w:pPr>
              <w:keepLines/>
              <w:adjustRightInd w:val="0"/>
              <w:snapToGrid w:val="0"/>
              <w:jc w:val="center"/>
              <w:rPr>
                <w:rFonts w:ascii="宋体" w:hAnsi="宋体" w:cs="宋体"/>
                <w:color w:val="auto"/>
                <w:szCs w:val="21"/>
                <w:highlight w:val="none"/>
              </w:rPr>
            </w:pP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形式：将收到澄清的回函（应加盖投标人单位章，或由投标人的法定代表人或其委托代理人签字）以电子邮件的形式发送至</w:t>
            </w:r>
            <w:r>
              <w:rPr>
                <w:rFonts w:hint="eastAsia" w:ascii="宋体" w:hAnsi="宋体" w:cs="宋体"/>
                <w:color w:val="auto"/>
                <w:szCs w:val="21"/>
                <w:highlight w:val="none"/>
                <w:shd w:val="clear" w:color="auto" w:fill="FFFFFF"/>
              </w:rPr>
              <w:t>2232574732@qq.com</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2.3.1</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招标文件修改</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发出的方式</w:t>
            </w:r>
          </w:p>
        </w:tc>
        <w:tc>
          <w:tcPr>
            <w:tcW w:w="6662" w:type="dxa"/>
            <w:shd w:val="clear" w:color="auto" w:fill="FFFFFF" w:themeFill="background1"/>
            <w:vAlign w:val="center"/>
          </w:tcPr>
          <w:p>
            <w:pPr>
              <w:keepLines/>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通过电子邮件的方式</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vMerge w:val="restart"/>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2.3.2</w:t>
            </w:r>
          </w:p>
        </w:tc>
        <w:tc>
          <w:tcPr>
            <w:tcW w:w="1626" w:type="dxa"/>
            <w:vMerge w:val="restart"/>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投标人确认收到</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招标文件修改</w:t>
            </w: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时间：收到修改后24小时内（以发出时间为准）</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vMerge w:val="continue"/>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p>
        </w:tc>
        <w:tc>
          <w:tcPr>
            <w:tcW w:w="1626" w:type="dxa"/>
            <w:vMerge w:val="continue"/>
            <w:shd w:val="clear" w:color="auto" w:fill="FFFFFF" w:themeFill="background1"/>
            <w:vAlign w:val="center"/>
          </w:tcPr>
          <w:p>
            <w:pPr>
              <w:keepLines/>
              <w:adjustRightInd w:val="0"/>
              <w:snapToGrid w:val="0"/>
              <w:jc w:val="center"/>
              <w:rPr>
                <w:rFonts w:ascii="宋体" w:hAnsi="宋体" w:cs="宋体"/>
                <w:color w:val="auto"/>
                <w:szCs w:val="21"/>
                <w:highlight w:val="none"/>
              </w:rPr>
            </w:pP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形式：将收到修改的回函（应加盖投标人单位章，或由投标人的法定代表人或其委托代理人签字）以电子邮件的形式发送至</w:t>
            </w:r>
            <w:r>
              <w:rPr>
                <w:rFonts w:hint="eastAsia" w:ascii="宋体" w:hAnsi="宋体" w:cs="宋体"/>
                <w:color w:val="auto"/>
                <w:szCs w:val="21"/>
                <w:highlight w:val="none"/>
                <w:shd w:val="clear" w:color="auto" w:fill="FFFFFF"/>
              </w:rPr>
              <w:t>2232574732@qq.com</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3.1.1</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投标文件</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密封形式</w:t>
            </w:r>
          </w:p>
        </w:tc>
        <w:tc>
          <w:tcPr>
            <w:tcW w:w="6662" w:type="dxa"/>
            <w:shd w:val="clear" w:color="auto" w:fill="FFFFFF" w:themeFill="background1"/>
            <w:vAlign w:val="center"/>
          </w:tcPr>
          <w:p>
            <w:pPr>
              <w:keepLines/>
              <w:autoSpaceDE w:val="0"/>
              <w:autoSpaceDN w:val="0"/>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双信封</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3.1.1</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构成投标文件</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的其他资料</w:t>
            </w:r>
          </w:p>
        </w:tc>
        <w:tc>
          <w:tcPr>
            <w:tcW w:w="6662" w:type="dxa"/>
            <w:shd w:val="clear" w:color="auto" w:fill="FFFFFF" w:themeFill="background1"/>
            <w:vAlign w:val="center"/>
          </w:tcPr>
          <w:p>
            <w:pPr>
              <w:keepLines/>
              <w:autoSpaceDE w:val="0"/>
              <w:autoSpaceDN w:val="0"/>
              <w:adjustRightInd w:val="0"/>
              <w:snapToGrid w:val="0"/>
              <w:spacing w:line="360" w:lineRule="exact"/>
              <w:ind w:firstLine="210" w:firstLineChars="100"/>
              <w:rPr>
                <w:rFonts w:ascii="宋体" w:hAnsi="宋体" w:cs="宋体"/>
                <w:color w:val="auto"/>
                <w:kern w:val="0"/>
                <w:szCs w:val="21"/>
                <w:highlight w:val="none"/>
              </w:rPr>
            </w:pPr>
            <w:r>
              <w:rPr>
                <w:rFonts w:hint="eastAsia" w:ascii="宋体" w:hAnsi="宋体" w:cs="宋体"/>
                <w:color w:val="auto"/>
                <w:kern w:val="0"/>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3.2.1</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增值税税金</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的计算方法</w:t>
            </w:r>
          </w:p>
        </w:tc>
        <w:tc>
          <w:tcPr>
            <w:tcW w:w="6662" w:type="dxa"/>
            <w:shd w:val="clear" w:color="auto" w:fill="FFFFFF" w:themeFill="background1"/>
            <w:vAlign w:val="center"/>
          </w:tcPr>
          <w:p>
            <w:pPr>
              <w:keepLines/>
              <w:adjustRightInd w:val="0"/>
              <w:snapToGrid w:val="0"/>
              <w:spacing w:line="36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3.2.1</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工程量清单</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的填写方式</w:t>
            </w:r>
          </w:p>
        </w:tc>
        <w:tc>
          <w:tcPr>
            <w:tcW w:w="6662" w:type="dxa"/>
            <w:shd w:val="clear" w:color="auto" w:fill="FFFFFF" w:themeFill="background1"/>
            <w:vAlign w:val="center"/>
          </w:tcPr>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投标人按照招标人提供的固化电子文件填写并打印投标函、工程量清单</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3.2.3</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报价方式</w:t>
            </w:r>
          </w:p>
        </w:tc>
        <w:tc>
          <w:tcPr>
            <w:tcW w:w="6662" w:type="dxa"/>
            <w:shd w:val="clear" w:color="auto" w:fill="FFFFFF" w:themeFill="background1"/>
            <w:vAlign w:val="center"/>
          </w:tcPr>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单价</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3.2.6</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是否接受调价函</w:t>
            </w:r>
          </w:p>
        </w:tc>
        <w:tc>
          <w:tcPr>
            <w:tcW w:w="6662" w:type="dxa"/>
            <w:shd w:val="clear" w:color="auto" w:fill="FFFFFF" w:themeFill="background1"/>
            <w:vAlign w:val="center"/>
          </w:tcPr>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否</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240" w:lineRule="auto"/>
              <w:jc w:val="center"/>
              <w:rPr>
                <w:rFonts w:ascii="宋体" w:hAnsi="宋体" w:cs="宋体"/>
                <w:color w:val="auto"/>
                <w:szCs w:val="21"/>
                <w:highlight w:val="none"/>
              </w:rPr>
            </w:pPr>
            <w:r>
              <w:rPr>
                <w:rFonts w:hint="eastAsia" w:ascii="宋体" w:hAnsi="宋体" w:cs="宋体"/>
                <w:color w:val="auto"/>
                <w:szCs w:val="21"/>
                <w:highlight w:val="none"/>
              </w:rPr>
              <w:t>3.2.8</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最高投标限价</w:t>
            </w:r>
          </w:p>
        </w:tc>
        <w:tc>
          <w:tcPr>
            <w:tcW w:w="6662" w:type="dxa"/>
            <w:shd w:val="clear" w:color="auto" w:fill="FFFFFF" w:themeFill="background1"/>
            <w:vAlign w:val="center"/>
          </w:tcPr>
          <w:p>
            <w:pPr>
              <w:keepLines/>
              <w:adjustRightInd w:val="0"/>
              <w:snapToGrid w:val="0"/>
              <w:spacing w:line="240" w:lineRule="auto"/>
              <w:ind w:left="0" w:leftChars="0"/>
              <w:jc w:val="left"/>
              <w:rPr>
                <w:rFonts w:ascii="宋体" w:hAnsi="宋体" w:cs="宋体"/>
                <w:color w:val="auto"/>
                <w:szCs w:val="21"/>
                <w:highlight w:val="none"/>
              </w:rPr>
            </w:pPr>
            <w:r>
              <w:rPr>
                <w:rFonts w:ascii="宋体" w:hAnsi="宋体" w:cs="宋体"/>
                <w:color w:val="auto"/>
                <w:szCs w:val="21"/>
                <w:highlight w:val="none"/>
              </w:rPr>
              <w:t>JD01</w:t>
            </w:r>
            <w:r>
              <w:rPr>
                <w:rFonts w:hint="eastAsia" w:ascii="宋体" w:hAnsi="宋体" w:cs="宋体"/>
                <w:color w:val="auto"/>
                <w:szCs w:val="21"/>
                <w:highlight w:val="none"/>
                <w:lang w:val="en-US" w:eastAsia="zh-CN"/>
              </w:rPr>
              <w:t>标段</w:t>
            </w:r>
            <w:r>
              <w:rPr>
                <w:rFonts w:ascii="宋体" w:hAnsi="宋体" w:cs="宋体"/>
                <w:color w:val="auto"/>
                <w:szCs w:val="21"/>
                <w:highlight w:val="none"/>
              </w:rPr>
              <w:t>:</w:t>
            </w:r>
            <w:r>
              <w:rPr>
                <w:rFonts w:hint="eastAsia" w:ascii="宋体" w:hAnsi="宋体" w:eastAsia="宋体" w:cs="宋体"/>
                <w:color w:val="auto"/>
                <w:kern w:val="0"/>
                <w:sz w:val="21"/>
                <w:szCs w:val="21"/>
                <w:highlight w:val="none"/>
                <w:lang w:val="zh-CN" w:eastAsia="zh-CN" w:bidi="ar-SA"/>
              </w:rPr>
              <w:t>18030.89</w:t>
            </w:r>
            <w:r>
              <w:rPr>
                <w:rFonts w:hint="eastAsia" w:ascii="宋体" w:hAnsi="宋体" w:cs="宋体"/>
                <w:color w:val="auto"/>
                <w:szCs w:val="21"/>
                <w:highlight w:val="none"/>
              </w:rPr>
              <w:t>万元</w:t>
            </w:r>
          </w:p>
          <w:p>
            <w:pPr>
              <w:keepLines/>
              <w:adjustRightInd w:val="0"/>
              <w:snapToGrid w:val="0"/>
              <w:spacing w:line="240" w:lineRule="auto"/>
              <w:ind w:left="0" w:leftChars="0"/>
              <w:jc w:val="left"/>
              <w:rPr>
                <w:rFonts w:ascii="宋体" w:hAnsi="宋体" w:cs="宋体"/>
                <w:color w:val="auto"/>
                <w:szCs w:val="21"/>
                <w:highlight w:val="none"/>
              </w:rPr>
            </w:pPr>
            <w:r>
              <w:rPr>
                <w:rFonts w:ascii="宋体" w:hAnsi="宋体" w:cs="宋体"/>
                <w:color w:val="auto"/>
                <w:szCs w:val="21"/>
                <w:highlight w:val="none"/>
              </w:rPr>
              <w:t>JD02</w:t>
            </w:r>
            <w:r>
              <w:rPr>
                <w:rFonts w:hint="eastAsia" w:ascii="宋体" w:hAnsi="宋体" w:cs="宋体"/>
                <w:color w:val="auto"/>
                <w:szCs w:val="21"/>
                <w:highlight w:val="none"/>
                <w:lang w:val="en-US" w:eastAsia="zh-CN"/>
              </w:rPr>
              <w:t>标段</w:t>
            </w:r>
            <w:r>
              <w:rPr>
                <w:rFonts w:ascii="宋体" w:hAnsi="宋体" w:cs="宋体"/>
                <w:color w:val="auto"/>
                <w:szCs w:val="21"/>
                <w:highlight w:val="none"/>
              </w:rPr>
              <w:t>:</w:t>
            </w:r>
            <w:r>
              <w:rPr>
                <w:rFonts w:hint="eastAsia" w:ascii="宋体" w:hAnsi="宋体" w:eastAsia="宋体" w:cs="宋体"/>
                <w:color w:val="auto"/>
                <w:kern w:val="0"/>
                <w:sz w:val="21"/>
                <w:szCs w:val="21"/>
                <w:highlight w:val="none"/>
                <w:lang w:val="zh-CN" w:eastAsia="zh-CN" w:bidi="ar-SA"/>
              </w:rPr>
              <w:t>6204.61</w:t>
            </w:r>
            <w:r>
              <w:rPr>
                <w:rFonts w:hint="eastAsia" w:ascii="宋体" w:hAnsi="宋体" w:cs="宋体"/>
                <w:color w:val="auto"/>
                <w:szCs w:val="21"/>
                <w:highlight w:val="none"/>
              </w:rPr>
              <w:t>万元</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3.2.9</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投标报价的</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其他要求</w:t>
            </w:r>
          </w:p>
        </w:tc>
        <w:tc>
          <w:tcPr>
            <w:tcW w:w="6662" w:type="dxa"/>
            <w:shd w:val="clear" w:color="auto" w:fill="FFFFFF" w:themeFill="background1"/>
            <w:vAlign w:val="center"/>
          </w:tcPr>
          <w:p>
            <w:pPr>
              <w:keepLines/>
              <w:adjustRightInd w:val="0"/>
              <w:snapToGrid w:val="0"/>
              <w:spacing w:line="36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3.3.1</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投标有效期</w:t>
            </w:r>
          </w:p>
        </w:tc>
        <w:tc>
          <w:tcPr>
            <w:tcW w:w="6662" w:type="dxa"/>
            <w:shd w:val="clear" w:color="auto" w:fill="FFFFFF" w:themeFill="background1"/>
            <w:vAlign w:val="center"/>
          </w:tcPr>
          <w:p>
            <w:pPr>
              <w:keepLines/>
              <w:adjustRightInd w:val="0"/>
              <w:snapToGrid w:val="0"/>
              <w:spacing w:line="36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3.4.1</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投标保证金</w:t>
            </w:r>
          </w:p>
        </w:tc>
        <w:tc>
          <w:tcPr>
            <w:tcW w:w="6662" w:type="dxa"/>
            <w:shd w:val="clear" w:color="auto" w:fill="FFFFFF" w:themeFill="background1"/>
            <w:vAlign w:val="center"/>
          </w:tcPr>
          <w:p>
            <w:pPr>
              <w:pStyle w:val="204"/>
              <w:keepLines/>
              <w:snapToGrid w:val="0"/>
              <w:spacing w:before="120" w:beforeLines="50" w:line="360" w:lineRule="exact"/>
              <w:ind w:left="210" w:leftChars="100"/>
              <w:jc w:val="both"/>
              <w:rPr>
                <w:rFonts w:hAnsi="宋体"/>
                <w:color w:val="auto"/>
                <w:sz w:val="21"/>
                <w:szCs w:val="21"/>
                <w:highlight w:val="none"/>
                <w:lang w:val="zh-CN"/>
              </w:rPr>
            </w:pPr>
            <w:r>
              <w:rPr>
                <w:rFonts w:hint="eastAsia" w:hAnsi="宋体"/>
                <w:color w:val="auto"/>
                <w:sz w:val="21"/>
                <w:szCs w:val="21"/>
                <w:highlight w:val="none"/>
                <w:lang w:val="zh-CN"/>
              </w:rPr>
              <w:t>投标保证金的金额：80万元</w:t>
            </w:r>
            <w:bookmarkStart w:id="6" w:name="EB79319d0e8abe4d12b5c52fbd068b4c5a"/>
          </w:p>
          <w:p>
            <w:pPr>
              <w:pStyle w:val="204"/>
              <w:keepLines/>
              <w:numPr>
                <w:ilvl w:val="0"/>
                <w:numId w:val="1"/>
              </w:numPr>
              <w:snapToGrid w:val="0"/>
              <w:spacing w:before="120" w:beforeLines="50" w:line="360" w:lineRule="exact"/>
              <w:ind w:left="210" w:leftChars="100"/>
              <w:jc w:val="both"/>
              <w:rPr>
                <w:rFonts w:hAnsi="宋体"/>
                <w:color w:val="auto"/>
                <w:sz w:val="21"/>
                <w:szCs w:val="21"/>
                <w:highlight w:val="none"/>
                <w:lang w:val="zh-CN"/>
              </w:rPr>
            </w:pPr>
            <w:r>
              <w:rPr>
                <w:rFonts w:hint="eastAsia" w:hAnsi="宋体"/>
                <w:color w:val="auto"/>
                <w:sz w:val="21"/>
                <w:szCs w:val="21"/>
                <w:highlight w:val="none"/>
                <w:lang w:val="zh-CN"/>
              </w:rPr>
              <w:t>采用银行保函时，出具保函的银行级别：应由“工商银行、农业银行、中国银行、建设银行、交通银行、中国邮政储蓄银行”六大国有商业银行之一或全国性股份制商业银行开具，银行应为地市级分、支行或以上级别。</w:t>
            </w:r>
          </w:p>
          <w:p>
            <w:pPr>
              <w:pStyle w:val="204"/>
              <w:keepLines/>
              <w:numPr>
                <w:ilvl w:val="0"/>
                <w:numId w:val="1"/>
              </w:numPr>
              <w:snapToGrid w:val="0"/>
              <w:spacing w:before="120" w:beforeLines="50" w:line="360" w:lineRule="exact"/>
              <w:ind w:left="210" w:leftChars="100"/>
              <w:jc w:val="both"/>
              <w:rPr>
                <w:rFonts w:hAnsi="宋体"/>
                <w:color w:val="auto"/>
                <w:sz w:val="21"/>
                <w:szCs w:val="21"/>
                <w:highlight w:val="none"/>
                <w:lang w:val="zh-CN"/>
              </w:rPr>
            </w:pPr>
            <w:r>
              <w:rPr>
                <w:rFonts w:hint="eastAsia" w:hAnsi="宋体"/>
                <w:color w:val="auto"/>
                <w:sz w:val="21"/>
                <w:szCs w:val="21"/>
                <w:highlight w:val="none"/>
                <w:lang w:val="zh-CN"/>
              </w:rPr>
              <w:t>采用担保机构出具保函时，出具保函的担保机构级别：注册资本金不低于10亿元的长春市区境内的专业担保机构。</w:t>
            </w:r>
          </w:p>
          <w:p>
            <w:pPr>
              <w:pStyle w:val="204"/>
              <w:keepLines/>
              <w:snapToGrid w:val="0"/>
              <w:spacing w:before="120" w:beforeLines="50" w:line="360" w:lineRule="exact"/>
              <w:ind w:left="210" w:leftChars="100"/>
              <w:jc w:val="both"/>
              <w:rPr>
                <w:rFonts w:hAnsi="宋体"/>
                <w:color w:val="auto"/>
                <w:sz w:val="21"/>
                <w:szCs w:val="21"/>
                <w:highlight w:val="none"/>
                <w:lang w:val="zh-CN"/>
              </w:rPr>
            </w:pPr>
            <w:r>
              <w:rPr>
                <w:rFonts w:hint="eastAsia" w:hAnsi="宋体"/>
                <w:color w:val="auto"/>
                <w:sz w:val="21"/>
                <w:szCs w:val="21"/>
                <w:highlight w:val="none"/>
              </w:rPr>
              <w:t>（3）若采用现金或支票，投标人应在递交投标文件截止时间之前，将投标保证金由投标人的基本账户一次性转入并到达招标人指定账户，否则视为投标保证金无效。招标人指定的开户银行及账号如下：</w:t>
            </w:r>
          </w:p>
          <w:p>
            <w:pPr>
              <w:pStyle w:val="204"/>
              <w:keepLines/>
              <w:snapToGrid w:val="0"/>
              <w:spacing w:line="360" w:lineRule="exact"/>
              <w:ind w:left="210" w:leftChars="100"/>
              <w:jc w:val="both"/>
              <w:rPr>
                <w:rFonts w:hAnsi="宋体"/>
                <w:color w:val="auto"/>
                <w:sz w:val="21"/>
                <w:szCs w:val="21"/>
                <w:highlight w:val="none"/>
              </w:rPr>
            </w:pPr>
            <w:r>
              <w:rPr>
                <w:rFonts w:hint="eastAsia" w:hAnsi="宋体"/>
                <w:color w:val="auto"/>
                <w:sz w:val="21"/>
                <w:szCs w:val="21"/>
                <w:highlight w:val="none"/>
              </w:rPr>
              <w:t>开户银行：中国工商银行长春经济技术开发区支行</w:t>
            </w:r>
          </w:p>
          <w:p>
            <w:pPr>
              <w:pStyle w:val="204"/>
              <w:keepLines/>
              <w:snapToGrid w:val="0"/>
              <w:spacing w:line="360" w:lineRule="exact"/>
              <w:ind w:left="210" w:leftChars="100"/>
              <w:jc w:val="both"/>
              <w:rPr>
                <w:rFonts w:hAnsi="宋体"/>
                <w:color w:val="auto"/>
                <w:sz w:val="21"/>
                <w:szCs w:val="21"/>
                <w:highlight w:val="none"/>
              </w:rPr>
            </w:pPr>
            <w:r>
              <w:rPr>
                <w:rFonts w:hint="eastAsia" w:hAnsi="宋体"/>
                <w:color w:val="auto"/>
                <w:sz w:val="21"/>
                <w:szCs w:val="21"/>
                <w:highlight w:val="none"/>
              </w:rPr>
              <w:t>账户名称：吉林省高速公路集团有限公司</w:t>
            </w:r>
          </w:p>
          <w:p>
            <w:pPr>
              <w:pStyle w:val="204"/>
              <w:keepLines/>
              <w:snapToGrid w:val="0"/>
              <w:spacing w:line="360" w:lineRule="exact"/>
              <w:ind w:left="210" w:leftChars="100"/>
              <w:jc w:val="both"/>
              <w:rPr>
                <w:rFonts w:hAnsi="宋体"/>
                <w:color w:val="auto"/>
                <w:sz w:val="21"/>
                <w:szCs w:val="21"/>
                <w:highlight w:val="none"/>
              </w:rPr>
            </w:pPr>
            <w:r>
              <w:rPr>
                <w:rFonts w:hint="eastAsia" w:hAnsi="宋体"/>
                <w:color w:val="auto"/>
                <w:sz w:val="21"/>
                <w:szCs w:val="21"/>
                <w:highlight w:val="none"/>
              </w:rPr>
              <w:t>账    号：4200 2232 1920 0131 189</w:t>
            </w:r>
          </w:p>
          <w:p>
            <w:pPr>
              <w:pStyle w:val="204"/>
              <w:keepLines/>
              <w:snapToGrid w:val="0"/>
              <w:spacing w:line="360" w:lineRule="exact"/>
              <w:ind w:left="210" w:leftChars="100"/>
              <w:jc w:val="both"/>
              <w:rPr>
                <w:rFonts w:hAnsi="宋体"/>
                <w:color w:val="auto"/>
                <w:sz w:val="21"/>
                <w:szCs w:val="21"/>
                <w:highlight w:val="none"/>
              </w:rPr>
            </w:pPr>
            <w:r>
              <w:rPr>
                <w:rFonts w:hint="eastAsia" w:hAnsi="宋体"/>
                <w:color w:val="auto"/>
                <w:sz w:val="21"/>
                <w:szCs w:val="21"/>
                <w:highlight w:val="none"/>
              </w:rPr>
              <w:t>业务回单备注一栏可填写：“视频云联网工程投标担保”</w:t>
            </w:r>
            <w:bookmarkEnd w:id="6"/>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6870"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3.4.3</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投标保证金</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的退还及利</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息计算原则</w:t>
            </w:r>
          </w:p>
        </w:tc>
        <w:tc>
          <w:tcPr>
            <w:tcW w:w="6662" w:type="dxa"/>
            <w:shd w:val="clear" w:color="auto" w:fill="FFFFFF" w:themeFill="background1"/>
            <w:vAlign w:val="center"/>
          </w:tcPr>
          <w:p>
            <w:pPr>
              <w:pStyle w:val="204"/>
              <w:keepLines/>
              <w:snapToGrid w:val="0"/>
              <w:spacing w:line="360" w:lineRule="exact"/>
              <w:ind w:left="210" w:leftChars="100"/>
              <w:jc w:val="both"/>
              <w:rPr>
                <w:rFonts w:hAnsi="宋体"/>
                <w:color w:val="auto"/>
                <w:sz w:val="21"/>
                <w:szCs w:val="21"/>
                <w:highlight w:val="none"/>
                <w:lang w:val="zh-CN"/>
              </w:rPr>
            </w:pPr>
            <w:r>
              <w:rPr>
                <w:rFonts w:hint="eastAsia" w:hAnsi="宋体"/>
                <w:color w:val="auto"/>
                <w:sz w:val="21"/>
                <w:szCs w:val="21"/>
                <w:highlight w:val="none"/>
                <w:lang w:val="zh-CN"/>
              </w:rPr>
              <w:t>招标人最迟将在中标通知书发出后5日内向中标候选人以外的其他投标人退还投标保证金，与中标人签订合同后5日内向中标人和其他中标候选人退还投标保证金，其中中标人的投标保证金在其提交了招标代理服务费后退还。投标保证金以现金或支票形式递交的，招标人应同时退还投标保证金的银行同期活期存款利息，且退还至投标人的基本账户。</w:t>
            </w:r>
          </w:p>
          <w:p>
            <w:pPr>
              <w:pStyle w:val="204"/>
              <w:keepLines/>
              <w:snapToGrid w:val="0"/>
              <w:spacing w:line="360" w:lineRule="exact"/>
              <w:ind w:left="210" w:leftChars="100"/>
              <w:jc w:val="both"/>
              <w:rPr>
                <w:rFonts w:hAnsi="宋体"/>
                <w:color w:val="auto"/>
                <w:sz w:val="21"/>
                <w:szCs w:val="21"/>
                <w:highlight w:val="none"/>
                <w:lang w:val="zh-CN"/>
              </w:rPr>
            </w:pPr>
            <w:r>
              <w:rPr>
                <w:rFonts w:hint="eastAsia" w:hAnsi="宋体"/>
                <w:color w:val="auto"/>
                <w:sz w:val="21"/>
                <w:szCs w:val="21"/>
                <w:highlight w:val="none"/>
                <w:lang w:val="zh-CN"/>
              </w:rPr>
              <w:t>利息计算原则如下：</w:t>
            </w:r>
          </w:p>
          <w:p>
            <w:pPr>
              <w:pStyle w:val="204"/>
              <w:keepLines/>
              <w:snapToGrid w:val="0"/>
              <w:spacing w:line="360" w:lineRule="exact"/>
              <w:ind w:left="210" w:leftChars="100"/>
              <w:jc w:val="both"/>
              <w:rPr>
                <w:rFonts w:hAnsi="宋体"/>
                <w:color w:val="auto"/>
                <w:sz w:val="21"/>
                <w:szCs w:val="21"/>
                <w:highlight w:val="none"/>
                <w:lang w:val="zh-CN"/>
              </w:rPr>
            </w:pPr>
            <w:r>
              <w:rPr>
                <w:rFonts w:hint="eastAsia" w:hAnsi="宋体"/>
                <w:color w:val="auto"/>
                <w:sz w:val="21"/>
                <w:szCs w:val="21"/>
                <w:highlight w:val="none"/>
                <w:lang w:val="zh-CN"/>
              </w:rPr>
              <w:t>（1）计算利息的起始日期为投标截止当日，终止日期为招标人退还投标保证金日期的前一日；</w:t>
            </w:r>
          </w:p>
          <w:p>
            <w:pPr>
              <w:pStyle w:val="204"/>
              <w:keepLines/>
              <w:snapToGrid w:val="0"/>
              <w:spacing w:line="360" w:lineRule="exact"/>
              <w:ind w:left="210" w:leftChars="100"/>
              <w:jc w:val="both"/>
              <w:rPr>
                <w:rFonts w:hAnsi="宋体"/>
                <w:color w:val="auto"/>
                <w:sz w:val="21"/>
                <w:szCs w:val="21"/>
                <w:highlight w:val="none"/>
                <w:lang w:val="zh-CN"/>
              </w:rPr>
            </w:pPr>
            <w:r>
              <w:rPr>
                <w:rFonts w:hint="eastAsia" w:hAnsi="宋体"/>
                <w:color w:val="auto"/>
                <w:sz w:val="21"/>
                <w:szCs w:val="21"/>
                <w:highlight w:val="none"/>
                <w:lang w:val="zh-CN"/>
              </w:rPr>
              <w:t>（2）投标保证金的利息按照第(1)款所述计息时间段内招标人指定汇入银行公告的活期存款利率计付，并扣除招标人汇款手续费；</w:t>
            </w:r>
          </w:p>
          <w:p>
            <w:pPr>
              <w:pStyle w:val="204"/>
              <w:keepLines/>
              <w:snapToGrid w:val="0"/>
              <w:spacing w:line="360" w:lineRule="exact"/>
              <w:ind w:left="210" w:leftChars="100"/>
              <w:jc w:val="both"/>
              <w:rPr>
                <w:rFonts w:hAnsi="宋体"/>
                <w:color w:val="auto"/>
                <w:sz w:val="21"/>
                <w:szCs w:val="21"/>
                <w:highlight w:val="none"/>
                <w:lang w:val="zh-CN"/>
              </w:rPr>
            </w:pPr>
            <w:r>
              <w:rPr>
                <w:rFonts w:hint="eastAsia" w:hAnsi="宋体"/>
                <w:color w:val="auto"/>
                <w:sz w:val="21"/>
                <w:szCs w:val="21"/>
                <w:highlight w:val="none"/>
                <w:lang w:val="zh-CN"/>
              </w:rPr>
              <w:t>（3）利息金额计算至分位，分以下尾数四舍五入。</w:t>
            </w:r>
          </w:p>
          <w:p>
            <w:pPr>
              <w:pStyle w:val="204"/>
              <w:keepLines/>
              <w:snapToGrid w:val="0"/>
              <w:spacing w:line="360" w:lineRule="exact"/>
              <w:ind w:left="210" w:leftChars="100"/>
              <w:jc w:val="both"/>
              <w:rPr>
                <w:rFonts w:hAnsi="宋体"/>
                <w:color w:val="auto"/>
                <w:sz w:val="21"/>
                <w:szCs w:val="21"/>
                <w:highlight w:val="none"/>
                <w:lang w:val="zh-CN"/>
              </w:rPr>
            </w:pPr>
            <w:r>
              <w:rPr>
                <w:rFonts w:hint="eastAsia" w:hAnsi="宋体"/>
                <w:color w:val="auto"/>
                <w:sz w:val="21"/>
                <w:szCs w:val="21"/>
                <w:highlight w:val="none"/>
                <w:lang w:val="zh-CN"/>
              </w:rPr>
              <w:t>注意：投标人必须自本次招标的中标候选人公示期满后5日内及时向招标人递交退还投标保证金的有关资料。</w:t>
            </w:r>
          </w:p>
          <w:p>
            <w:pPr>
              <w:pStyle w:val="204"/>
              <w:keepLines/>
              <w:snapToGrid w:val="0"/>
              <w:spacing w:line="360" w:lineRule="exact"/>
              <w:ind w:left="210" w:leftChars="100"/>
              <w:jc w:val="both"/>
              <w:rPr>
                <w:rFonts w:hAnsi="宋体"/>
                <w:color w:val="auto"/>
                <w:sz w:val="21"/>
                <w:szCs w:val="21"/>
                <w:highlight w:val="none"/>
                <w:lang w:val="zh-CN"/>
              </w:rPr>
            </w:pPr>
            <w:r>
              <w:rPr>
                <w:rFonts w:hint="eastAsia" w:hAnsi="宋体"/>
                <w:color w:val="auto"/>
                <w:sz w:val="21"/>
                <w:szCs w:val="21"/>
                <w:highlight w:val="none"/>
                <w:lang w:val="zh-CN"/>
              </w:rPr>
              <w:t>退还投标保证金时，投标人应向招标人提供的资料如下:</w:t>
            </w:r>
          </w:p>
          <w:p>
            <w:pPr>
              <w:pStyle w:val="204"/>
              <w:keepLines/>
              <w:snapToGrid w:val="0"/>
              <w:spacing w:line="360" w:lineRule="exact"/>
              <w:ind w:left="210" w:leftChars="100"/>
              <w:jc w:val="both"/>
              <w:rPr>
                <w:rFonts w:hAnsi="宋体"/>
                <w:color w:val="auto"/>
                <w:sz w:val="21"/>
                <w:szCs w:val="21"/>
                <w:highlight w:val="none"/>
                <w:lang w:val="zh-CN"/>
              </w:rPr>
            </w:pPr>
            <w:r>
              <w:rPr>
                <w:rFonts w:hint="eastAsia" w:hAnsi="宋体"/>
                <w:color w:val="auto"/>
                <w:sz w:val="21"/>
                <w:szCs w:val="21"/>
                <w:highlight w:val="none"/>
                <w:lang w:val="zh-CN"/>
              </w:rPr>
              <w:t>（1）基本账户开户许可证彩色复印件（清晰可辨）；</w:t>
            </w:r>
          </w:p>
          <w:p>
            <w:pPr>
              <w:pStyle w:val="204"/>
              <w:keepLines/>
              <w:snapToGrid w:val="0"/>
              <w:spacing w:line="360" w:lineRule="exact"/>
              <w:ind w:left="210" w:leftChars="100"/>
              <w:jc w:val="both"/>
              <w:rPr>
                <w:rFonts w:hAnsi="宋体"/>
                <w:color w:val="auto"/>
                <w:sz w:val="21"/>
                <w:szCs w:val="21"/>
                <w:highlight w:val="none"/>
                <w:lang w:val="zh-CN"/>
              </w:rPr>
            </w:pPr>
            <w:r>
              <w:rPr>
                <w:rFonts w:hint="eastAsia" w:hAnsi="宋体"/>
                <w:color w:val="auto"/>
                <w:sz w:val="21"/>
                <w:szCs w:val="21"/>
                <w:highlight w:val="none"/>
                <w:lang w:val="zh-CN"/>
              </w:rPr>
              <w:t>（2）给招标人开据的退还投标保证金财务收据原件；</w:t>
            </w:r>
          </w:p>
          <w:p>
            <w:pPr>
              <w:pStyle w:val="204"/>
              <w:keepLines/>
              <w:snapToGrid w:val="0"/>
              <w:spacing w:line="360" w:lineRule="exact"/>
              <w:ind w:left="210" w:leftChars="100"/>
              <w:jc w:val="both"/>
              <w:rPr>
                <w:rFonts w:hAnsi="宋体"/>
                <w:color w:val="auto"/>
                <w:sz w:val="21"/>
                <w:szCs w:val="21"/>
                <w:highlight w:val="none"/>
                <w:lang w:val="zh-CN"/>
              </w:rPr>
            </w:pPr>
            <w:r>
              <w:rPr>
                <w:rFonts w:hint="eastAsia" w:hAnsi="宋体"/>
                <w:color w:val="auto"/>
                <w:sz w:val="21"/>
                <w:szCs w:val="21"/>
                <w:highlight w:val="none"/>
                <w:lang w:val="zh-CN"/>
              </w:rPr>
              <w:t>（3）汇款凭证复印件；</w:t>
            </w:r>
          </w:p>
          <w:p>
            <w:pPr>
              <w:pStyle w:val="204"/>
              <w:keepLines/>
              <w:snapToGrid w:val="0"/>
              <w:spacing w:line="360" w:lineRule="exact"/>
              <w:ind w:left="210" w:leftChars="100"/>
              <w:jc w:val="both"/>
              <w:rPr>
                <w:rFonts w:hAnsi="宋体"/>
                <w:color w:val="auto"/>
                <w:sz w:val="21"/>
                <w:szCs w:val="21"/>
                <w:highlight w:val="none"/>
                <w:lang w:val="zh-CN"/>
              </w:rPr>
            </w:pPr>
            <w:r>
              <w:rPr>
                <w:rFonts w:hint="eastAsia" w:hAnsi="宋体"/>
                <w:color w:val="auto"/>
                <w:sz w:val="21"/>
                <w:szCs w:val="21"/>
                <w:highlight w:val="none"/>
                <w:lang w:val="zh-CN"/>
              </w:rPr>
              <w:t>（4）投标人未在上述期限内将相关手续送达招标人的，</w:t>
            </w:r>
            <w:r>
              <w:rPr>
                <w:rFonts w:hint="eastAsia" w:hAnsi="宋体"/>
                <w:color w:val="auto"/>
                <w:sz w:val="21"/>
                <w:szCs w:val="21"/>
                <w:highlight w:val="none"/>
              </w:rPr>
              <w:t>如果</w:t>
            </w:r>
            <w:r>
              <w:rPr>
                <w:rFonts w:hint="eastAsia" w:hAnsi="宋体"/>
                <w:color w:val="auto"/>
                <w:sz w:val="21"/>
                <w:szCs w:val="21"/>
                <w:highlight w:val="none"/>
                <w:lang w:val="zh-CN"/>
              </w:rPr>
              <w:t>投标人放弃利息，需出具放弃索要利息的情况说明，</w:t>
            </w:r>
            <w:r>
              <w:rPr>
                <w:rFonts w:hint="eastAsia" w:hAnsi="宋体"/>
                <w:color w:val="auto"/>
                <w:sz w:val="21"/>
                <w:szCs w:val="21"/>
                <w:highlight w:val="none"/>
              </w:rPr>
              <w:t>或</w:t>
            </w:r>
            <w:r>
              <w:rPr>
                <w:rFonts w:hint="eastAsia" w:hAnsi="宋体"/>
                <w:color w:val="auto"/>
                <w:sz w:val="21"/>
                <w:szCs w:val="21"/>
                <w:highlight w:val="none"/>
                <w:lang w:val="zh-CN"/>
              </w:rPr>
              <w:t>在投标保证金收据上注明自愿放弃收取利息；索要利息的，需同时提供增值税发票。</w:t>
            </w:r>
          </w:p>
          <w:p>
            <w:pPr>
              <w:pStyle w:val="204"/>
              <w:keepLines/>
              <w:snapToGrid w:val="0"/>
              <w:spacing w:line="360" w:lineRule="exact"/>
              <w:ind w:left="210" w:leftChars="100"/>
              <w:jc w:val="both"/>
              <w:rPr>
                <w:rFonts w:hAnsi="宋体"/>
                <w:color w:val="auto"/>
                <w:sz w:val="21"/>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3.4.4</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其他可以不予</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退还投标保证金情形</w:t>
            </w:r>
          </w:p>
        </w:tc>
        <w:tc>
          <w:tcPr>
            <w:tcW w:w="6662" w:type="dxa"/>
            <w:shd w:val="clear" w:color="auto" w:fill="FFFFFF" w:themeFill="background1"/>
            <w:vAlign w:val="center"/>
          </w:tcPr>
          <w:p>
            <w:pPr>
              <w:keepLines/>
              <w:adjustRightInd w:val="0"/>
              <w:snapToGrid w:val="0"/>
              <w:spacing w:line="36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utoSpaceDE w:val="0"/>
              <w:autoSpaceDN w:val="0"/>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3.5</w:t>
            </w:r>
          </w:p>
        </w:tc>
        <w:tc>
          <w:tcPr>
            <w:tcW w:w="1626" w:type="dxa"/>
            <w:shd w:val="clear" w:color="auto" w:fill="FFFFFF" w:themeFill="background1"/>
            <w:vAlign w:val="center"/>
          </w:tcPr>
          <w:p>
            <w:pPr>
              <w:keepLines/>
              <w:autoSpaceDE w:val="0"/>
              <w:autoSpaceDN w:val="0"/>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资格审查资料</w:t>
            </w:r>
          </w:p>
          <w:p>
            <w:pPr>
              <w:keepLines/>
              <w:autoSpaceDE w:val="0"/>
              <w:autoSpaceDN w:val="0"/>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的特殊要求</w:t>
            </w:r>
          </w:p>
        </w:tc>
        <w:tc>
          <w:tcPr>
            <w:tcW w:w="6662" w:type="dxa"/>
            <w:shd w:val="clear" w:color="auto" w:fill="FFFFFF" w:themeFill="background1"/>
            <w:vAlign w:val="center"/>
          </w:tcPr>
          <w:p>
            <w:pPr>
              <w:keepLines/>
              <w:snapToGrid w:val="0"/>
              <w:spacing w:before="36" w:beforeLines="15" w:after="36" w:afterLines="15" w:line="36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utoSpaceDE w:val="0"/>
              <w:autoSpaceDN w:val="0"/>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3.5.1</w:t>
            </w:r>
          </w:p>
        </w:tc>
        <w:tc>
          <w:tcPr>
            <w:tcW w:w="1626" w:type="dxa"/>
            <w:shd w:val="clear" w:color="auto" w:fill="FFFFFF" w:themeFill="background1"/>
            <w:vAlign w:val="center"/>
          </w:tcPr>
          <w:p>
            <w:pPr>
              <w:keepLines/>
              <w:autoSpaceDE w:val="0"/>
              <w:autoSpaceDN w:val="0"/>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投标人基本情况表</w:t>
            </w:r>
          </w:p>
        </w:tc>
        <w:tc>
          <w:tcPr>
            <w:tcW w:w="6662" w:type="dxa"/>
            <w:shd w:val="clear" w:color="auto" w:fill="FFFFFF" w:themeFill="background1"/>
            <w:vAlign w:val="center"/>
          </w:tcPr>
          <w:p>
            <w:pPr>
              <w:keepLines/>
              <w:snapToGrid w:val="0"/>
              <w:spacing w:before="36" w:beforeLines="15" w:after="36" w:afterLines="15"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本项内容修改为：</w:t>
            </w:r>
          </w:p>
          <w:p>
            <w:pPr>
              <w:keepLines/>
              <w:snapToGrid w:val="0"/>
              <w:spacing w:before="36" w:beforeLines="15" w:after="36" w:afterLines="15" w:line="360" w:lineRule="exact"/>
              <w:ind w:left="210" w:leftChars="100"/>
              <w:rPr>
                <w:rFonts w:ascii="宋体" w:hAnsi="宋体" w:cs="宋体"/>
                <w:color w:val="auto"/>
                <w:szCs w:val="21"/>
                <w:highlight w:val="none"/>
                <w:u w:val="wave"/>
              </w:rPr>
            </w:pPr>
            <w:r>
              <w:rPr>
                <w:rFonts w:hint="eastAsia" w:ascii="宋体" w:hAnsi="宋体" w:cs="宋体"/>
                <w:color w:val="auto"/>
                <w:szCs w:val="21"/>
                <w:highlight w:val="none"/>
              </w:rPr>
              <w:t>3.5.1 “投标人基本情况表”应附</w:t>
            </w:r>
            <w:r>
              <w:rPr>
                <w:rFonts w:hint="eastAsia" w:ascii="宋体" w:hAnsi="宋体" w:cs="宋体"/>
                <w:color w:val="auto"/>
                <w:szCs w:val="21"/>
                <w:highlight w:val="none"/>
                <w:u w:val="wave"/>
              </w:rPr>
              <w:t>企业法人营业执照副本、施工资质证书副本（或电子证书）、安全生产许可证副本</w:t>
            </w:r>
            <w:r>
              <w:rPr>
                <w:rFonts w:hint="eastAsia" w:ascii="宋体" w:hAnsi="宋体"/>
                <w:color w:val="auto"/>
                <w:szCs w:val="21"/>
                <w:highlight w:val="none"/>
                <w:u w:val="wave"/>
              </w:rPr>
              <w:t>（或电子证书）</w:t>
            </w:r>
            <w:r>
              <w:rPr>
                <w:rFonts w:hint="eastAsia" w:ascii="宋体" w:hAnsi="宋体" w:cs="宋体"/>
                <w:color w:val="auto"/>
                <w:szCs w:val="21"/>
                <w:highlight w:val="none"/>
                <w:u w:val="wave"/>
              </w:rPr>
              <w:t>、基本账户开户许可证（或由基本账户开户银行出具的开户证明）</w:t>
            </w:r>
            <w:r>
              <w:rPr>
                <w:rFonts w:hint="eastAsia" w:ascii="宋体" w:hAnsi="宋体" w:cs="宋体"/>
                <w:color w:val="auto"/>
                <w:szCs w:val="21"/>
                <w:highlight w:val="none"/>
              </w:rPr>
              <w:t>的复印件，投标人在交通运输部“全国公路建设市场信用信息管理系统”公路工程施工资质企业名录中的网页截图复印件，</w:t>
            </w:r>
            <w:r>
              <w:rPr>
                <w:rFonts w:hint="eastAsia" w:ascii="宋体" w:hAnsi="宋体" w:cs="宋体"/>
                <w:color w:val="auto"/>
                <w:szCs w:val="21"/>
                <w:highlight w:val="none"/>
                <w:u w:val="wave"/>
              </w:rPr>
              <w:t>以及投标人在国家企业信用信息公示系统中基础信息（体现股东及出资详细信息）的网页截图或由法定的社会验资机构出具的验资报告或注册地工商部门出具的股东出资情况证明。</w:t>
            </w:r>
          </w:p>
          <w:p>
            <w:pPr>
              <w:keepLines/>
              <w:snapToGrid w:val="0"/>
              <w:spacing w:before="36" w:beforeLines="15" w:after="36" w:afterLines="15"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企业法人营业执照副本、施工资质证书副本、安全生产许可证副本、基本账户开户许可证的复印件应提供全本（证书封面、封底、空白页除外），应包括投标人名称、投标人其他相关信息、颁发机构名称、投标人信息变更情况等关键页在内，并逐页加盖投标人单位章。</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3.5.2</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近年财务状况</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的年份要求</w:t>
            </w:r>
          </w:p>
        </w:tc>
        <w:tc>
          <w:tcPr>
            <w:tcW w:w="6662" w:type="dxa"/>
            <w:shd w:val="clear" w:color="auto" w:fill="FFFFFF" w:themeFill="background1"/>
            <w:vAlign w:val="center"/>
          </w:tcPr>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2019年</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3.5.3</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近年完成的</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类似项目情况表</w:t>
            </w:r>
          </w:p>
        </w:tc>
        <w:tc>
          <w:tcPr>
            <w:tcW w:w="6662" w:type="dxa"/>
            <w:shd w:val="clear" w:color="auto" w:fill="FFFFFF" w:themeFill="background1"/>
            <w:vAlign w:val="center"/>
          </w:tcPr>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2015年1月1日～投标截止时间，且必须为己列入交通运输主管部门“公路建设市场信用信息管理系统”并公开的己建总包业绩</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3.5.5</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拟委任的项目经理和项目总工资历表</w:t>
            </w:r>
          </w:p>
        </w:tc>
        <w:tc>
          <w:tcPr>
            <w:tcW w:w="6662" w:type="dxa"/>
            <w:shd w:val="clear" w:color="auto" w:fill="FFFFFF" w:themeFill="background1"/>
            <w:vAlign w:val="center"/>
          </w:tcPr>
          <w:p>
            <w:pPr>
              <w:keepLines/>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本项内容修改为：</w:t>
            </w:r>
          </w:p>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3.5.5 “拟委任的项目经理和项目总工资历表”应附项目经理和项目总工的身份证、职称资格证书以及资格审查条件所要求的其他相关证书（如建造师注册证书、安全生产考核合格证书等）的复印件，建造师注册证书、安全生产考核合格证书</w:t>
            </w:r>
            <w:r>
              <w:rPr>
                <w:rFonts w:hint="eastAsia" w:ascii="宋体" w:hAnsi="宋体"/>
                <w:color w:val="auto"/>
                <w:szCs w:val="21"/>
                <w:highlight w:val="none"/>
                <w:u w:val="wave"/>
              </w:rPr>
              <w:t>也可以是电子证书或是</w:t>
            </w:r>
            <w:r>
              <w:rPr>
                <w:rFonts w:hint="eastAsia" w:ascii="宋体" w:hAnsi="宋体" w:cs="宋体"/>
                <w:color w:val="auto"/>
                <w:szCs w:val="21"/>
                <w:highlight w:val="none"/>
              </w:rPr>
              <w:t>在政府相关部门网站上公开信息的网页截图复印件，</w:t>
            </w:r>
            <w:r>
              <w:rPr>
                <w:rFonts w:hint="eastAsia" w:ascii="宋体" w:hAnsi="宋体"/>
                <w:color w:val="auto"/>
                <w:szCs w:val="21"/>
                <w:highlight w:val="none"/>
                <w:u w:val="wave"/>
              </w:rPr>
              <w:t>以及在投标人所属社保系统打印的本单位人员缴费明细复印件（社会保险证明中缴费单位应与投标人一致，上级公司、子公司、事业单位、人力资源服务机构等其他单位缴纳或个人缴纳社会保险均不予认可，分公司缴纳的社会保险可以予以认可）</w:t>
            </w:r>
            <w:r>
              <w:rPr>
                <w:rFonts w:hint="eastAsia" w:ascii="宋体" w:hAnsi="宋体"/>
                <w:color w:val="auto"/>
                <w:szCs w:val="21"/>
                <w:highlight w:val="none"/>
              </w:rPr>
              <w:t>。</w:t>
            </w:r>
          </w:p>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拟委任的项目经理和项目总工资历表”还应附交通运输部“全国公路建设市场信用信息管理系统”中载明的、能够证明项目经理和项目总工具有相关业绩的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除网页截图复印件外，投标人无须再提供任何业绩证明材料。如投标人未提供相关业绩网页截图复印件或相关业绩网页截图中的信息无法证实投标人满足招标文件规定的资格审查条件（项目经理和项目总工最低要求），则该业绩不予认定。</w:t>
            </w:r>
          </w:p>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如项目经理或项目总工目前仍在其他项目上任职，</w:t>
            </w:r>
            <w:r>
              <w:rPr>
                <w:rFonts w:hint="eastAsia" w:ascii="宋体" w:hAnsi="宋体" w:cs="宋体"/>
                <w:color w:val="auto"/>
                <w:szCs w:val="21"/>
                <w:highlight w:val="none"/>
                <w:u w:val="wave"/>
              </w:rPr>
              <w:t>则投标人应提供承诺上述人员能够从该项目撤离的书面材料原件</w:t>
            </w:r>
            <w:r>
              <w:rPr>
                <w:rFonts w:hint="eastAsia" w:ascii="宋体" w:hAnsi="宋体" w:cs="宋体"/>
                <w:color w:val="auto"/>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3.6.1</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是否允许递交</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备选投标方案</w:t>
            </w:r>
          </w:p>
        </w:tc>
        <w:tc>
          <w:tcPr>
            <w:tcW w:w="6662" w:type="dxa"/>
            <w:shd w:val="clear" w:color="auto" w:fill="FFFFFF" w:themeFill="background1"/>
            <w:vAlign w:val="center"/>
          </w:tcPr>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不允许</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3.7.4</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投标文件副本份数及其他要求</w:t>
            </w:r>
          </w:p>
        </w:tc>
        <w:tc>
          <w:tcPr>
            <w:tcW w:w="6662" w:type="dxa"/>
            <w:shd w:val="clear" w:color="auto" w:fill="FFFFFF" w:themeFill="background1"/>
            <w:vAlign w:val="center"/>
          </w:tcPr>
          <w:p>
            <w:pPr>
              <w:keepLines/>
              <w:snapToGrid w:val="0"/>
              <w:spacing w:before="36" w:beforeLines="15" w:after="36" w:afterLines="15"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投标文件副本份数：1份。中标人应在收到中标通知书后并在与招标人签订合同前提供投标文件副本5份。</w:t>
            </w:r>
          </w:p>
          <w:p>
            <w:pPr>
              <w:keepLines/>
              <w:snapToGrid w:val="0"/>
              <w:spacing w:before="36" w:beforeLines="15" w:after="36" w:afterLines="15"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提交电子版文件：本</w:t>
            </w:r>
            <w:r>
              <w:rPr>
                <w:rFonts w:hint="eastAsia" w:ascii="宋体" w:hAnsi="宋体" w:cs="宋体"/>
                <w:color w:val="auto"/>
                <w:kern w:val="0"/>
                <w:szCs w:val="21"/>
                <w:highlight w:val="none"/>
              </w:rPr>
              <w:t>阶段</w:t>
            </w:r>
            <w:r>
              <w:rPr>
                <w:rFonts w:hint="eastAsia" w:ascii="宋体" w:hAnsi="宋体" w:cs="宋体"/>
                <w:color w:val="auto"/>
                <w:szCs w:val="21"/>
                <w:highlight w:val="none"/>
              </w:rPr>
              <w:t>须提供存储投标文件全部内容的电子版文件，包括：商务及技术文件、已标价的第二个信封的投标函、已标价的工程量清单和《投标文件关键内容摘录表》电子版文件的光盘1份、U盘1份。</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3.7.5</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装订的其他要求</w:t>
            </w:r>
          </w:p>
        </w:tc>
        <w:tc>
          <w:tcPr>
            <w:tcW w:w="6662" w:type="dxa"/>
            <w:shd w:val="clear" w:color="auto" w:fill="FFFFFF" w:themeFill="background1"/>
            <w:vAlign w:val="center"/>
          </w:tcPr>
          <w:p>
            <w:pPr>
              <w:keepLines/>
              <w:snapToGrid w:val="0"/>
              <w:spacing w:before="36" w:beforeLines="15" w:after="36" w:afterLines="15"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4648" w:hRule="atLeast"/>
        </w:trPr>
        <w:tc>
          <w:tcPr>
            <w:tcW w:w="769" w:type="dxa"/>
            <w:vMerge w:val="restart"/>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4.1.2</w:t>
            </w:r>
          </w:p>
        </w:tc>
        <w:tc>
          <w:tcPr>
            <w:tcW w:w="1626" w:type="dxa"/>
            <w:vMerge w:val="restart"/>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封套上</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应载明的信息</w:t>
            </w:r>
          </w:p>
        </w:tc>
        <w:tc>
          <w:tcPr>
            <w:tcW w:w="6662" w:type="dxa"/>
            <w:shd w:val="clear" w:color="auto" w:fill="FFFFFF" w:themeFill="background1"/>
            <w:vAlign w:val="center"/>
          </w:tcPr>
          <w:p>
            <w:pPr>
              <w:keepLines/>
              <w:adjustRightInd w:val="0"/>
              <w:snapToGrid w:val="0"/>
              <w:spacing w:line="360" w:lineRule="exact"/>
              <w:ind w:left="210" w:leftChars="100"/>
              <w:jc w:val="left"/>
              <w:rPr>
                <w:rFonts w:ascii="宋体" w:hAnsi="宋体" w:cs="宋体"/>
                <w:color w:val="auto"/>
                <w:szCs w:val="21"/>
                <w:highlight w:val="none"/>
              </w:rPr>
            </w:pPr>
            <w:r>
              <w:rPr>
                <w:rFonts w:hint="eastAsia" w:ascii="宋体" w:hAnsi="宋体" w:cs="宋体"/>
                <w:color w:val="auto"/>
                <w:szCs w:val="21"/>
                <w:highlight w:val="none"/>
              </w:rPr>
              <w:t>（1）投标文件第一个信封（商务及技术文件）封套：</w:t>
            </w:r>
          </w:p>
          <w:p>
            <w:pPr>
              <w:keepLines/>
              <w:adjustRightInd w:val="0"/>
              <w:snapToGrid w:val="0"/>
              <w:spacing w:before="120" w:beforeLines="50"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招标人名称：吉林省高速公路集团有限公司</w:t>
            </w:r>
          </w:p>
          <w:p>
            <w:pPr>
              <w:keepLines/>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招标人地址：</w:t>
            </w:r>
            <w:r>
              <w:rPr>
                <w:rFonts w:hint="eastAsia" w:ascii="宋体" w:hAnsi="宋体" w:cs="MingLiU"/>
                <w:color w:val="auto"/>
                <w:kern w:val="0"/>
                <w:szCs w:val="21"/>
                <w:highlight w:val="none"/>
              </w:rPr>
              <w:t>吉林省长春市南关区人民大街11511号</w:t>
            </w:r>
          </w:p>
          <w:p>
            <w:pPr>
              <w:keepLines/>
              <w:adjustRightInd w:val="0"/>
              <w:snapToGrid w:val="0"/>
              <w:spacing w:before="120" w:beforeLines="50"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吉林省高速公路视频云联网工程</w:t>
            </w:r>
            <w:r>
              <w:rPr>
                <w:rFonts w:hint="eastAsia" w:ascii="宋体" w:hAnsi="宋体" w:cs="宋体"/>
                <w:color w:val="auto"/>
                <w:szCs w:val="21"/>
                <w:highlight w:val="none"/>
                <w:u w:val="single"/>
              </w:rPr>
              <w:t xml:space="preserve">  JD01/ JD02   </w:t>
            </w:r>
            <w:r>
              <w:rPr>
                <w:rFonts w:hint="eastAsia" w:ascii="宋体" w:hAnsi="宋体" w:cs="宋体"/>
                <w:color w:val="auto"/>
                <w:szCs w:val="21"/>
                <w:highlight w:val="none"/>
              </w:rPr>
              <w:t>标段施工招标第一个信封（商务及技术文件）投标文件</w:t>
            </w:r>
          </w:p>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招标编号：GXTC-A</w:t>
            </w:r>
            <w:r>
              <w:rPr>
                <w:rFonts w:ascii="宋体" w:hAnsi="宋体" w:cs="宋体"/>
                <w:color w:val="auto"/>
                <w:szCs w:val="21"/>
                <w:highlight w:val="none"/>
              </w:rPr>
              <w:t>1</w:t>
            </w:r>
            <w:r>
              <w:rPr>
                <w:rFonts w:hint="eastAsia" w:ascii="宋体" w:hAnsi="宋体" w:cs="宋体"/>
                <w:color w:val="auto"/>
                <w:szCs w:val="21"/>
                <w:highlight w:val="none"/>
              </w:rPr>
              <w:t>-2068</w:t>
            </w:r>
            <w:r>
              <w:rPr>
                <w:rFonts w:ascii="宋体" w:hAnsi="宋体" w:cs="宋体"/>
                <w:color w:val="auto"/>
                <w:szCs w:val="21"/>
                <w:highlight w:val="none"/>
              </w:rPr>
              <w:t>138</w:t>
            </w:r>
          </w:p>
          <w:p>
            <w:pPr>
              <w:keepLines/>
              <w:adjustRightInd w:val="0"/>
              <w:snapToGrid w:val="0"/>
              <w:spacing w:before="120" w:beforeLines="50"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在2020年</w:t>
            </w:r>
            <w:r>
              <w:rPr>
                <w:rFonts w:ascii="宋体" w:hAnsi="宋体" w:cs="宋体"/>
                <w:color w:val="auto"/>
                <w:szCs w:val="21"/>
                <w:highlight w:val="none"/>
              </w:rPr>
              <w:t>9</w:t>
            </w:r>
            <w:r>
              <w:rPr>
                <w:rFonts w:hint="eastAsia" w:ascii="宋体" w:hAnsi="宋体" w:cs="宋体"/>
                <w:color w:val="auto"/>
                <w:szCs w:val="21"/>
                <w:highlight w:val="none"/>
              </w:rPr>
              <w:t>月</w:t>
            </w:r>
            <w:r>
              <w:rPr>
                <w:rFonts w:ascii="宋体" w:hAnsi="宋体" w:cs="宋体"/>
                <w:color w:val="auto"/>
                <w:szCs w:val="21"/>
                <w:highlight w:val="none"/>
              </w:rPr>
              <w:t>28</w:t>
            </w:r>
            <w:r>
              <w:rPr>
                <w:rFonts w:hint="eastAsia" w:ascii="宋体" w:hAnsi="宋体" w:cs="宋体"/>
                <w:color w:val="auto"/>
                <w:szCs w:val="21"/>
                <w:highlight w:val="none"/>
              </w:rPr>
              <w:t xml:space="preserve"> 日</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:00前不得开启</w:t>
            </w:r>
          </w:p>
          <w:p>
            <w:pPr>
              <w:keepLines/>
              <w:adjustRightInd w:val="0"/>
              <w:snapToGrid w:val="0"/>
              <w:spacing w:before="120" w:beforeLines="50" w:line="360" w:lineRule="exact"/>
              <w:ind w:left="210" w:leftChars="100"/>
              <w:rPr>
                <w:rFonts w:ascii="宋体" w:hAnsi="宋体" w:cs="宋体"/>
                <w:color w:val="auto"/>
                <w:szCs w:val="21"/>
                <w:highlight w:val="none"/>
                <w:u w:val="single"/>
              </w:rPr>
            </w:pPr>
            <w:r>
              <w:rPr>
                <w:rFonts w:hint="eastAsia" w:ascii="宋体" w:hAnsi="宋体" w:cs="宋体"/>
                <w:color w:val="auto"/>
                <w:kern w:val="0"/>
                <w:szCs w:val="21"/>
                <w:highlight w:val="none"/>
              </w:rPr>
              <w:t>投标人</w:t>
            </w:r>
            <w:r>
              <w:rPr>
                <w:rFonts w:hint="eastAsia" w:ascii="宋体" w:hAnsi="宋体" w:cs="宋体"/>
                <w:color w:val="auto"/>
                <w:szCs w:val="21"/>
                <w:highlight w:val="none"/>
              </w:rPr>
              <w:t>名称：</w:t>
            </w:r>
            <w:r>
              <w:rPr>
                <w:rFonts w:hint="eastAsia" w:ascii="宋体" w:hAnsi="宋体" w:cs="宋体"/>
                <w:color w:val="auto"/>
                <w:szCs w:val="21"/>
                <w:highlight w:val="none"/>
                <w:u w:val="single"/>
              </w:rPr>
              <w:t xml:space="preserve">                   </w:t>
            </w:r>
          </w:p>
          <w:p>
            <w:pPr>
              <w:keepLines w:val="0"/>
              <w:adjustRightInd w:val="0"/>
              <w:snapToGrid w:val="0"/>
              <w:spacing w:before="0" w:beforeLines="-2147483648" w:line="276" w:lineRule="auto"/>
              <w:ind w:left="0" w:leftChars="0" w:firstLine="210" w:firstLineChars="100"/>
              <w:rPr>
                <w:rFonts w:ascii="宋体" w:hAnsi="宋体"/>
                <w:color w:val="auto"/>
                <w:szCs w:val="21"/>
                <w:highlight w:val="none"/>
              </w:rPr>
            </w:pPr>
            <w:r>
              <w:rPr>
                <w:rFonts w:hint="eastAsia" w:ascii="宋体" w:hAnsi="宋体" w:cs="宋体"/>
                <w:color w:val="auto"/>
                <w:kern w:val="0"/>
                <w:szCs w:val="21"/>
                <w:highlight w:val="none"/>
              </w:rPr>
              <w:t>投标人</w:t>
            </w: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vMerge w:val="continue"/>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p>
        </w:tc>
        <w:tc>
          <w:tcPr>
            <w:tcW w:w="1626" w:type="dxa"/>
            <w:vMerge w:val="continue"/>
            <w:shd w:val="clear" w:color="auto" w:fill="FFFFFF" w:themeFill="background1"/>
            <w:vAlign w:val="center"/>
          </w:tcPr>
          <w:p>
            <w:pPr>
              <w:keepLines/>
              <w:adjustRightInd w:val="0"/>
              <w:snapToGrid w:val="0"/>
              <w:jc w:val="center"/>
              <w:rPr>
                <w:rFonts w:ascii="宋体" w:hAnsi="宋体" w:cs="宋体"/>
                <w:color w:val="auto"/>
                <w:szCs w:val="21"/>
                <w:highlight w:val="none"/>
              </w:rPr>
            </w:pPr>
          </w:p>
        </w:tc>
        <w:tc>
          <w:tcPr>
            <w:tcW w:w="6662" w:type="dxa"/>
            <w:shd w:val="clear" w:color="auto" w:fill="FFFFFF" w:themeFill="background1"/>
            <w:vAlign w:val="center"/>
          </w:tcPr>
          <w:p>
            <w:pPr>
              <w:keepLines/>
              <w:adjustRightInd w:val="0"/>
              <w:snapToGrid w:val="0"/>
              <w:spacing w:line="360" w:lineRule="exact"/>
              <w:ind w:left="210" w:leftChars="100"/>
              <w:jc w:val="left"/>
              <w:rPr>
                <w:rFonts w:ascii="宋体" w:hAnsi="宋体" w:cs="宋体"/>
                <w:color w:val="auto"/>
                <w:szCs w:val="21"/>
                <w:highlight w:val="none"/>
              </w:rPr>
            </w:pPr>
            <w:r>
              <w:rPr>
                <w:rFonts w:hint="eastAsia" w:ascii="宋体" w:hAnsi="宋体" w:cs="宋体"/>
                <w:color w:val="auto"/>
                <w:szCs w:val="21"/>
                <w:highlight w:val="none"/>
              </w:rPr>
              <w:t>（2）投标文件第二个信封（报价文件）封套：</w:t>
            </w:r>
          </w:p>
          <w:p>
            <w:pPr>
              <w:keepLines/>
              <w:adjustRightInd w:val="0"/>
              <w:snapToGrid w:val="0"/>
              <w:spacing w:before="120" w:beforeLines="50"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招标人名称：吉林省高速公路集团有限公司</w:t>
            </w:r>
          </w:p>
          <w:p>
            <w:pPr>
              <w:keepLines/>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招标人地址：</w:t>
            </w:r>
            <w:r>
              <w:rPr>
                <w:rFonts w:hint="eastAsia" w:ascii="宋体" w:hAnsi="宋体" w:cs="MingLiU"/>
                <w:color w:val="auto"/>
                <w:kern w:val="0"/>
                <w:szCs w:val="21"/>
                <w:highlight w:val="none"/>
              </w:rPr>
              <w:t>吉林省长春市南关区人民大街11511号</w:t>
            </w:r>
          </w:p>
          <w:p>
            <w:pPr>
              <w:keepLines/>
              <w:adjustRightInd w:val="0"/>
              <w:snapToGrid w:val="0"/>
              <w:spacing w:before="120" w:beforeLines="50"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吉林省高速公路视频云联网工程</w:t>
            </w:r>
            <w:r>
              <w:rPr>
                <w:rFonts w:hint="eastAsia" w:ascii="宋体" w:hAnsi="宋体" w:cs="宋体"/>
                <w:color w:val="auto"/>
                <w:szCs w:val="21"/>
                <w:highlight w:val="none"/>
                <w:u w:val="single"/>
              </w:rPr>
              <w:t xml:space="preserve"> JD01/ JD02  </w:t>
            </w:r>
            <w:r>
              <w:rPr>
                <w:rFonts w:hint="eastAsia" w:ascii="宋体" w:hAnsi="宋体" w:cs="宋体"/>
                <w:color w:val="auto"/>
                <w:szCs w:val="21"/>
                <w:highlight w:val="none"/>
              </w:rPr>
              <w:t>标段施工招标第二个信封（报价文件）投标文件</w:t>
            </w:r>
          </w:p>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招标编号：GXTC-A</w:t>
            </w:r>
            <w:r>
              <w:rPr>
                <w:rFonts w:ascii="宋体" w:hAnsi="宋体" w:cs="宋体"/>
                <w:color w:val="auto"/>
                <w:szCs w:val="21"/>
                <w:highlight w:val="none"/>
              </w:rPr>
              <w:t>1</w:t>
            </w:r>
            <w:r>
              <w:rPr>
                <w:rFonts w:hint="eastAsia" w:ascii="宋体" w:hAnsi="宋体" w:cs="宋体"/>
                <w:color w:val="auto"/>
                <w:szCs w:val="21"/>
                <w:highlight w:val="none"/>
              </w:rPr>
              <w:t>-2068</w:t>
            </w:r>
            <w:r>
              <w:rPr>
                <w:rFonts w:ascii="宋体" w:hAnsi="宋体" w:cs="宋体"/>
                <w:color w:val="auto"/>
                <w:szCs w:val="21"/>
                <w:highlight w:val="none"/>
              </w:rPr>
              <w:t>138</w:t>
            </w:r>
          </w:p>
          <w:p>
            <w:pPr>
              <w:keepLines/>
              <w:adjustRightInd w:val="0"/>
              <w:snapToGrid w:val="0"/>
              <w:spacing w:before="120" w:beforeLines="50"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在投标文件第二个信封（报价文件）开标前不得开启</w:t>
            </w:r>
          </w:p>
          <w:p>
            <w:pPr>
              <w:keepLines/>
              <w:adjustRightInd w:val="0"/>
              <w:snapToGrid w:val="0"/>
              <w:spacing w:before="120" w:beforeLines="50" w:line="360" w:lineRule="exact"/>
              <w:ind w:left="210" w:leftChars="100"/>
              <w:rPr>
                <w:rFonts w:ascii="宋体" w:hAnsi="宋体" w:cs="宋体"/>
                <w:color w:val="auto"/>
                <w:szCs w:val="21"/>
                <w:highlight w:val="none"/>
                <w:u w:val="single"/>
              </w:rPr>
            </w:pPr>
            <w:r>
              <w:rPr>
                <w:rFonts w:hint="eastAsia" w:ascii="宋体" w:hAnsi="宋体" w:cs="宋体"/>
                <w:color w:val="auto"/>
                <w:kern w:val="0"/>
                <w:szCs w:val="21"/>
                <w:highlight w:val="none"/>
              </w:rPr>
              <w:t>投标人</w:t>
            </w:r>
            <w:r>
              <w:rPr>
                <w:rFonts w:hint="eastAsia" w:ascii="宋体" w:hAnsi="宋体" w:cs="宋体"/>
                <w:color w:val="auto"/>
                <w:szCs w:val="21"/>
                <w:highlight w:val="none"/>
              </w:rPr>
              <w:t>名称：</w:t>
            </w:r>
            <w:r>
              <w:rPr>
                <w:rFonts w:hint="eastAsia" w:ascii="宋体" w:hAnsi="宋体" w:cs="宋体"/>
                <w:color w:val="auto"/>
                <w:szCs w:val="21"/>
                <w:highlight w:val="none"/>
                <w:u w:val="single"/>
              </w:rPr>
              <w:t xml:space="preserve">                   </w:t>
            </w:r>
          </w:p>
          <w:p>
            <w:pPr>
              <w:keepLines/>
              <w:adjustRightInd w:val="0"/>
              <w:snapToGrid w:val="0"/>
              <w:spacing w:line="360" w:lineRule="exact"/>
              <w:ind w:left="210" w:leftChars="100"/>
              <w:rPr>
                <w:rFonts w:ascii="宋体" w:hAnsi="宋体" w:cs="宋体"/>
                <w:color w:val="auto"/>
                <w:szCs w:val="21"/>
                <w:highlight w:val="none"/>
                <w:u w:val="single"/>
              </w:rPr>
            </w:pPr>
            <w:r>
              <w:rPr>
                <w:rFonts w:hint="eastAsia" w:ascii="宋体" w:hAnsi="宋体" w:cs="宋体"/>
                <w:color w:val="auto"/>
                <w:kern w:val="0"/>
                <w:szCs w:val="21"/>
                <w:highlight w:val="none"/>
              </w:rPr>
              <w:t>投标人</w:t>
            </w: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vMerge w:val="continue"/>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p>
        </w:tc>
        <w:tc>
          <w:tcPr>
            <w:tcW w:w="1626" w:type="dxa"/>
            <w:vMerge w:val="continue"/>
            <w:shd w:val="clear" w:color="auto" w:fill="FFFFFF" w:themeFill="background1"/>
            <w:vAlign w:val="center"/>
          </w:tcPr>
          <w:p>
            <w:pPr>
              <w:keepLines/>
              <w:adjustRightInd w:val="0"/>
              <w:snapToGrid w:val="0"/>
              <w:jc w:val="center"/>
              <w:rPr>
                <w:rFonts w:ascii="宋体" w:hAnsi="宋体" w:cs="宋体"/>
                <w:color w:val="auto"/>
                <w:szCs w:val="21"/>
                <w:highlight w:val="none"/>
              </w:rPr>
            </w:pPr>
          </w:p>
        </w:tc>
        <w:tc>
          <w:tcPr>
            <w:tcW w:w="6662" w:type="dxa"/>
            <w:shd w:val="clear" w:color="auto" w:fill="FFFFFF" w:themeFill="background1"/>
            <w:vAlign w:val="center"/>
          </w:tcPr>
          <w:p>
            <w:pPr>
              <w:keepLines/>
              <w:adjustRightInd w:val="0"/>
              <w:snapToGrid w:val="0"/>
              <w:spacing w:line="360" w:lineRule="exact"/>
              <w:ind w:left="210" w:leftChars="100"/>
              <w:jc w:val="left"/>
              <w:rPr>
                <w:rFonts w:ascii="宋体" w:hAnsi="宋体" w:cs="宋体"/>
                <w:color w:val="auto"/>
                <w:szCs w:val="21"/>
                <w:highlight w:val="none"/>
              </w:rPr>
            </w:pPr>
            <w:r>
              <w:rPr>
                <w:rFonts w:hint="eastAsia" w:ascii="宋体" w:hAnsi="宋体" w:cs="宋体"/>
                <w:color w:val="auto"/>
                <w:szCs w:val="21"/>
                <w:highlight w:val="none"/>
              </w:rPr>
              <w:t>（3）银行保函封套：</w:t>
            </w:r>
          </w:p>
          <w:p>
            <w:pPr>
              <w:keepLines/>
              <w:adjustRightInd w:val="0"/>
              <w:snapToGrid w:val="0"/>
              <w:spacing w:before="120" w:beforeLines="50" w:line="360" w:lineRule="exact"/>
              <w:ind w:left="210" w:leftChars="100"/>
              <w:rPr>
                <w:rFonts w:ascii="宋体" w:hAnsi="宋体" w:cs="宋体"/>
                <w:color w:val="auto"/>
                <w:kern w:val="0"/>
                <w:szCs w:val="21"/>
                <w:highlight w:val="none"/>
              </w:rPr>
            </w:pPr>
            <w:r>
              <w:rPr>
                <w:rFonts w:hint="eastAsia" w:ascii="宋体" w:hAnsi="宋体" w:cs="宋体"/>
                <w:color w:val="auto"/>
                <w:szCs w:val="21"/>
                <w:highlight w:val="none"/>
              </w:rPr>
              <w:t>招标</w:t>
            </w:r>
            <w:r>
              <w:rPr>
                <w:rFonts w:hint="eastAsia" w:ascii="宋体" w:hAnsi="宋体" w:cs="宋体"/>
                <w:color w:val="auto"/>
                <w:kern w:val="0"/>
                <w:szCs w:val="21"/>
                <w:highlight w:val="none"/>
              </w:rPr>
              <w:t>人名称：吉林省高速公路集团有限公司</w:t>
            </w:r>
          </w:p>
          <w:p>
            <w:pPr>
              <w:keepLines/>
              <w:adjustRightInd w:val="0"/>
              <w:snapToGrid w:val="0"/>
              <w:spacing w:line="360" w:lineRule="exact"/>
              <w:ind w:left="210" w:leftChars="100"/>
              <w:rPr>
                <w:rFonts w:ascii="宋体" w:hAnsi="宋体" w:cs="宋体"/>
                <w:color w:val="auto"/>
                <w:kern w:val="0"/>
                <w:szCs w:val="21"/>
                <w:highlight w:val="none"/>
              </w:rPr>
            </w:pPr>
            <w:r>
              <w:rPr>
                <w:rFonts w:hint="eastAsia" w:ascii="宋体" w:hAnsi="宋体" w:cs="宋体"/>
                <w:color w:val="auto"/>
                <w:kern w:val="0"/>
                <w:szCs w:val="21"/>
                <w:highlight w:val="none"/>
              </w:rPr>
              <w:t>招标人地址：</w:t>
            </w:r>
            <w:r>
              <w:rPr>
                <w:rFonts w:hint="eastAsia" w:ascii="宋体" w:hAnsi="宋体" w:cs="MingLiU"/>
                <w:color w:val="auto"/>
                <w:kern w:val="0"/>
                <w:szCs w:val="21"/>
                <w:highlight w:val="none"/>
              </w:rPr>
              <w:t>吉林省长春市南关区人民大街11511号</w:t>
            </w:r>
          </w:p>
          <w:p>
            <w:pPr>
              <w:keepLines/>
              <w:adjustRightInd w:val="0"/>
              <w:snapToGrid w:val="0"/>
              <w:spacing w:before="120" w:beforeLines="50"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吉林省高速公路视频云联网工程</w:t>
            </w:r>
            <w:r>
              <w:rPr>
                <w:rFonts w:hint="eastAsia" w:ascii="宋体" w:hAnsi="宋体" w:cs="宋体"/>
                <w:color w:val="auto"/>
                <w:szCs w:val="21"/>
                <w:highlight w:val="none"/>
                <w:u w:val="single"/>
              </w:rPr>
              <w:t xml:space="preserve">  JD01/ JD02  </w:t>
            </w:r>
            <w:r>
              <w:rPr>
                <w:rFonts w:hint="eastAsia" w:ascii="宋体" w:hAnsi="宋体" w:cs="宋体"/>
                <w:color w:val="auto"/>
                <w:szCs w:val="21"/>
                <w:highlight w:val="none"/>
              </w:rPr>
              <w:t>标段施工招标投标保证金（银行保函原件）</w:t>
            </w:r>
          </w:p>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招标编号：GXTC-A</w:t>
            </w:r>
            <w:r>
              <w:rPr>
                <w:rFonts w:ascii="宋体" w:hAnsi="宋体" w:cs="宋体"/>
                <w:color w:val="auto"/>
                <w:szCs w:val="21"/>
                <w:highlight w:val="none"/>
              </w:rPr>
              <w:t>1</w:t>
            </w:r>
            <w:r>
              <w:rPr>
                <w:rFonts w:hint="eastAsia" w:ascii="宋体" w:hAnsi="宋体" w:cs="宋体"/>
                <w:color w:val="auto"/>
                <w:szCs w:val="21"/>
                <w:highlight w:val="none"/>
              </w:rPr>
              <w:t>-2068</w:t>
            </w:r>
            <w:r>
              <w:rPr>
                <w:rFonts w:ascii="宋体" w:hAnsi="宋体" w:cs="宋体"/>
                <w:color w:val="auto"/>
                <w:szCs w:val="21"/>
                <w:highlight w:val="none"/>
              </w:rPr>
              <w:t>138</w:t>
            </w:r>
          </w:p>
          <w:p>
            <w:pPr>
              <w:keepLines/>
              <w:adjustRightInd w:val="0"/>
              <w:snapToGrid w:val="0"/>
              <w:spacing w:before="120" w:beforeLines="50" w:line="360" w:lineRule="exact"/>
              <w:ind w:left="210" w:leftChars="100"/>
              <w:rPr>
                <w:rFonts w:ascii="宋体" w:hAnsi="宋体" w:cs="宋体"/>
                <w:color w:val="auto"/>
                <w:szCs w:val="21"/>
                <w:highlight w:val="none"/>
                <w:u w:val="single"/>
              </w:rPr>
            </w:pPr>
            <w:r>
              <w:rPr>
                <w:rFonts w:hint="eastAsia" w:ascii="宋体" w:hAnsi="宋体" w:cs="宋体"/>
                <w:color w:val="auto"/>
                <w:szCs w:val="21"/>
                <w:highlight w:val="none"/>
              </w:rPr>
              <w:t>投标人名称：</w:t>
            </w:r>
            <w:r>
              <w:rPr>
                <w:rFonts w:hint="eastAsia" w:ascii="宋体" w:hAnsi="宋体" w:cs="宋体"/>
                <w:color w:val="auto"/>
                <w:szCs w:val="21"/>
                <w:highlight w:val="none"/>
                <w:u w:val="single"/>
              </w:rPr>
              <w:t xml:space="preserve">                   </w:t>
            </w:r>
          </w:p>
          <w:p>
            <w:pPr>
              <w:keepLines/>
              <w:adjustRightInd w:val="0"/>
              <w:snapToGrid w:val="0"/>
              <w:spacing w:before="120" w:beforeLines="50" w:line="360" w:lineRule="exact"/>
              <w:ind w:left="210" w:leftChars="100"/>
              <w:rPr>
                <w:rFonts w:ascii="宋体" w:hAnsi="宋体" w:cs="宋体"/>
                <w:color w:val="auto"/>
                <w:szCs w:val="21"/>
                <w:highlight w:val="none"/>
              </w:rPr>
            </w:pPr>
            <w:r>
              <w:rPr>
                <w:rFonts w:hint="eastAsia" w:ascii="宋体" w:hAnsi="宋体" w:cs="宋体"/>
                <w:color w:val="auto"/>
                <w:kern w:val="0"/>
                <w:szCs w:val="21"/>
                <w:highlight w:val="none"/>
              </w:rPr>
              <w:t>投标人</w:t>
            </w: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4.2.3</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是否退还</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投标文件</w:t>
            </w:r>
          </w:p>
        </w:tc>
        <w:tc>
          <w:tcPr>
            <w:tcW w:w="6662" w:type="dxa"/>
            <w:shd w:val="clear" w:color="auto" w:fill="FFFFFF" w:themeFill="background1"/>
            <w:vAlign w:val="center"/>
          </w:tcPr>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否</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5.1</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开标时间和地点</w:t>
            </w:r>
          </w:p>
        </w:tc>
        <w:tc>
          <w:tcPr>
            <w:tcW w:w="6662" w:type="dxa"/>
            <w:shd w:val="clear" w:color="auto" w:fill="FFFFFF" w:themeFill="background1"/>
            <w:vAlign w:val="center"/>
          </w:tcPr>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投标文件第一个信封（商务及技术文件）开标时间：同投标截止时间</w:t>
            </w:r>
          </w:p>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投标文件第一个信封（商务及技术文件）开标地点：吉林省公共资源交易中心4楼开标室</w:t>
            </w:r>
          </w:p>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投标文件第二个信封（报价文件）开标时间：2020年</w:t>
            </w:r>
            <w:r>
              <w:rPr>
                <w:rFonts w:ascii="宋体" w:hAnsi="宋体" w:cs="宋体"/>
                <w:color w:val="auto"/>
                <w:szCs w:val="21"/>
                <w:highlight w:val="none"/>
              </w:rPr>
              <w:t>9</w:t>
            </w:r>
            <w:r>
              <w:rPr>
                <w:rFonts w:hint="eastAsia" w:ascii="宋体" w:hAnsi="宋体" w:cs="宋体"/>
                <w:color w:val="auto"/>
                <w:szCs w:val="21"/>
                <w:highlight w:val="none"/>
              </w:rPr>
              <w:t>月</w:t>
            </w:r>
            <w:r>
              <w:rPr>
                <w:rFonts w:ascii="宋体" w:hAnsi="宋体" w:cs="宋体"/>
                <w:color w:val="auto"/>
                <w:szCs w:val="21"/>
                <w:highlight w:val="none"/>
              </w:rPr>
              <w:t>29</w:t>
            </w:r>
            <w:r>
              <w:rPr>
                <w:rFonts w:hint="eastAsia" w:ascii="宋体" w:hAnsi="宋体" w:cs="宋体"/>
                <w:color w:val="auto"/>
                <w:szCs w:val="21"/>
                <w:highlight w:val="none"/>
              </w:rPr>
              <w:t>日14:00</w:t>
            </w:r>
          </w:p>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投标文件第二个信封（报价文件）开标地点：吉林省公共资源交易中心4楼开标室</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5.2.1</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第一个信封（商务及技术文件）</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开标程序</w:t>
            </w:r>
          </w:p>
        </w:tc>
        <w:tc>
          <w:tcPr>
            <w:tcW w:w="6662" w:type="dxa"/>
            <w:shd w:val="clear" w:color="auto" w:fill="FFFFFF" w:themeFill="background1"/>
          </w:tcPr>
          <w:p>
            <w:pPr>
              <w:keepLines/>
              <w:adjustRightInd w:val="0"/>
              <w:snapToGrid w:val="0"/>
              <w:spacing w:line="360" w:lineRule="exact"/>
              <w:ind w:firstLine="210" w:firstLineChars="100"/>
              <w:rPr>
                <w:rFonts w:ascii="宋体" w:hAnsi="宋体"/>
                <w:color w:val="auto"/>
                <w:szCs w:val="21"/>
                <w:highlight w:val="none"/>
              </w:rPr>
            </w:pPr>
            <w:r>
              <w:rPr>
                <w:rFonts w:hint="eastAsia" w:ascii="宋体" w:hAnsi="宋体"/>
                <w:color w:val="auto"/>
                <w:szCs w:val="21"/>
                <w:highlight w:val="none"/>
              </w:rPr>
              <w:t>（4）密封情况检查：检查商务及技术文件是否存在提前开启情况；</w:t>
            </w:r>
          </w:p>
          <w:p>
            <w:pPr>
              <w:keepLines/>
              <w:adjustRightInd w:val="0"/>
              <w:snapToGrid w:val="0"/>
              <w:spacing w:line="360" w:lineRule="exact"/>
              <w:ind w:firstLine="210" w:firstLineChars="100"/>
              <w:rPr>
                <w:rFonts w:ascii="宋体" w:hAnsi="宋体" w:cs="宋体"/>
                <w:color w:val="auto"/>
                <w:szCs w:val="21"/>
                <w:highlight w:val="none"/>
              </w:rPr>
            </w:pPr>
            <w:r>
              <w:rPr>
                <w:rFonts w:hint="eastAsia" w:ascii="宋体" w:hAnsi="宋体"/>
                <w:color w:val="auto"/>
                <w:szCs w:val="21"/>
                <w:highlight w:val="none"/>
              </w:rPr>
              <w:t>（5）开标顺序：JD01→JD02标段</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5.2.3</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第二个信封</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（报价文件）</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开标程序</w:t>
            </w:r>
          </w:p>
        </w:tc>
        <w:tc>
          <w:tcPr>
            <w:tcW w:w="6662" w:type="dxa"/>
            <w:shd w:val="clear" w:color="auto" w:fill="FFFFFF" w:themeFill="background1"/>
          </w:tcPr>
          <w:p>
            <w:pPr>
              <w:keepLines/>
              <w:adjustRightInd w:val="0"/>
              <w:snapToGrid w:val="0"/>
              <w:spacing w:line="360" w:lineRule="exact"/>
              <w:ind w:firstLine="210" w:firstLineChars="100"/>
              <w:rPr>
                <w:rFonts w:ascii="宋体" w:hAnsi="宋体"/>
                <w:color w:val="auto"/>
                <w:szCs w:val="21"/>
                <w:highlight w:val="none"/>
              </w:rPr>
            </w:pPr>
            <w:r>
              <w:rPr>
                <w:rFonts w:hint="eastAsia" w:ascii="宋体" w:hAnsi="宋体"/>
                <w:color w:val="auto"/>
                <w:szCs w:val="21"/>
                <w:highlight w:val="none"/>
              </w:rPr>
              <w:t>（4）密封情况检查：检查商务及技术文件是否存在提前开启情况；</w:t>
            </w:r>
          </w:p>
          <w:p>
            <w:pPr>
              <w:keepLines/>
              <w:adjustRightInd w:val="0"/>
              <w:snapToGrid w:val="0"/>
              <w:spacing w:line="360" w:lineRule="exact"/>
              <w:ind w:firstLine="210" w:firstLineChars="100"/>
              <w:rPr>
                <w:rFonts w:ascii="宋体" w:hAnsi="宋体" w:cs="宋体"/>
                <w:color w:val="auto"/>
                <w:szCs w:val="21"/>
                <w:highlight w:val="none"/>
              </w:rPr>
            </w:pPr>
            <w:r>
              <w:rPr>
                <w:rFonts w:hint="eastAsia" w:ascii="宋体" w:hAnsi="宋体"/>
                <w:color w:val="auto"/>
                <w:szCs w:val="21"/>
                <w:highlight w:val="none"/>
              </w:rPr>
              <w:t>（5）开标顺序：JD01→JD02标段</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6.1.1</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评标委员会</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的组建</w:t>
            </w:r>
          </w:p>
        </w:tc>
        <w:tc>
          <w:tcPr>
            <w:tcW w:w="6662" w:type="dxa"/>
            <w:shd w:val="clear" w:color="auto" w:fill="FFFFFF" w:themeFill="background1"/>
            <w:vAlign w:val="center"/>
          </w:tcPr>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评标委员会构成：7人，其中招标人代表2人，专家5人。</w:t>
            </w:r>
          </w:p>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评标专家确定方式：</w:t>
            </w:r>
            <w:r>
              <w:rPr>
                <w:rFonts w:hint="eastAsia" w:ascii="宋体" w:hAnsi="宋体"/>
                <w:color w:val="auto"/>
                <w:szCs w:val="21"/>
                <w:highlight w:val="none"/>
              </w:rPr>
              <w:t>依法从相应评标专家库中随机抽取</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6.3.2</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评标委员会推荐中标候选人</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的人数</w:t>
            </w:r>
          </w:p>
        </w:tc>
        <w:tc>
          <w:tcPr>
            <w:tcW w:w="6662" w:type="dxa"/>
            <w:shd w:val="clear" w:color="auto" w:fill="FFFFFF" w:themeFill="background1"/>
            <w:vAlign w:val="center"/>
          </w:tcPr>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3名</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7.1</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中标候选人公示</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媒介及期限</w:t>
            </w:r>
          </w:p>
        </w:tc>
        <w:tc>
          <w:tcPr>
            <w:tcW w:w="6662" w:type="dxa"/>
            <w:shd w:val="clear" w:color="auto" w:fill="FFFFFF" w:themeFill="background1"/>
            <w:vAlign w:val="center"/>
          </w:tcPr>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公示媒介：《中国招标投标公共服务平台》、《吉林省公共资源交易中心网站》、《吉林省交通运输厅网站》、《吉林省高速公路集团有限公司网站》。</w:t>
            </w:r>
          </w:p>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公示期限：3日</w:t>
            </w:r>
          </w:p>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公示的其他内容：无</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7.4</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是否授权评标委员会确定中标人</w:t>
            </w:r>
          </w:p>
        </w:tc>
        <w:tc>
          <w:tcPr>
            <w:tcW w:w="6662" w:type="dxa"/>
            <w:shd w:val="clear" w:color="auto" w:fill="FFFFFF" w:themeFill="background1"/>
            <w:vAlign w:val="center"/>
          </w:tcPr>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否</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7.5</w:t>
            </w:r>
          </w:p>
        </w:tc>
        <w:tc>
          <w:tcPr>
            <w:tcW w:w="1626" w:type="dxa"/>
            <w:shd w:val="clear" w:color="auto" w:fill="FFFFFF" w:themeFill="background1"/>
            <w:vAlign w:val="center"/>
          </w:tcPr>
          <w:p>
            <w:pPr>
              <w:keepLines/>
              <w:autoSpaceDE w:val="0"/>
              <w:autoSpaceDN w:val="0"/>
              <w:adjustRightInd w:val="0"/>
              <w:snapToGrid w:val="0"/>
              <w:jc w:val="center"/>
              <w:rPr>
                <w:rFonts w:ascii="宋体" w:hAnsi="宋体" w:cs="宋体"/>
                <w:color w:val="auto"/>
                <w:spacing w:val="1"/>
                <w:kern w:val="0"/>
                <w:szCs w:val="21"/>
                <w:highlight w:val="none"/>
              </w:rPr>
            </w:pPr>
            <w:r>
              <w:rPr>
                <w:rFonts w:hint="eastAsia" w:ascii="宋体" w:hAnsi="宋体" w:cs="宋体"/>
                <w:color w:val="auto"/>
                <w:spacing w:val="1"/>
                <w:kern w:val="0"/>
                <w:szCs w:val="21"/>
                <w:highlight w:val="none"/>
              </w:rPr>
              <w:t>中标通知书和</w:t>
            </w:r>
          </w:p>
          <w:p>
            <w:pPr>
              <w:keepLines/>
              <w:autoSpaceDE w:val="0"/>
              <w:autoSpaceDN w:val="0"/>
              <w:adjustRightInd w:val="0"/>
              <w:snapToGrid w:val="0"/>
              <w:jc w:val="center"/>
              <w:rPr>
                <w:rFonts w:ascii="宋体" w:hAnsi="宋体" w:cs="宋体"/>
                <w:color w:val="auto"/>
                <w:spacing w:val="1"/>
                <w:kern w:val="0"/>
                <w:szCs w:val="21"/>
                <w:highlight w:val="none"/>
              </w:rPr>
            </w:pPr>
            <w:r>
              <w:rPr>
                <w:rFonts w:hint="eastAsia" w:ascii="宋体" w:hAnsi="宋体" w:cs="宋体"/>
                <w:color w:val="auto"/>
                <w:spacing w:val="1"/>
                <w:kern w:val="0"/>
                <w:szCs w:val="21"/>
                <w:highlight w:val="none"/>
              </w:rPr>
              <w:t>中标结果通知</w:t>
            </w:r>
          </w:p>
          <w:p>
            <w:pPr>
              <w:keepLines/>
              <w:autoSpaceDE w:val="0"/>
              <w:autoSpaceDN w:val="0"/>
              <w:adjustRightInd w:val="0"/>
              <w:snapToGrid w:val="0"/>
              <w:jc w:val="center"/>
              <w:rPr>
                <w:rFonts w:ascii="宋体" w:hAnsi="宋体" w:cs="宋体"/>
                <w:color w:val="auto"/>
                <w:spacing w:val="1"/>
                <w:kern w:val="0"/>
                <w:szCs w:val="21"/>
                <w:highlight w:val="none"/>
              </w:rPr>
            </w:pPr>
            <w:r>
              <w:rPr>
                <w:rFonts w:hint="eastAsia" w:ascii="宋体" w:hAnsi="宋体" w:cs="宋体"/>
                <w:color w:val="auto"/>
                <w:spacing w:val="1"/>
                <w:kern w:val="0"/>
                <w:szCs w:val="21"/>
                <w:highlight w:val="none"/>
              </w:rPr>
              <w:t>发出的形式</w:t>
            </w:r>
          </w:p>
        </w:tc>
        <w:tc>
          <w:tcPr>
            <w:tcW w:w="6662" w:type="dxa"/>
            <w:shd w:val="clear" w:color="auto" w:fill="FFFFFF" w:themeFill="background1"/>
            <w:vAlign w:val="center"/>
          </w:tcPr>
          <w:p>
            <w:pPr>
              <w:keepLines/>
              <w:snapToGrid w:val="0"/>
              <w:spacing w:before="36" w:beforeLines="15" w:after="36" w:afterLines="15"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中标通知书以书面形式发出，中标结果通知以中标结果公告的形式在《中国招标投标公共服务平台》、《吉林省交通运输厅网站》和《吉林省高速公路集团有限公司网站》上发出。</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shd w:val="clear" w:color="auto" w:fill="FFFFFF" w:themeFill="background1"/>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u w:val="wave"/>
              </w:rPr>
            </w:pPr>
            <w:r>
              <w:rPr>
                <w:rFonts w:hint="eastAsia" w:ascii="宋体" w:hAnsi="宋体" w:cs="宋体"/>
                <w:color w:val="auto"/>
                <w:szCs w:val="21"/>
                <w:highlight w:val="none"/>
              </w:rPr>
              <w:t>7.6</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中标结果公告</w:t>
            </w:r>
          </w:p>
          <w:p>
            <w:pPr>
              <w:keepLines/>
              <w:adjustRightInd w:val="0"/>
              <w:snapToGrid w:val="0"/>
              <w:jc w:val="center"/>
              <w:rPr>
                <w:rFonts w:ascii="宋体" w:hAnsi="宋体" w:cs="宋体"/>
                <w:color w:val="auto"/>
                <w:szCs w:val="21"/>
                <w:highlight w:val="none"/>
                <w:u w:val="wave"/>
              </w:rPr>
            </w:pPr>
            <w:r>
              <w:rPr>
                <w:rFonts w:hint="eastAsia" w:ascii="宋体" w:hAnsi="宋体" w:cs="宋体"/>
                <w:color w:val="auto"/>
                <w:szCs w:val="21"/>
                <w:highlight w:val="none"/>
              </w:rPr>
              <w:t>媒介及期限</w:t>
            </w:r>
          </w:p>
        </w:tc>
        <w:tc>
          <w:tcPr>
            <w:tcW w:w="6662" w:type="dxa"/>
            <w:shd w:val="clear" w:color="auto" w:fill="FFFFFF" w:themeFill="background1"/>
            <w:vAlign w:val="center"/>
          </w:tcPr>
          <w:p>
            <w:pPr>
              <w:keepLines/>
              <w:snapToGrid w:val="0"/>
              <w:spacing w:before="36" w:beforeLines="15" w:after="36" w:afterLines="15"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公告媒介：《中国招标投标公共服务平台》、《吉林省交通运输厅网站》、《吉林省高速公路集团有限公司网站》。</w:t>
            </w:r>
          </w:p>
          <w:p>
            <w:pPr>
              <w:keepLines/>
              <w:snapToGrid w:val="0"/>
              <w:spacing w:before="36" w:beforeLines="15" w:after="36" w:afterLines="15"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公告期限：3日</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7.7.1</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履约保证金</w:t>
            </w:r>
          </w:p>
        </w:tc>
        <w:tc>
          <w:tcPr>
            <w:tcW w:w="6662" w:type="dxa"/>
            <w:shd w:val="clear" w:color="auto" w:fill="FFFFFF" w:themeFill="background1"/>
            <w:vAlign w:val="center"/>
          </w:tcPr>
          <w:p>
            <w:pPr>
              <w:keepLines/>
              <w:snapToGrid w:val="0"/>
              <w:spacing w:before="36" w:beforeLines="15" w:after="36" w:afterLines="15"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履约保证金形式：银行保函、担保机构出具的保函或现金、支票形式。</w:t>
            </w:r>
          </w:p>
          <w:p>
            <w:pPr>
              <w:keepLines/>
              <w:snapToGrid w:val="0"/>
              <w:spacing w:before="36" w:beforeLines="15" w:after="36" w:afterLines="15"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履约保证金金额：10%的签约合同价。</w:t>
            </w:r>
          </w:p>
          <w:p>
            <w:pPr>
              <w:keepLines/>
              <w:adjustRightInd w:val="0"/>
              <w:snapToGrid w:val="0"/>
              <w:spacing w:before="120" w:beforeLines="50"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注意：</w:t>
            </w:r>
          </w:p>
          <w:p>
            <w:pPr>
              <w:keepLines/>
              <w:snapToGrid w:val="0"/>
              <w:spacing w:before="36" w:beforeLines="15" w:after="36" w:afterLines="15"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（1）采用现金、支票形式时，应由中标人的基本账户汇入发包人指定账户；</w:t>
            </w:r>
          </w:p>
          <w:p>
            <w:pPr>
              <w:keepLines/>
              <w:snapToGrid w:val="0"/>
              <w:spacing w:before="36" w:beforeLines="15" w:after="36" w:afterLines="15"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kern w:val="0"/>
                <w:szCs w:val="21"/>
                <w:highlight w:val="none"/>
              </w:rPr>
              <w:t>采用银行保函时</w:t>
            </w:r>
            <w:r>
              <w:rPr>
                <w:rFonts w:hint="eastAsia" w:ascii="宋体" w:hAnsi="宋体" w:cs="宋体"/>
                <w:color w:val="auto"/>
                <w:szCs w:val="21"/>
                <w:highlight w:val="none"/>
              </w:rPr>
              <w:t>，出具保函的银行级别：应由“工商银行、农业银行、中国银行、建设银行、交通银行、中国邮政储蓄银行”六大国有商业银行之一或全国性股份制商业银行开具，银行应为地市级分行或以上级别，所需的费用由中标人承担，中标人应保证银行保函有效。</w:t>
            </w:r>
          </w:p>
          <w:p>
            <w:pPr>
              <w:keepLines/>
              <w:snapToGrid w:val="0"/>
              <w:spacing w:before="36" w:beforeLines="15" w:after="36" w:afterLines="15"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（3）若采用担保机构出具保函时，出具保函的担保机构级别：注册资本金不低于10亿元的长春市区境内的专业担保机构。</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7.8.1</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对中标人未按</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要求签订合同</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的处罚</w:t>
            </w:r>
          </w:p>
        </w:tc>
        <w:tc>
          <w:tcPr>
            <w:tcW w:w="6662" w:type="dxa"/>
            <w:shd w:val="clear" w:color="auto" w:fill="FFFFFF" w:themeFill="background1"/>
            <w:vAlign w:val="center"/>
          </w:tcPr>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本款末增加：</w:t>
            </w:r>
          </w:p>
          <w:p>
            <w:pPr>
              <w:keepLines/>
              <w:snapToGrid w:val="0"/>
              <w:spacing w:before="36" w:beforeLines="15" w:after="36" w:afterLines="15" w:line="360" w:lineRule="exact"/>
              <w:ind w:left="210" w:leftChars="100"/>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中标人放弃中标的，招标人将中标人列入招标人设立的黑名单，同时上报省级交通运输主管部门，作为不良记录纳入公路建设市场信用信息管理系统。</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8.5.1</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监督部门</w:t>
            </w:r>
          </w:p>
        </w:tc>
        <w:tc>
          <w:tcPr>
            <w:tcW w:w="6662" w:type="dxa"/>
            <w:shd w:val="clear" w:color="auto" w:fill="FFFFFF" w:themeFill="background1"/>
            <w:vAlign w:val="center"/>
          </w:tcPr>
          <w:p>
            <w:pPr>
              <w:keepLines/>
              <w:adjustRightInd w:val="0"/>
              <w:snapToGrid w:val="0"/>
              <w:spacing w:before="120" w:beforeLines="50"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行政监督：</w:t>
            </w:r>
            <w:r>
              <w:rPr>
                <w:rFonts w:hint="eastAsia" w:ascii="宋体" w:hAnsi="宋体"/>
                <w:color w:val="auto"/>
                <w:highlight w:val="none"/>
              </w:rPr>
              <w:t>吉林省交通运输厅科技教育处</w:t>
            </w:r>
          </w:p>
          <w:p>
            <w:pPr>
              <w:keepLines/>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电　　话：</w:t>
            </w:r>
            <w:r>
              <w:rPr>
                <w:rFonts w:hint="eastAsia" w:ascii="宋体" w:hAnsi="宋体"/>
                <w:color w:val="auto"/>
                <w:highlight w:val="none"/>
              </w:rPr>
              <w:t xml:space="preserve">0431-85097551 </w:t>
            </w:r>
          </w:p>
          <w:p>
            <w:pPr>
              <w:keepLines/>
              <w:adjustRightInd w:val="0"/>
              <w:snapToGrid w:val="0"/>
              <w:spacing w:before="120" w:beforeLines="50"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地　　址：吉林省长春市解放大路2518号交通大厦</w:t>
            </w:r>
          </w:p>
          <w:p>
            <w:pPr>
              <w:keepLines/>
              <w:adjustRightInd w:val="0"/>
              <w:snapToGrid w:val="0"/>
              <w:spacing w:line="360" w:lineRule="exact"/>
              <w:ind w:left="210" w:leftChars="100"/>
              <w:rPr>
                <w:rFonts w:ascii="宋体" w:hAnsi="宋体" w:cs="宋体"/>
                <w:color w:val="auto"/>
                <w:szCs w:val="21"/>
                <w:highlight w:val="none"/>
              </w:rPr>
            </w:pPr>
            <w:r>
              <w:rPr>
                <w:rFonts w:hint="eastAsia" w:ascii="宋体" w:hAnsi="宋体" w:cs="宋体"/>
                <w:color w:val="auto"/>
                <w:szCs w:val="21"/>
                <w:highlight w:val="none"/>
              </w:rPr>
              <w:t>邮　　编：130021</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djustRightInd w:val="0"/>
              <w:snapToGrid w:val="0"/>
              <w:spacing w:line="360" w:lineRule="exact"/>
              <w:jc w:val="center"/>
              <w:rPr>
                <w:rFonts w:ascii="宋体" w:hAnsi="宋体" w:cs="宋体"/>
                <w:color w:val="auto"/>
                <w:szCs w:val="21"/>
                <w:highlight w:val="none"/>
              </w:rPr>
            </w:pPr>
            <w:r>
              <w:rPr>
                <w:rFonts w:hint="eastAsia" w:ascii="宋体" w:hAnsi="宋体" w:cs="宋体"/>
                <w:color w:val="auto"/>
                <w:szCs w:val="21"/>
                <w:highlight w:val="none"/>
              </w:rPr>
              <w:t>9</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是否采用</w:t>
            </w:r>
          </w:p>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电子招标投标</w:t>
            </w:r>
          </w:p>
        </w:tc>
        <w:tc>
          <w:tcPr>
            <w:tcW w:w="6662" w:type="dxa"/>
            <w:shd w:val="clear" w:color="auto" w:fill="FFFFFF" w:themeFill="background1"/>
            <w:vAlign w:val="center"/>
          </w:tcPr>
          <w:p>
            <w:pPr>
              <w:keepLines/>
              <w:snapToGrid w:val="0"/>
              <w:spacing w:before="36" w:beforeLines="15" w:after="36" w:afterLines="15" w:line="360" w:lineRule="exact"/>
              <w:ind w:left="210" w:leftChars="100"/>
              <w:rPr>
                <w:rFonts w:ascii="宋体" w:hAnsi="宋体" w:cs="宋体"/>
                <w:color w:val="auto"/>
                <w:kern w:val="0"/>
                <w:szCs w:val="21"/>
                <w:highlight w:val="none"/>
              </w:rPr>
            </w:pPr>
            <w:r>
              <w:rPr>
                <w:rFonts w:hint="eastAsia" w:ascii="宋体" w:hAnsi="宋体" w:cs="宋体"/>
                <w:color w:val="auto"/>
                <w:szCs w:val="21"/>
                <w:highlight w:val="none"/>
              </w:rPr>
              <w:t>否</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9057" w:type="dxa"/>
            <w:gridSpan w:val="3"/>
            <w:shd w:val="clear" w:color="auto" w:fill="FFFFFF" w:themeFill="background1"/>
            <w:vAlign w:val="center"/>
          </w:tcPr>
          <w:p>
            <w:pPr>
              <w:keepLines/>
              <w:adjustRightInd w:val="0"/>
              <w:snapToGrid w:val="0"/>
              <w:rPr>
                <w:rFonts w:ascii="宋体" w:hAnsi="宋体" w:cs="宋体"/>
                <w:color w:val="auto"/>
                <w:szCs w:val="21"/>
                <w:highlight w:val="none"/>
              </w:rPr>
            </w:pPr>
            <w:r>
              <w:rPr>
                <w:rFonts w:hint="eastAsia" w:ascii="宋体" w:hAnsi="宋体" w:cs="宋体"/>
                <w:color w:val="auto"/>
                <w:szCs w:val="21"/>
                <w:highlight w:val="none"/>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57" w:type="dxa"/>
            <w:bottom w:w="0" w:type="dxa"/>
            <w:right w:w="57" w:type="dxa"/>
          </w:tblCellMar>
        </w:tblPrEx>
        <w:trPr>
          <w:cantSplit/>
          <w:trHeight w:val="567" w:hRule="atLeast"/>
        </w:trPr>
        <w:tc>
          <w:tcPr>
            <w:tcW w:w="769" w:type="dxa"/>
            <w:shd w:val="clear" w:color="auto" w:fill="FFFFFF" w:themeFill="background1"/>
            <w:vAlign w:val="center"/>
          </w:tcPr>
          <w:p>
            <w:pPr>
              <w:keepLines/>
              <w:autoSpaceDE w:val="0"/>
              <w:autoSpaceDN w:val="0"/>
              <w:adjustRightInd w:val="0"/>
              <w:snapToGrid w:val="0"/>
              <w:spacing w:line="360" w:lineRule="exact"/>
              <w:jc w:val="center"/>
              <w:rPr>
                <w:rFonts w:ascii="宋体" w:hAnsi="宋体" w:cs="宋体"/>
                <w:color w:val="auto"/>
                <w:spacing w:val="1"/>
                <w:kern w:val="0"/>
                <w:szCs w:val="21"/>
                <w:highlight w:val="none"/>
              </w:rPr>
            </w:pPr>
            <w:r>
              <w:rPr>
                <w:rFonts w:hint="eastAsia" w:ascii="宋体" w:hAnsi="宋体" w:cs="宋体"/>
                <w:color w:val="auto"/>
                <w:spacing w:val="1"/>
                <w:kern w:val="0"/>
                <w:szCs w:val="21"/>
                <w:highlight w:val="none"/>
              </w:rPr>
              <w:t>10.2</w:t>
            </w:r>
          </w:p>
        </w:tc>
        <w:tc>
          <w:tcPr>
            <w:tcW w:w="1626" w:type="dxa"/>
            <w:shd w:val="clear" w:color="auto" w:fill="FFFFFF" w:themeFill="background1"/>
            <w:vAlign w:val="center"/>
          </w:tcPr>
          <w:p>
            <w:pPr>
              <w:keepLines/>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招标代理服务费</w:t>
            </w:r>
          </w:p>
        </w:tc>
        <w:tc>
          <w:tcPr>
            <w:tcW w:w="6662" w:type="dxa"/>
            <w:shd w:val="clear" w:color="auto" w:fill="FFFFFF" w:themeFill="background1"/>
            <w:vAlign w:val="center"/>
          </w:tcPr>
          <w:p>
            <w:pPr>
              <w:pStyle w:val="218"/>
              <w:ind w:firstLine="0" w:firstLineChars="0"/>
              <w:rPr>
                <w:rFonts w:ascii="宋体" w:hAnsi="宋体" w:eastAsia="宋体"/>
                <w:bCs/>
                <w:color w:val="auto"/>
                <w:kern w:val="15"/>
                <w:szCs w:val="21"/>
                <w:highlight w:val="none"/>
              </w:rPr>
            </w:pPr>
            <w:r>
              <w:rPr>
                <w:rFonts w:hint="eastAsia" w:ascii="宋体" w:hAnsi="宋体" w:eastAsia="宋体"/>
                <w:bCs/>
                <w:color w:val="auto"/>
                <w:kern w:val="15"/>
                <w:szCs w:val="21"/>
                <w:highlight w:val="none"/>
              </w:rPr>
              <w:t>参考国家计委《招标代理服务收费管理暂行办法》（计价格[2002]1980号）、国家发改委《关于招标代理服务收费有关问题的通知》（发改办价格[2003]857号）、国家发改委《关于降低部分建设项目收费标准规范收费行为等有关问题的通知》（发改价格[2011]534号）等文件规定，以中标金额为基准额，分别适用代理服务费用标准，并采用差额定率累进法计算基准代理收费额。按下表规定的折扣系数确定招标代理费金额。</w:t>
            </w:r>
          </w:p>
          <w:p>
            <w:pPr>
              <w:widowControl/>
              <w:spacing w:line="276" w:lineRule="auto"/>
              <w:jc w:val="center"/>
              <w:rPr>
                <w:rFonts w:ascii="宋体" w:hAnsi="宋体"/>
                <w:color w:val="auto"/>
                <w:kern w:val="0"/>
                <w:szCs w:val="21"/>
                <w:highlight w:val="none"/>
              </w:rPr>
            </w:pPr>
            <w:r>
              <w:rPr>
                <w:rFonts w:hint="eastAsia" w:ascii="宋体" w:hAnsi="宋体"/>
                <w:bCs/>
                <w:color w:val="auto"/>
                <w:kern w:val="15"/>
                <w:szCs w:val="21"/>
                <w:highlight w:val="none"/>
              </w:rPr>
              <w:t>招标代理服务收费折扣系数表(工程类)</w:t>
            </w:r>
          </w:p>
          <w:tbl>
            <w:tblPr>
              <w:tblStyle w:val="43"/>
              <w:tblW w:w="6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102"/>
              <w:gridCol w:w="916"/>
              <w:gridCol w:w="982"/>
              <w:gridCol w:w="1123"/>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356" w:type="dxa"/>
                  <w:vAlign w:val="center"/>
                </w:tcPr>
                <w:p>
                  <w:pPr>
                    <w:jc w:val="center"/>
                    <w:rPr>
                      <w:rFonts w:ascii="宋体" w:hAnsi="宋体"/>
                      <w:bCs/>
                      <w:color w:val="auto"/>
                      <w:kern w:val="15"/>
                      <w:szCs w:val="21"/>
                      <w:highlight w:val="none"/>
                    </w:rPr>
                  </w:pPr>
                  <w:r>
                    <w:rPr>
                      <w:rFonts w:hint="eastAsia" w:ascii="宋体" w:hAnsi="宋体"/>
                      <w:bCs/>
                      <w:color w:val="auto"/>
                      <w:kern w:val="15"/>
                      <w:szCs w:val="21"/>
                      <w:highlight w:val="none"/>
                    </w:rPr>
                    <w:t>基准代理费</w:t>
                  </w:r>
                </w:p>
              </w:tc>
              <w:tc>
                <w:tcPr>
                  <w:tcW w:w="1102" w:type="dxa"/>
                  <w:vAlign w:val="center"/>
                </w:tcPr>
                <w:p>
                  <w:pPr>
                    <w:jc w:val="center"/>
                    <w:rPr>
                      <w:color w:val="auto"/>
                      <w:highlight w:val="none"/>
                    </w:rPr>
                  </w:pPr>
                  <w:r>
                    <w:rPr>
                      <w:rFonts w:hint="eastAsia" w:ascii="宋体" w:hAnsi="宋体"/>
                      <w:bCs/>
                      <w:color w:val="auto"/>
                      <w:kern w:val="15"/>
                      <w:szCs w:val="21"/>
                      <w:highlight w:val="none"/>
                    </w:rPr>
                    <w:t>2万以下</w:t>
                  </w:r>
                </w:p>
              </w:tc>
              <w:tc>
                <w:tcPr>
                  <w:tcW w:w="916" w:type="dxa"/>
                  <w:vAlign w:val="center"/>
                </w:tcPr>
                <w:p>
                  <w:pPr>
                    <w:jc w:val="center"/>
                    <w:rPr>
                      <w:rFonts w:ascii="等线 Light" w:hAnsi="等线 Light" w:eastAsia="等线 Light"/>
                      <w:color w:val="auto"/>
                      <w:szCs w:val="21"/>
                      <w:highlight w:val="none"/>
                    </w:rPr>
                  </w:pPr>
                  <w:r>
                    <w:rPr>
                      <w:rFonts w:hint="eastAsia" w:ascii="宋体" w:hAnsi="宋体"/>
                      <w:bCs/>
                      <w:color w:val="auto"/>
                      <w:kern w:val="15"/>
                      <w:szCs w:val="21"/>
                      <w:highlight w:val="none"/>
                    </w:rPr>
                    <w:t>2-5万</w:t>
                  </w:r>
                </w:p>
              </w:tc>
              <w:tc>
                <w:tcPr>
                  <w:tcW w:w="982" w:type="dxa"/>
                  <w:vAlign w:val="center"/>
                </w:tcPr>
                <w:p>
                  <w:pPr>
                    <w:jc w:val="center"/>
                    <w:rPr>
                      <w:rFonts w:ascii="等线 Light" w:hAnsi="等线 Light" w:eastAsia="等线 Light"/>
                      <w:color w:val="auto"/>
                      <w:szCs w:val="21"/>
                      <w:highlight w:val="none"/>
                    </w:rPr>
                  </w:pPr>
                  <w:r>
                    <w:rPr>
                      <w:rFonts w:hint="eastAsia" w:ascii="宋体" w:hAnsi="宋体"/>
                      <w:bCs/>
                      <w:color w:val="auto"/>
                      <w:kern w:val="15"/>
                      <w:szCs w:val="21"/>
                      <w:highlight w:val="none"/>
                    </w:rPr>
                    <w:t>5-10万</w:t>
                  </w:r>
                </w:p>
              </w:tc>
              <w:tc>
                <w:tcPr>
                  <w:tcW w:w="1123" w:type="dxa"/>
                  <w:vAlign w:val="center"/>
                </w:tcPr>
                <w:p>
                  <w:pPr>
                    <w:jc w:val="center"/>
                    <w:rPr>
                      <w:rFonts w:ascii="等线 Light" w:hAnsi="等线 Light" w:eastAsia="等线 Light"/>
                      <w:color w:val="auto"/>
                      <w:szCs w:val="21"/>
                      <w:highlight w:val="none"/>
                    </w:rPr>
                  </w:pPr>
                  <w:r>
                    <w:rPr>
                      <w:rFonts w:hint="eastAsia" w:ascii="宋体" w:hAnsi="宋体"/>
                      <w:bCs/>
                      <w:color w:val="auto"/>
                      <w:kern w:val="15"/>
                      <w:szCs w:val="21"/>
                      <w:highlight w:val="none"/>
                    </w:rPr>
                    <w:t>10-50万</w:t>
                  </w:r>
                </w:p>
              </w:tc>
              <w:tc>
                <w:tcPr>
                  <w:tcW w:w="1123" w:type="dxa"/>
                  <w:vAlign w:val="center"/>
                </w:tcPr>
                <w:p>
                  <w:pPr>
                    <w:jc w:val="center"/>
                    <w:rPr>
                      <w:rFonts w:ascii="宋体" w:hAnsi="宋体"/>
                      <w:bCs/>
                      <w:color w:val="auto"/>
                      <w:kern w:val="15"/>
                      <w:szCs w:val="21"/>
                      <w:highlight w:val="none"/>
                    </w:rPr>
                  </w:pPr>
                  <w:r>
                    <w:rPr>
                      <w:rFonts w:hint="eastAsia" w:ascii="宋体" w:hAnsi="宋体"/>
                      <w:bCs/>
                      <w:color w:val="auto"/>
                      <w:kern w:val="15"/>
                      <w:szCs w:val="21"/>
                      <w:highlight w:val="none"/>
                    </w:rPr>
                    <w:t>50万以上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356" w:type="dxa"/>
                  <w:vAlign w:val="center"/>
                </w:tcPr>
                <w:p>
                  <w:pPr>
                    <w:pStyle w:val="218"/>
                    <w:ind w:firstLine="0" w:firstLineChars="0"/>
                    <w:jc w:val="center"/>
                    <w:rPr>
                      <w:rFonts w:ascii="宋体" w:hAnsi="宋体" w:eastAsia="宋体"/>
                      <w:bCs/>
                      <w:color w:val="auto"/>
                      <w:kern w:val="15"/>
                      <w:szCs w:val="21"/>
                      <w:highlight w:val="none"/>
                    </w:rPr>
                  </w:pPr>
                  <w:r>
                    <w:rPr>
                      <w:rFonts w:hint="eastAsia" w:ascii="宋体" w:hAnsi="宋体" w:eastAsia="宋体"/>
                      <w:bCs/>
                      <w:color w:val="auto"/>
                      <w:kern w:val="15"/>
                      <w:szCs w:val="21"/>
                      <w:highlight w:val="none"/>
                    </w:rPr>
                    <w:t>折扣系数</w:t>
                  </w:r>
                </w:p>
              </w:tc>
              <w:tc>
                <w:tcPr>
                  <w:tcW w:w="1102" w:type="dxa"/>
                  <w:vAlign w:val="center"/>
                </w:tcPr>
                <w:p>
                  <w:pPr>
                    <w:pStyle w:val="218"/>
                    <w:ind w:firstLine="0" w:firstLineChars="0"/>
                    <w:jc w:val="center"/>
                    <w:rPr>
                      <w:rFonts w:ascii="等线 Light" w:hAnsi="等线 Light" w:eastAsia="等线 Light"/>
                      <w:color w:val="auto"/>
                      <w:szCs w:val="21"/>
                      <w:highlight w:val="none"/>
                    </w:rPr>
                  </w:pPr>
                  <w:r>
                    <w:rPr>
                      <w:rFonts w:hint="eastAsia" w:ascii="宋体" w:hAnsi="宋体" w:eastAsia="宋体"/>
                      <w:bCs/>
                      <w:color w:val="auto"/>
                      <w:kern w:val="15"/>
                      <w:szCs w:val="21"/>
                      <w:highlight w:val="none"/>
                    </w:rPr>
                    <w:t>1.0</w:t>
                  </w:r>
                </w:p>
              </w:tc>
              <w:tc>
                <w:tcPr>
                  <w:tcW w:w="916" w:type="dxa"/>
                  <w:vAlign w:val="center"/>
                </w:tcPr>
                <w:p>
                  <w:pPr>
                    <w:pStyle w:val="218"/>
                    <w:ind w:firstLine="0" w:firstLineChars="0"/>
                    <w:jc w:val="center"/>
                    <w:rPr>
                      <w:rFonts w:ascii="等线 Light" w:hAnsi="等线 Light" w:eastAsia="等线 Light"/>
                      <w:color w:val="auto"/>
                      <w:szCs w:val="21"/>
                      <w:highlight w:val="none"/>
                    </w:rPr>
                  </w:pPr>
                  <w:r>
                    <w:rPr>
                      <w:rFonts w:hint="eastAsia" w:ascii="宋体" w:hAnsi="宋体" w:eastAsia="宋体"/>
                      <w:bCs/>
                      <w:color w:val="auto"/>
                      <w:kern w:val="15"/>
                      <w:szCs w:val="21"/>
                      <w:highlight w:val="none"/>
                    </w:rPr>
                    <w:t>0.8</w:t>
                  </w:r>
                </w:p>
              </w:tc>
              <w:tc>
                <w:tcPr>
                  <w:tcW w:w="982" w:type="dxa"/>
                  <w:vAlign w:val="center"/>
                </w:tcPr>
                <w:p>
                  <w:pPr>
                    <w:pStyle w:val="218"/>
                    <w:ind w:firstLine="0" w:firstLineChars="0"/>
                    <w:jc w:val="center"/>
                    <w:rPr>
                      <w:rFonts w:ascii="等线 Light" w:hAnsi="等线 Light" w:eastAsia="等线 Light"/>
                      <w:color w:val="auto"/>
                      <w:szCs w:val="21"/>
                      <w:highlight w:val="none"/>
                    </w:rPr>
                  </w:pPr>
                  <w:r>
                    <w:rPr>
                      <w:rFonts w:hint="eastAsia" w:ascii="宋体" w:hAnsi="宋体" w:eastAsia="宋体"/>
                      <w:bCs/>
                      <w:color w:val="auto"/>
                      <w:kern w:val="15"/>
                      <w:szCs w:val="21"/>
                      <w:highlight w:val="none"/>
                    </w:rPr>
                    <w:t>0.7</w:t>
                  </w:r>
                </w:p>
              </w:tc>
              <w:tc>
                <w:tcPr>
                  <w:tcW w:w="1123" w:type="dxa"/>
                  <w:vAlign w:val="center"/>
                </w:tcPr>
                <w:p>
                  <w:pPr>
                    <w:pStyle w:val="218"/>
                    <w:ind w:firstLine="0" w:firstLineChars="0"/>
                    <w:jc w:val="center"/>
                    <w:rPr>
                      <w:rFonts w:ascii="等线 Light" w:hAnsi="等线 Light" w:eastAsia="等线 Light"/>
                      <w:color w:val="auto"/>
                      <w:szCs w:val="21"/>
                      <w:highlight w:val="none"/>
                    </w:rPr>
                  </w:pPr>
                  <w:r>
                    <w:rPr>
                      <w:rFonts w:hint="eastAsia" w:ascii="宋体" w:hAnsi="宋体" w:eastAsia="宋体"/>
                      <w:bCs/>
                      <w:color w:val="auto"/>
                      <w:kern w:val="15"/>
                      <w:szCs w:val="21"/>
                      <w:highlight w:val="none"/>
                    </w:rPr>
                    <w:t>0.6</w:t>
                  </w:r>
                </w:p>
              </w:tc>
              <w:tc>
                <w:tcPr>
                  <w:tcW w:w="1123" w:type="dxa"/>
                  <w:vAlign w:val="center"/>
                </w:tcPr>
                <w:p>
                  <w:pPr>
                    <w:pStyle w:val="218"/>
                    <w:ind w:firstLine="0" w:firstLineChars="0"/>
                    <w:jc w:val="center"/>
                    <w:rPr>
                      <w:rFonts w:ascii="等线 Light" w:hAnsi="等线 Light" w:eastAsia="等线 Light"/>
                      <w:color w:val="auto"/>
                      <w:szCs w:val="21"/>
                      <w:highlight w:val="none"/>
                    </w:rPr>
                  </w:pPr>
                  <w:r>
                    <w:rPr>
                      <w:rFonts w:hint="eastAsia" w:ascii="宋体" w:hAnsi="宋体" w:eastAsia="宋体"/>
                      <w:bCs/>
                      <w:color w:val="auto"/>
                      <w:kern w:val="15"/>
                      <w:szCs w:val="21"/>
                      <w:highlight w:val="none"/>
                    </w:rPr>
                    <w:t>0.5</w:t>
                  </w:r>
                </w:p>
              </w:tc>
            </w:tr>
          </w:tbl>
          <w:p>
            <w:pPr>
              <w:keepLines/>
              <w:adjustRightInd w:val="0"/>
              <w:snapToGrid w:val="0"/>
              <w:spacing w:line="360" w:lineRule="exact"/>
              <w:rPr>
                <w:rFonts w:ascii="宋体" w:hAnsi="宋体" w:cs="宋体"/>
                <w:color w:val="auto"/>
                <w:szCs w:val="21"/>
                <w:highlight w:val="none"/>
              </w:rPr>
            </w:pPr>
          </w:p>
        </w:tc>
      </w:tr>
    </w:tbl>
    <w:p>
      <w:pPr>
        <w:pStyle w:val="5"/>
        <w:spacing w:before="0" w:after="0" w:line="360" w:lineRule="auto"/>
        <w:rPr>
          <w:rFonts w:ascii="黑体" w:hAnsi="黑体" w:eastAsia="黑体"/>
          <w:b w:val="0"/>
          <w:color w:val="auto"/>
          <w:highlight w:val="none"/>
        </w:rPr>
      </w:pPr>
      <w:r>
        <w:rPr>
          <w:rFonts w:ascii="隶书" w:hAnsi="宋体"/>
          <w:color w:val="auto"/>
          <w:sz w:val="24"/>
          <w:highlight w:val="none"/>
        </w:rPr>
        <w:br w:type="page"/>
      </w:r>
      <w:bookmarkStart w:id="7" w:name="_Toc484950570"/>
      <w:r>
        <w:rPr>
          <w:rFonts w:hint="eastAsia" w:ascii="黑体" w:hAnsi="黑体" w:eastAsia="黑体"/>
          <w:b w:val="0"/>
          <w:color w:val="auto"/>
          <w:highlight w:val="none"/>
        </w:rPr>
        <w:t>附录1</w:t>
      </w:r>
      <w:r>
        <w:rPr>
          <w:rFonts w:ascii="黑体" w:hAnsi="黑体" w:eastAsia="黑体"/>
          <w:b w:val="0"/>
          <w:color w:val="auto"/>
          <w:highlight w:val="none"/>
        </w:rPr>
        <w:t xml:space="preserve">  </w:t>
      </w:r>
      <w:r>
        <w:rPr>
          <w:rFonts w:hint="eastAsia" w:ascii="黑体" w:hAnsi="黑体" w:eastAsia="黑体"/>
          <w:b w:val="0"/>
          <w:color w:val="auto"/>
          <w:highlight w:val="none"/>
        </w:rPr>
        <w:t>资格审查条件（资质最低要求）</w:t>
      </w:r>
      <w:bookmarkEnd w:id="7"/>
    </w:p>
    <w:p>
      <w:pPr>
        <w:rPr>
          <w:b/>
          <w:color w:val="auto"/>
          <w:highlight w:val="none"/>
          <w:lang w:val="zh-CN"/>
        </w:rPr>
      </w:pPr>
    </w:p>
    <w:tbl>
      <w:tblPr>
        <w:tblStyle w:val="43"/>
        <w:tblW w:w="904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1" w:type="dxa"/>
            <w:vAlign w:val="center"/>
          </w:tcPr>
          <w:p>
            <w:pPr>
              <w:snapToGrid w:val="0"/>
              <w:spacing w:line="320" w:lineRule="exact"/>
              <w:jc w:val="center"/>
              <w:rPr>
                <w:rFonts w:ascii="宋体" w:hAnsi="宋体"/>
                <w:color w:val="auto"/>
                <w:szCs w:val="21"/>
                <w:highlight w:val="none"/>
              </w:rPr>
            </w:pPr>
            <w:r>
              <w:rPr>
                <w:rFonts w:hint="eastAsia" w:ascii="宋体" w:hAnsi="宋体"/>
                <w:color w:val="auto"/>
                <w:szCs w:val="21"/>
                <w:highlight w:val="non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1" w:type="dxa"/>
            <w:vAlign w:val="center"/>
          </w:tcPr>
          <w:p>
            <w:pPr>
              <w:autoSpaceDE w:val="0"/>
              <w:autoSpaceDN w:val="0"/>
              <w:adjustRightIn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投标人须具备公路交通工程（公路机电系统工程分项）专业承包一级资质</w:t>
            </w:r>
          </w:p>
        </w:tc>
      </w:tr>
    </w:tbl>
    <w:p>
      <w:pPr>
        <w:spacing w:line="320" w:lineRule="exact"/>
        <w:rPr>
          <w:rFonts w:ascii="宋体" w:hAnsi="宋体"/>
          <w:color w:val="auto"/>
          <w:sz w:val="18"/>
          <w:highlight w:val="none"/>
        </w:rPr>
      </w:pPr>
    </w:p>
    <w:p>
      <w:pPr>
        <w:pStyle w:val="5"/>
        <w:spacing w:before="0" w:after="0" w:line="360" w:lineRule="auto"/>
        <w:rPr>
          <w:rFonts w:ascii="黑体" w:hAnsi="黑体" w:eastAsia="黑体"/>
          <w:b w:val="0"/>
          <w:color w:val="auto"/>
          <w:highlight w:val="none"/>
        </w:rPr>
      </w:pPr>
      <w:bookmarkStart w:id="8" w:name="_Toc484950571"/>
      <w:r>
        <w:rPr>
          <w:rFonts w:hint="eastAsia" w:ascii="黑体" w:hAnsi="黑体" w:eastAsia="黑体"/>
          <w:b w:val="0"/>
          <w:color w:val="auto"/>
          <w:highlight w:val="none"/>
        </w:rPr>
        <w:t>附录2</w:t>
      </w:r>
      <w:r>
        <w:rPr>
          <w:rFonts w:ascii="黑体" w:hAnsi="黑体" w:eastAsia="黑体"/>
          <w:b w:val="0"/>
          <w:color w:val="auto"/>
          <w:highlight w:val="none"/>
        </w:rPr>
        <w:t xml:space="preserve">  </w:t>
      </w:r>
      <w:r>
        <w:rPr>
          <w:rFonts w:hint="eastAsia" w:ascii="黑体" w:hAnsi="黑体" w:eastAsia="黑体"/>
          <w:b w:val="0"/>
          <w:color w:val="auto"/>
          <w:highlight w:val="none"/>
        </w:rPr>
        <w:t>资格审查条件（财务最低要求）</w:t>
      </w:r>
      <w:bookmarkEnd w:id="8"/>
    </w:p>
    <w:p>
      <w:pPr>
        <w:rPr>
          <w:color w:val="auto"/>
          <w:highlight w:val="none"/>
          <w:lang w:val="zh-CN"/>
        </w:rPr>
      </w:pPr>
    </w:p>
    <w:tbl>
      <w:tblPr>
        <w:tblStyle w:val="43"/>
        <w:tblW w:w="904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1" w:type="dxa"/>
            <w:vAlign w:val="center"/>
          </w:tcPr>
          <w:p>
            <w:pPr>
              <w:snapToGrid w:val="0"/>
              <w:spacing w:line="320" w:lineRule="exact"/>
              <w:jc w:val="center"/>
              <w:rPr>
                <w:rFonts w:ascii="宋体" w:hAnsi="宋体"/>
                <w:color w:val="auto"/>
                <w:szCs w:val="21"/>
                <w:highlight w:val="none"/>
              </w:rPr>
            </w:pPr>
            <w:r>
              <w:rPr>
                <w:rFonts w:hint="eastAsia" w:ascii="宋体" w:hAnsi="宋体"/>
                <w:color w:val="auto"/>
                <w:szCs w:val="21"/>
                <w:highlight w:val="none"/>
              </w:rPr>
              <w:t>财务要求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1" w:type="dxa"/>
            <w:vAlign w:val="center"/>
          </w:tcPr>
          <w:p>
            <w:pPr>
              <w:autoSpaceDE w:val="0"/>
              <w:autoSpaceDN w:val="0"/>
              <w:adjustRightInd w:val="0"/>
              <w:spacing w:line="360" w:lineRule="exact"/>
              <w:ind w:firstLine="420" w:firstLineChars="200"/>
              <w:rPr>
                <w:rFonts w:ascii="宋体" w:hAnsi="宋体"/>
                <w:color w:val="auto"/>
                <w:szCs w:val="21"/>
                <w:highlight w:val="none"/>
              </w:rPr>
            </w:pPr>
            <w:r>
              <w:rPr>
                <w:rFonts w:ascii="宋体" w:hAnsi="宋体"/>
                <w:color w:val="auto"/>
                <w:szCs w:val="21"/>
                <w:highlight w:val="none"/>
              </w:rPr>
              <w:t>经审计的投标人的</w:t>
            </w:r>
            <w:r>
              <w:rPr>
                <w:rFonts w:hint="eastAsia" w:ascii="宋体" w:hAnsi="宋体"/>
                <w:color w:val="auto"/>
                <w:szCs w:val="21"/>
                <w:highlight w:val="none"/>
              </w:rPr>
              <w:t>2019年度</w:t>
            </w:r>
            <w:r>
              <w:rPr>
                <w:rFonts w:ascii="宋体" w:hAnsi="宋体"/>
                <w:color w:val="auto"/>
                <w:szCs w:val="21"/>
                <w:highlight w:val="none"/>
              </w:rPr>
              <w:t>财务会计报告中流动资产</w:t>
            </w:r>
            <w:r>
              <w:rPr>
                <w:rFonts w:hint="eastAsia" w:ascii="宋体" w:hAnsi="宋体"/>
                <w:color w:val="auto"/>
                <w:szCs w:val="21"/>
                <w:highlight w:val="none"/>
              </w:rPr>
              <w:t>大于</w:t>
            </w:r>
            <w:r>
              <w:rPr>
                <w:rFonts w:ascii="宋体" w:hAnsi="宋体"/>
                <w:color w:val="auto"/>
                <w:szCs w:val="21"/>
                <w:highlight w:val="none"/>
              </w:rPr>
              <w:t>流动负债</w:t>
            </w:r>
            <w:r>
              <w:rPr>
                <w:rFonts w:hint="eastAsia" w:ascii="宋体" w:hAnsi="宋体"/>
                <w:color w:val="auto"/>
                <w:szCs w:val="21"/>
                <w:highlight w:val="none"/>
              </w:rPr>
              <w:t>。</w:t>
            </w:r>
          </w:p>
        </w:tc>
      </w:tr>
    </w:tbl>
    <w:p>
      <w:pPr>
        <w:spacing w:line="320" w:lineRule="exact"/>
        <w:rPr>
          <w:rFonts w:ascii="宋体" w:hAnsi="宋体"/>
          <w:color w:val="auto"/>
          <w:sz w:val="18"/>
          <w:highlight w:val="none"/>
        </w:rPr>
      </w:pPr>
    </w:p>
    <w:p>
      <w:pPr>
        <w:pStyle w:val="5"/>
        <w:spacing w:before="0" w:after="0" w:line="360" w:lineRule="auto"/>
        <w:rPr>
          <w:rFonts w:ascii="黑体" w:hAnsi="黑体" w:eastAsia="黑体"/>
          <w:b w:val="0"/>
          <w:color w:val="auto"/>
          <w:highlight w:val="none"/>
        </w:rPr>
      </w:pPr>
      <w:bookmarkStart w:id="9" w:name="_Toc484950572"/>
      <w:r>
        <w:rPr>
          <w:rFonts w:hint="eastAsia" w:ascii="黑体" w:hAnsi="黑体" w:eastAsia="黑体"/>
          <w:b w:val="0"/>
          <w:color w:val="auto"/>
          <w:highlight w:val="none"/>
        </w:rPr>
        <w:t>附录3</w:t>
      </w:r>
      <w:r>
        <w:rPr>
          <w:rFonts w:ascii="黑体" w:hAnsi="黑体" w:eastAsia="黑体"/>
          <w:b w:val="0"/>
          <w:color w:val="auto"/>
          <w:highlight w:val="none"/>
        </w:rPr>
        <w:t xml:space="preserve">  </w:t>
      </w:r>
      <w:r>
        <w:rPr>
          <w:rFonts w:hint="eastAsia" w:ascii="黑体" w:hAnsi="黑体" w:eastAsia="黑体"/>
          <w:b w:val="0"/>
          <w:color w:val="auto"/>
          <w:highlight w:val="none"/>
        </w:rPr>
        <w:t>资格审查条件（业绩最低要求）</w:t>
      </w:r>
      <w:bookmarkEnd w:id="9"/>
    </w:p>
    <w:p>
      <w:pPr>
        <w:rPr>
          <w:color w:val="auto"/>
          <w:highlight w:val="none"/>
          <w:lang w:val="zh-CN"/>
        </w:rPr>
      </w:pPr>
    </w:p>
    <w:tbl>
      <w:tblPr>
        <w:tblStyle w:val="43"/>
        <w:tblW w:w="904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1" w:type="dxa"/>
            <w:vAlign w:val="center"/>
          </w:tcPr>
          <w:p>
            <w:pPr>
              <w:snapToGrid w:val="0"/>
              <w:spacing w:line="320" w:lineRule="exact"/>
              <w:jc w:val="center"/>
              <w:rPr>
                <w:rFonts w:ascii="宋体" w:hAnsi="宋体"/>
                <w:color w:val="auto"/>
                <w:szCs w:val="21"/>
                <w:highlight w:val="none"/>
              </w:rPr>
            </w:pPr>
            <w:r>
              <w:rPr>
                <w:rFonts w:hint="eastAsia" w:ascii="宋体" w:hAnsi="宋体"/>
                <w:color w:val="auto"/>
                <w:szCs w:val="21"/>
                <w:highlight w:val="none"/>
              </w:rPr>
              <w:t>业绩要求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41" w:type="dxa"/>
            <w:vAlign w:val="center"/>
          </w:tcPr>
          <w:p>
            <w:pPr>
              <w:autoSpaceDE w:val="0"/>
              <w:autoSpaceDN w:val="0"/>
              <w:adjustRightInd w:val="0"/>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自2015年1月1日（以交工日期为准）起，JD01标段投标人应完成过高速公路通信、监控、收费综合系统工程累计施工里程150公里（同一公路项目或同一公路施工标段内的通信、监控、收费综合系统工程不得分拆或重复计算里程）；</w:t>
            </w:r>
            <w:r>
              <w:rPr>
                <w:rFonts w:hint="eastAsia" w:ascii="宋体" w:hAnsi="宋体"/>
                <w:bCs/>
                <w:color w:val="auto"/>
                <w:szCs w:val="21"/>
                <w:highlight w:val="none"/>
              </w:rPr>
              <w:t>JD02标段投标人应完成过1项高速公路机电工程单项合同额不低于2000万元的施工业绩（同一合同业绩内应含有监控系统）。</w:t>
            </w:r>
          </w:p>
        </w:tc>
      </w:tr>
    </w:tbl>
    <w:p>
      <w:pPr>
        <w:adjustRightInd w:val="0"/>
        <w:snapToGrid w:val="0"/>
        <w:spacing w:line="400" w:lineRule="exact"/>
        <w:rPr>
          <w:rFonts w:ascii="楷体_GB2312" w:hAnsi="宋体" w:eastAsia="楷体_GB2312"/>
          <w:color w:val="auto"/>
          <w:szCs w:val="21"/>
          <w:highlight w:val="none"/>
        </w:rPr>
      </w:pPr>
      <w:bookmarkStart w:id="10" w:name="_Toc484950573"/>
      <w:r>
        <w:rPr>
          <w:rFonts w:hint="eastAsia" w:ascii="楷体_GB2312" w:hAnsi="宋体" w:eastAsia="楷体_GB2312"/>
          <w:color w:val="auto"/>
          <w:szCs w:val="21"/>
          <w:highlight w:val="none"/>
        </w:rPr>
        <w:t>说明：</w:t>
      </w:r>
    </w:p>
    <w:p>
      <w:pPr>
        <w:adjustRightInd w:val="0"/>
        <w:snapToGrid w:val="0"/>
        <w:spacing w:line="400" w:lineRule="exact"/>
        <w:rPr>
          <w:rFonts w:ascii="楷体_GB2312" w:hAnsi="宋体" w:eastAsia="楷体_GB2312"/>
          <w:color w:val="auto"/>
          <w:szCs w:val="21"/>
          <w:highlight w:val="none"/>
        </w:rPr>
      </w:pPr>
      <w:r>
        <w:rPr>
          <w:rFonts w:hint="eastAsia" w:ascii="楷体_GB2312" w:hAnsi="宋体" w:eastAsia="楷体_GB2312"/>
          <w:color w:val="auto"/>
          <w:szCs w:val="21"/>
          <w:highlight w:val="none"/>
        </w:rPr>
        <w:t>（1）表中涉及到的各项工程术语均执行《公路工程技术标准》（JTG B01-2014）的标准；</w:t>
      </w:r>
    </w:p>
    <w:p>
      <w:pPr>
        <w:adjustRightInd w:val="0"/>
        <w:snapToGrid w:val="0"/>
        <w:spacing w:line="400" w:lineRule="exact"/>
        <w:rPr>
          <w:rFonts w:ascii="宋体" w:hAnsi="宋体"/>
          <w:color w:val="auto"/>
          <w:sz w:val="18"/>
          <w:highlight w:val="none"/>
        </w:rPr>
      </w:pPr>
      <w:r>
        <w:rPr>
          <w:rFonts w:hint="eastAsia" w:ascii="楷体_GB2312" w:hAnsi="宋体" w:eastAsia="楷体_GB2312"/>
          <w:color w:val="auto"/>
          <w:szCs w:val="21"/>
          <w:highlight w:val="none"/>
        </w:rPr>
        <w:t>（2）企业业绩应为国内新建或改扩建高速公路的通信、监控、收费综合系统工程（JD01标段同一合同内必须同时含有通信、监控、收费三大系统、JD02标段同一合同业绩必须含有监控系统），且应是己列入交通运输主管部门“公路建设市场信用信息管理系统”并公开的主包己建业绩，养护工程（如原有机电系统工程系统的改造、更新、升级、提升、完善、维护等）及国外工程业绩均不予认可。</w:t>
      </w:r>
    </w:p>
    <w:p>
      <w:pPr>
        <w:pStyle w:val="5"/>
        <w:spacing w:before="0" w:after="0" w:line="360" w:lineRule="auto"/>
        <w:rPr>
          <w:rFonts w:ascii="黑体" w:hAnsi="黑体" w:eastAsia="黑体"/>
          <w:b w:val="0"/>
          <w:color w:val="auto"/>
          <w:highlight w:val="none"/>
        </w:rPr>
      </w:pPr>
      <w:r>
        <w:rPr>
          <w:rFonts w:hint="eastAsia" w:ascii="黑体" w:hAnsi="黑体" w:eastAsia="黑体"/>
          <w:b w:val="0"/>
          <w:color w:val="auto"/>
          <w:highlight w:val="none"/>
        </w:rPr>
        <w:t>附录4</w:t>
      </w:r>
      <w:r>
        <w:rPr>
          <w:rFonts w:ascii="黑体" w:hAnsi="黑体" w:eastAsia="黑体"/>
          <w:b w:val="0"/>
          <w:color w:val="auto"/>
          <w:highlight w:val="none"/>
        </w:rPr>
        <w:t xml:space="preserve">  </w:t>
      </w:r>
      <w:r>
        <w:rPr>
          <w:rFonts w:hint="eastAsia" w:ascii="黑体" w:hAnsi="黑体" w:eastAsia="黑体"/>
          <w:b w:val="0"/>
          <w:color w:val="auto"/>
          <w:highlight w:val="none"/>
        </w:rPr>
        <w:t>资格审查条件（信誉最低要求）</w:t>
      </w:r>
      <w:bookmarkEnd w:id="10"/>
    </w:p>
    <w:p>
      <w:pPr>
        <w:rPr>
          <w:color w:val="auto"/>
          <w:highlight w:val="none"/>
          <w:lang w:val="zh-CN"/>
        </w:rPr>
      </w:pPr>
    </w:p>
    <w:tbl>
      <w:tblPr>
        <w:tblStyle w:val="43"/>
        <w:tblW w:w="904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041" w:type="dxa"/>
            <w:vAlign w:val="center"/>
          </w:tcPr>
          <w:p>
            <w:pPr>
              <w:snapToGrid w:val="0"/>
              <w:spacing w:line="320" w:lineRule="exact"/>
              <w:jc w:val="center"/>
              <w:rPr>
                <w:rFonts w:ascii="宋体" w:hAnsi="宋体"/>
                <w:color w:val="auto"/>
                <w:szCs w:val="21"/>
                <w:highlight w:val="none"/>
              </w:rPr>
            </w:pPr>
            <w:r>
              <w:rPr>
                <w:rFonts w:hint="eastAsia" w:ascii="宋体" w:hAnsi="宋体"/>
                <w:color w:val="auto"/>
                <w:szCs w:val="21"/>
                <w:highlight w:val="none"/>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041" w:type="dxa"/>
            <w:vAlign w:val="center"/>
          </w:tcPr>
          <w:p>
            <w:pPr>
              <w:autoSpaceDE w:val="0"/>
              <w:autoSpaceDN w:val="0"/>
              <w:adjustRightInd w:val="0"/>
              <w:spacing w:line="400" w:lineRule="exact"/>
              <w:rPr>
                <w:rFonts w:ascii="宋体" w:hAnsi="宋体"/>
                <w:color w:val="auto"/>
                <w:szCs w:val="21"/>
                <w:highlight w:val="none"/>
              </w:rPr>
            </w:pPr>
            <w:r>
              <w:rPr>
                <w:rFonts w:hint="eastAsia" w:ascii="宋体" w:hAnsi="宋体"/>
                <w:color w:val="auto"/>
                <w:szCs w:val="21"/>
                <w:highlight w:val="none"/>
              </w:rPr>
              <w:t>投标人不得存在以下情形：</w:t>
            </w:r>
          </w:p>
          <w:p>
            <w:pPr>
              <w:autoSpaceDE w:val="0"/>
              <w:autoSpaceDN w:val="0"/>
              <w:adjustRightIn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在2017年1月1日之后，有被本项目法人以弄虚作假行为取消中标候选人资格的或因无效合同而终止施工的，或有因农民工群体上访行为被吉林省交通运输主管部门通报的，或被吉林省交通运输主管部门或本项目法人以“投标人相互串通投标行为、弄虚作假行为”通报的。</w:t>
            </w:r>
          </w:p>
        </w:tc>
      </w:tr>
    </w:tbl>
    <w:p>
      <w:pPr>
        <w:pStyle w:val="5"/>
        <w:spacing w:before="0" w:after="0" w:line="360" w:lineRule="auto"/>
        <w:rPr>
          <w:rFonts w:ascii="黑体" w:hAnsi="黑体" w:eastAsia="黑体"/>
          <w:b w:val="0"/>
          <w:color w:val="auto"/>
          <w:highlight w:val="none"/>
        </w:rPr>
      </w:pPr>
      <w:r>
        <w:rPr>
          <w:rFonts w:ascii="宋体" w:hAnsi="宋体"/>
          <w:b w:val="0"/>
          <w:color w:val="auto"/>
          <w:kern w:val="44"/>
          <w:highlight w:val="none"/>
        </w:rPr>
        <w:br w:type="page"/>
      </w:r>
      <w:bookmarkStart w:id="11" w:name="_Toc484950575"/>
      <w:r>
        <w:rPr>
          <w:rFonts w:hint="eastAsia" w:ascii="黑体" w:hAnsi="黑体" w:eastAsia="黑体"/>
          <w:b w:val="0"/>
          <w:color w:val="auto"/>
          <w:highlight w:val="none"/>
        </w:rPr>
        <w:t>附录5</w:t>
      </w:r>
      <w:r>
        <w:rPr>
          <w:rFonts w:ascii="黑体" w:hAnsi="黑体" w:eastAsia="黑体"/>
          <w:b w:val="0"/>
          <w:color w:val="auto"/>
          <w:highlight w:val="none"/>
        </w:rPr>
        <w:t xml:space="preserve">  </w:t>
      </w:r>
      <w:r>
        <w:rPr>
          <w:rFonts w:hint="eastAsia" w:ascii="黑体" w:hAnsi="黑体" w:eastAsia="黑体"/>
          <w:b w:val="0"/>
          <w:color w:val="auto"/>
          <w:highlight w:val="none"/>
        </w:rPr>
        <w:t>资格审查条件（项目经理和项目总工最低要求）</w:t>
      </w:r>
      <w:bookmarkEnd w:id="11"/>
    </w:p>
    <w:p>
      <w:pPr>
        <w:rPr>
          <w:color w:val="auto"/>
          <w:highlight w:val="none"/>
          <w:lang w:val="zh-CN"/>
        </w:rPr>
      </w:pPr>
    </w:p>
    <w:tbl>
      <w:tblPr>
        <w:tblStyle w:val="43"/>
        <w:tblW w:w="905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6"/>
        <w:gridCol w:w="709"/>
        <w:gridCol w:w="5244"/>
        <w:gridCol w:w="22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836" w:type="dxa"/>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人员</w:t>
            </w:r>
          </w:p>
        </w:tc>
        <w:tc>
          <w:tcPr>
            <w:tcW w:w="709" w:type="dxa"/>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数量</w:t>
            </w:r>
          </w:p>
        </w:tc>
        <w:tc>
          <w:tcPr>
            <w:tcW w:w="5244" w:type="dxa"/>
            <w:tcBorders>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资格要求</w:t>
            </w:r>
          </w:p>
        </w:tc>
        <w:tc>
          <w:tcPr>
            <w:tcW w:w="2268" w:type="dxa"/>
            <w:tcBorders>
              <w:lef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在岗要求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0" w:hRule="atLeast"/>
        </w:trPr>
        <w:tc>
          <w:tcPr>
            <w:tcW w:w="836" w:type="dxa"/>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项目</w:t>
            </w:r>
          </w:p>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经理</w:t>
            </w:r>
          </w:p>
        </w:tc>
        <w:tc>
          <w:tcPr>
            <w:tcW w:w="709" w:type="dxa"/>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1人</w:t>
            </w:r>
          </w:p>
        </w:tc>
        <w:tc>
          <w:tcPr>
            <w:tcW w:w="5244" w:type="dxa"/>
            <w:tcBorders>
              <w:right w:val="single" w:color="auto" w:sz="4" w:space="0"/>
            </w:tcBorders>
            <w:vAlign w:val="center"/>
          </w:tcPr>
          <w:p>
            <w:pPr>
              <w:numPr>
                <w:ilvl w:val="0"/>
                <w:numId w:val="2"/>
              </w:numPr>
              <w:adjustRightInd w:val="0"/>
              <w:snapToGrid w:val="0"/>
              <w:spacing w:line="400" w:lineRule="exact"/>
              <w:ind w:left="210" w:leftChars="100"/>
              <w:rPr>
                <w:rFonts w:ascii="宋体" w:hAnsi="宋体"/>
                <w:color w:val="auto"/>
                <w:szCs w:val="21"/>
                <w:highlight w:val="none"/>
              </w:rPr>
            </w:pPr>
            <w:r>
              <w:rPr>
                <w:rFonts w:ascii="宋体" w:hAnsi="宋体"/>
                <w:color w:val="auto"/>
                <w:szCs w:val="21"/>
                <w:highlight w:val="none"/>
              </w:rPr>
              <w:t>投标人自有人员</w:t>
            </w:r>
            <w:r>
              <w:rPr>
                <w:rStyle w:val="55"/>
                <w:rFonts w:ascii="宋体" w:hAnsi="宋体"/>
                <w:color w:val="auto"/>
                <w:szCs w:val="21"/>
                <w:highlight w:val="none"/>
              </w:rPr>
              <w:footnoteReference w:id="1"/>
            </w:r>
            <w:r>
              <w:rPr>
                <w:rFonts w:hint="eastAsia" w:ascii="宋体" w:hAnsi="宋体"/>
                <w:color w:val="auto"/>
                <w:szCs w:val="21"/>
                <w:highlight w:val="none"/>
              </w:rPr>
              <w:t>；</w:t>
            </w:r>
          </w:p>
          <w:p>
            <w:pPr>
              <w:numPr>
                <w:ilvl w:val="0"/>
                <w:numId w:val="2"/>
              </w:numPr>
              <w:adjustRightInd w:val="0"/>
              <w:snapToGrid w:val="0"/>
              <w:spacing w:line="400" w:lineRule="exact"/>
              <w:ind w:left="210" w:leftChars="100"/>
              <w:rPr>
                <w:rFonts w:ascii="宋体" w:hAnsi="宋体"/>
                <w:color w:val="auto"/>
                <w:szCs w:val="21"/>
                <w:highlight w:val="none"/>
              </w:rPr>
            </w:pPr>
            <w:r>
              <w:rPr>
                <w:rFonts w:ascii="宋体" w:hAnsi="宋体"/>
                <w:color w:val="auto"/>
                <w:szCs w:val="21"/>
                <w:highlight w:val="none"/>
              </w:rPr>
              <w:t>持有建设行政主管部门颁发的“</w:t>
            </w:r>
            <w:r>
              <w:rPr>
                <w:rFonts w:hint="eastAsia" w:ascii="宋体" w:hAnsi="宋体"/>
                <w:color w:val="auto"/>
                <w:szCs w:val="21"/>
                <w:highlight w:val="none"/>
              </w:rPr>
              <w:t>公路工程</w:t>
            </w:r>
            <w:r>
              <w:rPr>
                <w:rFonts w:ascii="宋体" w:hAnsi="宋体"/>
                <w:color w:val="auto"/>
                <w:szCs w:val="21"/>
                <w:highlight w:val="none"/>
              </w:rPr>
              <w:t>”</w:t>
            </w:r>
            <w:r>
              <w:rPr>
                <w:rFonts w:hint="eastAsia" w:ascii="宋体" w:hAnsi="宋体"/>
                <w:color w:val="auto"/>
                <w:szCs w:val="21"/>
                <w:highlight w:val="none"/>
              </w:rPr>
              <w:t>或“机电工程”</w:t>
            </w:r>
            <w:r>
              <w:rPr>
                <w:rFonts w:ascii="宋体" w:hAnsi="宋体"/>
                <w:color w:val="auto"/>
                <w:szCs w:val="21"/>
                <w:highlight w:val="none"/>
              </w:rPr>
              <w:t>专业《</w:t>
            </w:r>
            <w:r>
              <w:rPr>
                <w:rFonts w:hint="eastAsia" w:ascii="宋体" w:hAnsi="宋体"/>
                <w:color w:val="auto"/>
                <w:szCs w:val="21"/>
                <w:highlight w:val="none"/>
              </w:rPr>
              <w:t>一</w:t>
            </w:r>
            <w:r>
              <w:rPr>
                <w:rFonts w:ascii="宋体" w:hAnsi="宋体"/>
                <w:color w:val="auto"/>
                <w:szCs w:val="21"/>
                <w:highlight w:val="none"/>
              </w:rPr>
              <w:t>级建造师注册证书》</w:t>
            </w:r>
            <w:r>
              <w:rPr>
                <w:rFonts w:hint="eastAsia" w:ascii="宋体" w:hAnsi="宋体"/>
                <w:bCs/>
                <w:color w:val="auto"/>
                <w:szCs w:val="21"/>
                <w:highlight w:val="none"/>
              </w:rPr>
              <w:t>，且现注册单位</w:t>
            </w:r>
            <w:r>
              <w:rPr>
                <w:rFonts w:hint="eastAsia" w:ascii="宋体" w:hAnsi="宋体"/>
                <w:color w:val="auto"/>
                <w:szCs w:val="21"/>
                <w:highlight w:val="none"/>
              </w:rPr>
              <w:t>为投标人；</w:t>
            </w:r>
          </w:p>
          <w:p>
            <w:pPr>
              <w:numPr>
                <w:ilvl w:val="0"/>
                <w:numId w:val="2"/>
              </w:numPr>
              <w:adjustRightInd w:val="0"/>
              <w:snapToGrid w:val="0"/>
              <w:spacing w:line="400" w:lineRule="exact"/>
              <w:ind w:left="210" w:leftChars="100"/>
              <w:rPr>
                <w:rFonts w:ascii="宋体" w:hAnsi="宋体"/>
                <w:color w:val="auto"/>
                <w:szCs w:val="21"/>
                <w:highlight w:val="none"/>
              </w:rPr>
            </w:pPr>
            <w:r>
              <w:rPr>
                <w:rFonts w:ascii="宋体" w:hAnsi="宋体"/>
                <w:color w:val="auto"/>
                <w:szCs w:val="21"/>
                <w:highlight w:val="none"/>
              </w:rPr>
              <w:t>具有</w:t>
            </w:r>
            <w:r>
              <w:rPr>
                <w:rFonts w:hint="eastAsia" w:ascii="宋体" w:hAnsi="宋体"/>
                <w:color w:val="auto"/>
                <w:szCs w:val="21"/>
                <w:highlight w:val="none"/>
              </w:rPr>
              <w:t>公路工程或机电工程相关专业中</w:t>
            </w:r>
            <w:r>
              <w:rPr>
                <w:rFonts w:ascii="宋体" w:hAnsi="宋体"/>
                <w:color w:val="auto"/>
                <w:szCs w:val="21"/>
                <w:highlight w:val="none"/>
              </w:rPr>
              <w:t>级技术职称</w:t>
            </w:r>
            <w:r>
              <w:rPr>
                <w:rFonts w:hint="eastAsia" w:ascii="宋体" w:hAnsi="宋体"/>
                <w:color w:val="auto"/>
                <w:szCs w:val="21"/>
                <w:highlight w:val="none"/>
              </w:rPr>
              <w:t>；</w:t>
            </w:r>
          </w:p>
          <w:p>
            <w:pPr>
              <w:numPr>
                <w:ilvl w:val="0"/>
                <w:numId w:val="2"/>
              </w:numPr>
              <w:adjustRightInd w:val="0"/>
              <w:snapToGrid w:val="0"/>
              <w:spacing w:line="400" w:lineRule="exact"/>
              <w:ind w:left="210" w:leftChars="100"/>
              <w:rPr>
                <w:rFonts w:ascii="宋体" w:hAnsi="宋体"/>
                <w:color w:val="auto"/>
                <w:szCs w:val="21"/>
                <w:highlight w:val="none"/>
              </w:rPr>
            </w:pPr>
            <w:r>
              <w:rPr>
                <w:rFonts w:ascii="宋体" w:hAnsi="宋体"/>
                <w:color w:val="auto"/>
                <w:szCs w:val="21"/>
                <w:highlight w:val="none"/>
              </w:rPr>
              <w:t>具有</w:t>
            </w:r>
            <w:r>
              <w:rPr>
                <w:rFonts w:hint="eastAsia" w:ascii="宋体" w:hAnsi="宋体"/>
                <w:color w:val="auto"/>
                <w:szCs w:val="21"/>
                <w:highlight w:val="none"/>
              </w:rPr>
              <w:t>交通运输主管部门</w:t>
            </w:r>
            <w:r>
              <w:rPr>
                <w:rFonts w:ascii="宋体" w:hAnsi="宋体"/>
                <w:color w:val="auto"/>
                <w:szCs w:val="21"/>
                <w:highlight w:val="none"/>
              </w:rPr>
              <w:t>颁发的有效的B类安全生产考核合格证书</w:t>
            </w:r>
            <w:r>
              <w:rPr>
                <w:rFonts w:hint="eastAsia" w:ascii="宋体" w:hAnsi="宋体"/>
                <w:color w:val="auto"/>
                <w:szCs w:val="21"/>
                <w:highlight w:val="none"/>
              </w:rPr>
              <w:t>；</w:t>
            </w:r>
          </w:p>
        </w:tc>
        <w:tc>
          <w:tcPr>
            <w:tcW w:w="2268" w:type="dxa"/>
            <w:vMerge w:val="restart"/>
            <w:tcBorders>
              <w:left w:val="single" w:color="auto" w:sz="4" w:space="0"/>
            </w:tcBorders>
            <w:vAlign w:val="center"/>
          </w:tcPr>
          <w:p>
            <w:pPr>
              <w:adjustRightInd w:val="0"/>
              <w:snapToGrid w:val="0"/>
              <w:spacing w:line="400" w:lineRule="exact"/>
              <w:rPr>
                <w:rFonts w:ascii="宋体" w:hAnsi="宋体"/>
                <w:color w:val="auto"/>
                <w:szCs w:val="21"/>
                <w:highlight w:val="none"/>
              </w:rPr>
            </w:pPr>
            <w:r>
              <w:rPr>
                <w:rFonts w:hint="eastAsia" w:ascii="宋体" w:hAnsi="宋体"/>
                <w:color w:val="auto"/>
                <w:szCs w:val="21"/>
                <w:highlight w:val="none"/>
              </w:rPr>
              <w:t>无在岗项目（指目前未在其他项目上任职，或虽在其他项目任职但本项目中标后能够从该项目撤离）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0" w:hRule="atLeast"/>
        </w:trPr>
        <w:tc>
          <w:tcPr>
            <w:tcW w:w="836" w:type="dxa"/>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项目</w:t>
            </w:r>
          </w:p>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总工</w:t>
            </w:r>
          </w:p>
        </w:tc>
        <w:tc>
          <w:tcPr>
            <w:tcW w:w="709" w:type="dxa"/>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1人</w:t>
            </w:r>
          </w:p>
        </w:tc>
        <w:tc>
          <w:tcPr>
            <w:tcW w:w="5244" w:type="dxa"/>
            <w:tcBorders>
              <w:right w:val="single" w:color="auto" w:sz="4" w:space="0"/>
            </w:tcBorders>
            <w:vAlign w:val="center"/>
          </w:tcPr>
          <w:p>
            <w:pPr>
              <w:numPr>
                <w:ilvl w:val="0"/>
                <w:numId w:val="3"/>
              </w:numPr>
              <w:adjustRightInd w:val="0"/>
              <w:snapToGrid w:val="0"/>
              <w:spacing w:line="400" w:lineRule="exact"/>
              <w:ind w:left="210" w:leftChars="100"/>
              <w:rPr>
                <w:rFonts w:ascii="宋体" w:hAnsi="宋体"/>
                <w:color w:val="auto"/>
                <w:szCs w:val="21"/>
                <w:highlight w:val="none"/>
              </w:rPr>
            </w:pPr>
            <w:r>
              <w:rPr>
                <w:rFonts w:ascii="宋体" w:hAnsi="宋体"/>
                <w:color w:val="auto"/>
                <w:szCs w:val="21"/>
                <w:highlight w:val="none"/>
              </w:rPr>
              <w:t>投标人自有人员</w:t>
            </w:r>
            <w:r>
              <w:rPr>
                <w:rFonts w:hint="eastAsia" w:ascii="宋体" w:hAnsi="宋体"/>
                <w:color w:val="auto"/>
                <w:szCs w:val="21"/>
                <w:highlight w:val="none"/>
              </w:rPr>
              <w:t>；</w:t>
            </w:r>
          </w:p>
          <w:p>
            <w:pPr>
              <w:numPr>
                <w:ilvl w:val="0"/>
                <w:numId w:val="3"/>
              </w:numPr>
              <w:adjustRightInd w:val="0"/>
              <w:snapToGrid w:val="0"/>
              <w:spacing w:line="400" w:lineRule="exact"/>
              <w:ind w:left="210" w:leftChars="100"/>
              <w:rPr>
                <w:rFonts w:ascii="宋体" w:hAnsi="宋体"/>
                <w:color w:val="auto"/>
                <w:szCs w:val="21"/>
                <w:highlight w:val="none"/>
              </w:rPr>
            </w:pPr>
            <w:r>
              <w:rPr>
                <w:rFonts w:ascii="宋体" w:hAnsi="宋体"/>
                <w:color w:val="auto"/>
                <w:szCs w:val="21"/>
                <w:highlight w:val="none"/>
              </w:rPr>
              <w:t>具有</w:t>
            </w:r>
            <w:r>
              <w:rPr>
                <w:rFonts w:hint="eastAsia" w:ascii="宋体" w:hAnsi="宋体"/>
                <w:color w:val="auto"/>
                <w:szCs w:val="21"/>
                <w:highlight w:val="none"/>
              </w:rPr>
              <w:t>公路工程或机电工程相关专业</w:t>
            </w:r>
            <w:r>
              <w:rPr>
                <w:rFonts w:ascii="宋体" w:hAnsi="宋体"/>
                <w:color w:val="auto"/>
                <w:szCs w:val="21"/>
                <w:highlight w:val="none"/>
              </w:rPr>
              <w:t>高级技术职称</w:t>
            </w:r>
            <w:r>
              <w:rPr>
                <w:rFonts w:hint="eastAsia" w:ascii="宋体" w:hAnsi="宋体"/>
                <w:color w:val="auto"/>
                <w:szCs w:val="21"/>
                <w:highlight w:val="none"/>
              </w:rPr>
              <w:t>；</w:t>
            </w:r>
          </w:p>
          <w:p>
            <w:pPr>
              <w:numPr>
                <w:ilvl w:val="0"/>
                <w:numId w:val="3"/>
              </w:numPr>
              <w:adjustRightInd w:val="0"/>
              <w:snapToGrid w:val="0"/>
              <w:spacing w:line="400" w:lineRule="exact"/>
              <w:ind w:left="210" w:leftChars="100"/>
              <w:rPr>
                <w:rFonts w:ascii="宋体" w:hAnsi="宋体"/>
                <w:color w:val="auto"/>
                <w:szCs w:val="21"/>
                <w:highlight w:val="none"/>
              </w:rPr>
            </w:pPr>
            <w:r>
              <w:rPr>
                <w:rFonts w:ascii="宋体" w:hAnsi="宋体"/>
                <w:color w:val="auto"/>
                <w:szCs w:val="21"/>
                <w:highlight w:val="none"/>
              </w:rPr>
              <w:t>具有</w:t>
            </w:r>
            <w:r>
              <w:rPr>
                <w:rFonts w:hint="eastAsia" w:ascii="宋体" w:hAnsi="宋体"/>
                <w:color w:val="auto"/>
                <w:szCs w:val="21"/>
                <w:highlight w:val="none"/>
              </w:rPr>
              <w:t>交通运输主管部门</w:t>
            </w:r>
            <w:r>
              <w:rPr>
                <w:rFonts w:ascii="宋体" w:hAnsi="宋体"/>
                <w:color w:val="auto"/>
                <w:szCs w:val="21"/>
                <w:highlight w:val="none"/>
              </w:rPr>
              <w:t>颁发的有效的B类安全生产考核合格证书</w:t>
            </w:r>
            <w:r>
              <w:rPr>
                <w:rFonts w:hint="eastAsia" w:ascii="宋体" w:hAnsi="宋体"/>
                <w:color w:val="auto"/>
                <w:szCs w:val="21"/>
                <w:highlight w:val="none"/>
              </w:rPr>
              <w:t>；</w:t>
            </w:r>
          </w:p>
        </w:tc>
        <w:tc>
          <w:tcPr>
            <w:tcW w:w="2268" w:type="dxa"/>
            <w:vMerge w:val="continue"/>
            <w:tcBorders>
              <w:left w:val="single" w:color="auto" w:sz="4" w:space="0"/>
            </w:tcBorders>
            <w:vAlign w:val="center"/>
          </w:tcPr>
          <w:p>
            <w:pPr>
              <w:numPr>
                <w:ilvl w:val="0"/>
                <w:numId w:val="3"/>
              </w:numPr>
              <w:adjustRightInd w:val="0"/>
              <w:snapToGrid w:val="0"/>
              <w:spacing w:line="400" w:lineRule="exact"/>
              <w:rPr>
                <w:rFonts w:ascii="宋体" w:hAnsi="宋体"/>
                <w:color w:val="auto"/>
                <w:szCs w:val="21"/>
                <w:highlight w:val="none"/>
              </w:rPr>
            </w:pPr>
          </w:p>
        </w:tc>
      </w:tr>
    </w:tbl>
    <w:p>
      <w:pPr>
        <w:adjustRightInd w:val="0"/>
        <w:snapToGrid w:val="0"/>
        <w:spacing w:line="400" w:lineRule="exact"/>
        <w:ind w:left="630" w:hanging="630" w:hangingChars="300"/>
        <w:rPr>
          <w:rFonts w:ascii="楷体_GB2312" w:hAnsi="宋体" w:eastAsia="楷体_GB2312"/>
          <w:color w:val="auto"/>
          <w:szCs w:val="21"/>
          <w:highlight w:val="none"/>
        </w:rPr>
      </w:pPr>
      <w:r>
        <w:rPr>
          <w:rFonts w:hint="eastAsia" w:ascii="楷体_GB2312" w:hAnsi="宋体" w:eastAsia="楷体_GB2312"/>
          <w:color w:val="auto"/>
          <w:szCs w:val="21"/>
          <w:highlight w:val="none"/>
        </w:rPr>
        <w:t>说明</w:t>
      </w:r>
      <w:r>
        <w:rPr>
          <w:rFonts w:ascii="楷体_GB2312" w:hAnsi="宋体" w:eastAsia="楷体_GB2312"/>
          <w:color w:val="auto"/>
          <w:szCs w:val="21"/>
          <w:highlight w:val="none"/>
        </w:rPr>
        <w:t>：</w:t>
      </w:r>
      <w:r>
        <w:rPr>
          <w:rFonts w:hint="eastAsia" w:ascii="楷体_GB2312" w:hAnsi="宋体" w:eastAsia="楷体_GB2312"/>
          <w:color w:val="auto"/>
          <w:szCs w:val="21"/>
          <w:highlight w:val="none"/>
        </w:rPr>
        <w:t>个人业绩应是交通运输部“全国公路建设市场信用信息管理系统”中载明的、能够证明项目经理和项目总工具有上述业绩的主包己建业绩，国外工程业绩不予认可。</w:t>
      </w:r>
    </w:p>
    <w:p>
      <w:pPr>
        <w:pStyle w:val="2"/>
        <w:rPr>
          <w:rFonts w:hint="eastAsia" w:eastAsia="黑体"/>
          <w:b w:val="0"/>
          <w:bCs w:val="0"/>
          <w:color w:val="auto"/>
          <w:sz w:val="32"/>
          <w:szCs w:val="32"/>
          <w:highlight w:val="none"/>
          <w:lang w:val="en-US" w:eastAsia="zh-CN"/>
        </w:rPr>
      </w:pPr>
      <w:bookmarkStart w:id="12" w:name="_Toc258182505"/>
      <w:bookmarkStart w:id="13" w:name="_Toc30565"/>
      <w:bookmarkStart w:id="14" w:name="_Toc530376655"/>
      <w:r>
        <w:rPr>
          <w:rFonts w:hint="eastAsia"/>
          <w:b w:val="0"/>
          <w:bCs w:val="0"/>
          <w:color w:val="auto"/>
          <w:sz w:val="32"/>
          <w:szCs w:val="32"/>
          <w:highlight w:val="none"/>
        </w:rPr>
        <w:t>评标办法</w:t>
      </w:r>
      <w:bookmarkEnd w:id="12"/>
      <w:bookmarkEnd w:id="13"/>
      <w:bookmarkEnd w:id="14"/>
      <w:bookmarkStart w:id="15" w:name="_Toc355768878"/>
      <w:bookmarkStart w:id="16" w:name="_Toc530376656"/>
      <w:bookmarkStart w:id="17" w:name="_Toc18255"/>
      <w:bookmarkStart w:id="18" w:name="_Toc258182506"/>
      <w:r>
        <w:rPr>
          <w:rFonts w:hint="eastAsia"/>
          <w:b w:val="0"/>
          <w:bCs w:val="0"/>
          <w:color w:val="auto"/>
          <w:sz w:val="32"/>
          <w:szCs w:val="32"/>
          <w:highlight w:val="none"/>
          <w:lang w:val="en-US" w:eastAsia="zh-CN"/>
        </w:rPr>
        <w:t>(</w:t>
      </w:r>
      <w:r>
        <w:rPr>
          <w:rFonts w:hint="eastAsia"/>
          <w:b w:val="0"/>
          <w:bCs w:val="0"/>
          <w:color w:val="auto"/>
          <w:sz w:val="32"/>
          <w:szCs w:val="32"/>
          <w:highlight w:val="none"/>
        </w:rPr>
        <w:t>综合评分法</w:t>
      </w:r>
      <w:bookmarkEnd w:id="15"/>
      <w:bookmarkEnd w:id="16"/>
      <w:bookmarkEnd w:id="17"/>
      <w:r>
        <w:rPr>
          <w:rFonts w:hint="eastAsia"/>
          <w:b w:val="0"/>
          <w:bCs w:val="0"/>
          <w:color w:val="auto"/>
          <w:sz w:val="32"/>
          <w:szCs w:val="32"/>
          <w:highlight w:val="none"/>
          <w:lang w:val="en-US" w:eastAsia="zh-CN"/>
        </w:rPr>
        <w:t>)</w:t>
      </w:r>
    </w:p>
    <w:p>
      <w:pPr>
        <w:rPr>
          <w:color w:val="auto"/>
          <w:sz w:val="36"/>
          <w:szCs w:val="36"/>
          <w:highlight w:val="none"/>
          <w:lang w:val="zh-CN"/>
        </w:rPr>
      </w:pPr>
    </w:p>
    <w:p>
      <w:pPr>
        <w:pStyle w:val="5"/>
        <w:snapToGrid w:val="0"/>
        <w:spacing w:before="0" w:after="0" w:line="240" w:lineRule="auto"/>
        <w:rPr>
          <w:rFonts w:ascii="黑体" w:hAnsi="黑体" w:eastAsia="黑体"/>
          <w:b w:val="0"/>
          <w:bCs w:val="0"/>
          <w:color w:val="auto"/>
          <w:highlight w:val="none"/>
        </w:rPr>
      </w:pPr>
      <w:bookmarkStart w:id="19" w:name="_Toc484950608"/>
      <w:r>
        <w:rPr>
          <w:rFonts w:hint="eastAsia" w:ascii="黑体" w:hAnsi="黑体" w:eastAsia="黑体"/>
          <w:b w:val="0"/>
          <w:bCs w:val="0"/>
          <w:color w:val="auto"/>
          <w:highlight w:val="none"/>
        </w:rPr>
        <w:t>评标办法前附表</w:t>
      </w:r>
      <w:r>
        <w:rPr>
          <w:rStyle w:val="55"/>
          <w:rFonts w:ascii="黑体" w:hAnsi="黑体" w:eastAsia="黑体"/>
          <w:b w:val="0"/>
          <w:bCs w:val="0"/>
          <w:color w:val="auto"/>
          <w:sz w:val="30"/>
          <w:szCs w:val="30"/>
          <w:highlight w:val="none"/>
        </w:rPr>
        <w:footnoteReference w:id="2"/>
      </w:r>
      <w:bookmarkEnd w:id="19"/>
    </w:p>
    <w:p>
      <w:pPr>
        <w:rPr>
          <w:color w:val="auto"/>
          <w:highlight w:val="none"/>
          <w:lang w:val="zh-CN"/>
        </w:rPr>
      </w:pPr>
    </w:p>
    <w:tbl>
      <w:tblPr>
        <w:tblStyle w:val="43"/>
        <w:tblW w:w="9057"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999"/>
        <w:gridCol w:w="1555"/>
        <w:gridCol w:w="650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567" w:hRule="atLeast"/>
          <w:tblHeader/>
        </w:trPr>
        <w:tc>
          <w:tcPr>
            <w:tcW w:w="999" w:type="dxa"/>
            <w:tcBorders>
              <w:top w:val="single" w:color="000000" w:sz="12" w:space="0"/>
              <w:left w:val="single" w:color="000000" w:sz="12" w:space="0"/>
              <w:bottom w:val="single" w:color="000000" w:sz="6" w:space="0"/>
              <w:right w:val="single" w:color="000000" w:sz="6" w:space="0"/>
            </w:tcBorders>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条款号</w:t>
            </w:r>
          </w:p>
        </w:tc>
        <w:tc>
          <w:tcPr>
            <w:tcW w:w="1555" w:type="dxa"/>
            <w:tcBorders>
              <w:top w:val="single" w:color="000000" w:sz="12" w:space="0"/>
              <w:left w:val="single" w:color="000000" w:sz="6" w:space="0"/>
              <w:bottom w:val="single" w:color="000000" w:sz="6" w:space="0"/>
              <w:right w:val="single" w:color="auto" w:sz="4" w:space="0"/>
            </w:tcBorders>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条款内容</w:t>
            </w:r>
          </w:p>
        </w:tc>
        <w:tc>
          <w:tcPr>
            <w:tcW w:w="6503" w:type="dxa"/>
            <w:tcBorders>
              <w:top w:val="single" w:color="000000" w:sz="12" w:space="0"/>
              <w:left w:val="single" w:color="auto" w:sz="4" w:space="0"/>
              <w:bottom w:val="single" w:color="000000" w:sz="6" w:space="0"/>
              <w:right w:val="single" w:color="000000" w:sz="12" w:space="0"/>
            </w:tcBorders>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评审因素与评审标准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134" w:hRule="atLeast"/>
        </w:trPr>
        <w:tc>
          <w:tcPr>
            <w:tcW w:w="999" w:type="dxa"/>
            <w:tcBorders>
              <w:top w:val="single" w:color="000000" w:sz="6" w:space="0"/>
              <w:left w:val="single" w:color="000000" w:sz="12" w:space="0"/>
              <w:right w:val="single" w:color="000000" w:sz="6" w:space="0"/>
            </w:tcBorders>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1</w:t>
            </w:r>
          </w:p>
        </w:tc>
        <w:tc>
          <w:tcPr>
            <w:tcW w:w="1555" w:type="dxa"/>
            <w:tcBorders>
              <w:top w:val="single" w:color="000000" w:sz="6" w:space="0"/>
              <w:left w:val="single" w:color="000000" w:sz="6" w:space="0"/>
              <w:right w:val="single" w:color="000000" w:sz="6" w:space="0"/>
            </w:tcBorders>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评标方法</w:t>
            </w:r>
          </w:p>
        </w:tc>
        <w:tc>
          <w:tcPr>
            <w:tcW w:w="6503" w:type="dxa"/>
            <w:tcBorders>
              <w:top w:val="single" w:color="000000" w:sz="6" w:space="0"/>
              <w:left w:val="single" w:color="000000" w:sz="6" w:space="0"/>
              <w:bottom w:val="single" w:color="auto" w:sz="4" w:space="0"/>
              <w:right w:val="single" w:color="000000" w:sz="12" w:space="0"/>
            </w:tcBorders>
            <w:vAlign w:val="center"/>
          </w:tcPr>
          <w:p>
            <w:pPr>
              <w:keepLines/>
              <w:adjustRightInd w:val="0"/>
              <w:snapToGrid w:val="0"/>
              <w:spacing w:line="360" w:lineRule="auto"/>
              <w:ind w:left="210" w:leftChars="100"/>
              <w:jc w:val="left"/>
              <w:rPr>
                <w:rFonts w:ascii="宋体" w:hAnsi="宋体"/>
                <w:color w:val="auto"/>
                <w:szCs w:val="21"/>
                <w:highlight w:val="none"/>
              </w:rPr>
            </w:pPr>
            <w:r>
              <w:rPr>
                <w:rFonts w:hint="eastAsia" w:ascii="宋体" w:hAnsi="宋体"/>
                <w:color w:val="auto"/>
                <w:szCs w:val="21"/>
                <w:highlight w:val="none"/>
              </w:rPr>
              <w:t>综合评分相等时，评标委员会依次按照以下优先顺序</w:t>
            </w:r>
            <w:r>
              <w:rPr>
                <w:rFonts w:ascii="宋体" w:hAnsi="宋体"/>
                <w:color w:val="auto"/>
                <w:szCs w:val="21"/>
                <w:highlight w:val="none"/>
              </w:rPr>
              <w:t>推荐中标候选人</w:t>
            </w:r>
            <w:r>
              <w:rPr>
                <w:rFonts w:hint="eastAsia" w:ascii="宋体" w:hAnsi="宋体"/>
                <w:color w:val="auto"/>
                <w:szCs w:val="21"/>
                <w:highlight w:val="none"/>
              </w:rPr>
              <w:t>：</w:t>
            </w:r>
          </w:p>
          <w:p>
            <w:pPr>
              <w:keepLines/>
              <w:adjustRightInd w:val="0"/>
              <w:snapToGrid w:val="0"/>
              <w:spacing w:line="360" w:lineRule="auto"/>
              <w:ind w:left="210" w:leftChars="100"/>
              <w:jc w:val="left"/>
              <w:rPr>
                <w:rFonts w:ascii="宋体" w:hAnsi="宋体"/>
                <w:color w:val="auto"/>
                <w:szCs w:val="21"/>
                <w:highlight w:val="none"/>
              </w:rPr>
            </w:pPr>
            <w:r>
              <w:rPr>
                <w:rFonts w:hint="eastAsia" w:ascii="宋体" w:hAnsi="宋体"/>
                <w:color w:val="auto"/>
                <w:szCs w:val="21"/>
                <w:highlight w:val="none"/>
              </w:rPr>
              <w:t>（1）评</w:t>
            </w:r>
            <w:r>
              <w:rPr>
                <w:rFonts w:ascii="宋体" w:hAnsi="宋体"/>
                <w:color w:val="auto"/>
                <w:szCs w:val="21"/>
                <w:highlight w:val="none"/>
              </w:rPr>
              <w:t>标价</w:t>
            </w:r>
            <w:r>
              <w:rPr>
                <w:rFonts w:hint="eastAsia" w:ascii="宋体" w:hAnsi="宋体"/>
                <w:color w:val="auto"/>
                <w:szCs w:val="21"/>
                <w:highlight w:val="none"/>
              </w:rPr>
              <w:t>低</w:t>
            </w:r>
            <w:r>
              <w:rPr>
                <w:rFonts w:ascii="宋体" w:hAnsi="宋体"/>
                <w:color w:val="auto"/>
                <w:szCs w:val="21"/>
                <w:highlight w:val="none"/>
              </w:rPr>
              <w:t>的</w:t>
            </w:r>
            <w:r>
              <w:rPr>
                <w:rFonts w:hint="eastAsia" w:ascii="宋体" w:hAnsi="宋体"/>
                <w:color w:val="auto"/>
                <w:szCs w:val="21"/>
                <w:highlight w:val="none"/>
              </w:rPr>
              <w:t>投标人</w:t>
            </w:r>
            <w:r>
              <w:rPr>
                <w:rFonts w:ascii="宋体" w:hAnsi="宋体"/>
                <w:color w:val="auto"/>
                <w:szCs w:val="21"/>
                <w:highlight w:val="none"/>
              </w:rPr>
              <w:t>优先；</w:t>
            </w:r>
          </w:p>
          <w:p>
            <w:pPr>
              <w:keepLines/>
              <w:adjustRightInd w:val="0"/>
              <w:snapToGrid w:val="0"/>
              <w:spacing w:line="360" w:lineRule="auto"/>
              <w:ind w:left="210" w:leftChars="100"/>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）履约信誉得分高的投标人优先；</w:t>
            </w:r>
          </w:p>
          <w:p>
            <w:pPr>
              <w:keepLines/>
              <w:adjustRightInd w:val="0"/>
              <w:snapToGrid w:val="0"/>
              <w:spacing w:line="360" w:lineRule="auto"/>
              <w:ind w:left="210" w:leftChars="100"/>
              <w:jc w:val="left"/>
              <w:rPr>
                <w:rFonts w:ascii="宋体" w:hAnsi="宋体"/>
                <w:color w:val="auto"/>
                <w:szCs w:val="21"/>
                <w:highlight w:val="none"/>
              </w:rPr>
            </w:pPr>
            <w:r>
              <w:rPr>
                <w:rFonts w:hint="eastAsia" w:ascii="宋体" w:hAnsi="宋体"/>
                <w:color w:val="auto"/>
                <w:szCs w:val="21"/>
                <w:highlight w:val="none"/>
              </w:rPr>
              <w:t>（3）施工组织设计得分高的投标人优先；</w:t>
            </w:r>
          </w:p>
          <w:p>
            <w:pPr>
              <w:keepLines/>
              <w:adjustRightInd w:val="0"/>
              <w:snapToGrid w:val="0"/>
              <w:spacing w:line="360" w:lineRule="auto"/>
              <w:ind w:left="210" w:leftChars="100"/>
              <w:jc w:val="left"/>
              <w:rPr>
                <w:rFonts w:ascii="宋体" w:hAnsi="宋体"/>
                <w:color w:val="auto"/>
                <w:szCs w:val="21"/>
                <w:highlight w:val="none"/>
              </w:rPr>
            </w:pPr>
            <w:r>
              <w:rPr>
                <w:rFonts w:hint="eastAsia" w:ascii="宋体" w:hAnsi="宋体"/>
                <w:color w:val="auto"/>
                <w:szCs w:val="21"/>
                <w:highlight w:val="none"/>
              </w:rPr>
              <w:t>（4）企业业绩得分高的投标人优先。</w:t>
            </w:r>
          </w:p>
          <w:p>
            <w:pPr>
              <w:keepLines/>
              <w:adjustRightInd w:val="0"/>
              <w:snapToGrid w:val="0"/>
              <w:spacing w:line="360" w:lineRule="auto"/>
              <w:ind w:left="210" w:leftChars="100"/>
              <w:jc w:val="left"/>
              <w:rPr>
                <w:rFonts w:ascii="宋体" w:hAnsi="宋体"/>
                <w:color w:val="auto"/>
                <w:szCs w:val="21"/>
                <w:highlight w:val="none"/>
              </w:rPr>
            </w:pPr>
            <w:r>
              <w:rPr>
                <w:rFonts w:hint="eastAsia" w:ascii="宋体" w:hAnsi="宋体"/>
                <w:color w:val="auto"/>
                <w:szCs w:val="21"/>
                <w:highlight w:val="none"/>
              </w:rPr>
              <w:t>若以上均相等，则由评标委员会表决确定其排序先后。</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134" w:hRule="atLeast"/>
        </w:trPr>
        <w:tc>
          <w:tcPr>
            <w:tcW w:w="999"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2.1.1</w:t>
            </w:r>
            <w:r>
              <w:rPr>
                <w:rFonts w:hint="eastAsia" w:ascii="宋体" w:hAnsi="宋体"/>
                <w:color w:val="auto"/>
                <w:szCs w:val="21"/>
                <w:highlight w:val="none"/>
              </w:rPr>
              <w:br w:type="textWrapping"/>
            </w:r>
            <w:r>
              <w:rPr>
                <w:rFonts w:hint="eastAsia" w:ascii="宋体" w:hAnsi="宋体"/>
                <w:color w:val="auto"/>
                <w:szCs w:val="21"/>
                <w:highlight w:val="none"/>
              </w:rPr>
              <w:br w:type="textWrapping"/>
            </w:r>
            <w:r>
              <w:rPr>
                <w:rFonts w:hint="eastAsia" w:ascii="宋体" w:hAnsi="宋体"/>
                <w:color w:val="auto"/>
                <w:szCs w:val="21"/>
                <w:highlight w:val="none"/>
              </w:rPr>
              <w:t>2.1.3</w:t>
            </w:r>
          </w:p>
        </w:tc>
        <w:tc>
          <w:tcPr>
            <w:tcW w:w="155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形式评审</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与</w:t>
            </w:r>
            <w:r>
              <w:rPr>
                <w:rFonts w:hint="eastAsia" w:ascii="宋体" w:hAnsi="宋体"/>
                <w:color w:val="auto"/>
                <w:szCs w:val="21"/>
                <w:highlight w:val="none"/>
              </w:rPr>
              <w:br w:type="textWrapping"/>
            </w:r>
            <w:r>
              <w:rPr>
                <w:rFonts w:hint="eastAsia" w:ascii="宋体" w:hAnsi="宋体"/>
                <w:color w:val="auto"/>
                <w:szCs w:val="21"/>
                <w:highlight w:val="none"/>
              </w:rPr>
              <w:t>响应性评审</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标准</w:t>
            </w:r>
          </w:p>
        </w:tc>
        <w:tc>
          <w:tcPr>
            <w:tcW w:w="6503" w:type="dxa"/>
            <w:tcBorders>
              <w:top w:val="single" w:color="000000" w:sz="6" w:space="0"/>
              <w:left w:val="single" w:color="000000" w:sz="6" w:space="0"/>
              <w:bottom w:val="single" w:color="000000" w:sz="6" w:space="0"/>
              <w:right w:val="single" w:color="000000" w:sz="12" w:space="0"/>
            </w:tcBorders>
            <w:vAlign w:val="center"/>
          </w:tcPr>
          <w:p>
            <w:pPr>
              <w:keepLines/>
              <w:adjustRightInd w:val="0"/>
              <w:snapToGrid w:val="0"/>
              <w:spacing w:line="360" w:lineRule="auto"/>
              <w:ind w:left="210" w:leftChars="100"/>
              <w:jc w:val="left"/>
              <w:rPr>
                <w:rFonts w:ascii="宋体" w:hAnsi="宋体"/>
                <w:b/>
                <w:bCs/>
                <w:color w:val="auto"/>
                <w:szCs w:val="21"/>
                <w:highlight w:val="none"/>
              </w:rPr>
            </w:pPr>
            <w:r>
              <w:rPr>
                <w:rFonts w:hint="eastAsia" w:ascii="宋体" w:hAnsi="宋体"/>
                <w:b/>
                <w:bCs/>
                <w:color w:val="auto"/>
                <w:szCs w:val="21"/>
                <w:highlight w:val="none"/>
              </w:rPr>
              <w:t>第一个信封（商务及技术文件）评审标准：</w:t>
            </w:r>
          </w:p>
          <w:p>
            <w:pPr>
              <w:keepLines/>
              <w:adjustRightInd w:val="0"/>
              <w:snapToGrid w:val="0"/>
              <w:spacing w:line="360" w:lineRule="auto"/>
              <w:ind w:left="210" w:leftChars="100"/>
              <w:jc w:val="left"/>
              <w:rPr>
                <w:rFonts w:ascii="宋体" w:hAnsi="宋体"/>
                <w:color w:val="auto"/>
                <w:szCs w:val="21"/>
                <w:highlight w:val="none"/>
              </w:rPr>
            </w:pPr>
            <w:r>
              <w:rPr>
                <w:rFonts w:hint="eastAsia" w:ascii="宋体" w:hAnsi="宋体"/>
                <w:color w:val="auto"/>
                <w:szCs w:val="21"/>
                <w:highlight w:val="none"/>
              </w:rPr>
              <w:t>（1）投标文件按照招标文件规定的格式、内容填写，字迹清晰可辨，且提供了满足招标文件要求的证明材料：</w:t>
            </w:r>
          </w:p>
          <w:p>
            <w:pPr>
              <w:keepLines/>
              <w:adjustRightInd w:val="0"/>
              <w:snapToGrid w:val="0"/>
              <w:spacing w:line="360" w:lineRule="auto"/>
              <w:ind w:left="210" w:leftChars="100"/>
              <w:jc w:val="left"/>
              <w:rPr>
                <w:rFonts w:ascii="宋体" w:hAnsi="宋体"/>
                <w:color w:val="auto"/>
                <w:szCs w:val="21"/>
                <w:highlight w:val="none"/>
              </w:rPr>
            </w:pPr>
            <w:r>
              <w:rPr>
                <w:rFonts w:hint="eastAsia" w:ascii="宋体" w:hAnsi="宋体"/>
                <w:color w:val="auto"/>
                <w:szCs w:val="21"/>
                <w:highlight w:val="none"/>
              </w:rPr>
              <w:t>a.</w:t>
            </w:r>
            <w:r>
              <w:rPr>
                <w:rFonts w:ascii="宋体" w:hAnsi="宋体"/>
                <w:color w:val="auto"/>
                <w:szCs w:val="21"/>
                <w:highlight w:val="none"/>
              </w:rPr>
              <w:t>投标函按招标文件规定填报了项目名称、标段号、补遗书编号（如有）、工期、工程质量要求及安全目标；</w:t>
            </w:r>
          </w:p>
          <w:p>
            <w:pPr>
              <w:keepLines/>
              <w:adjustRightInd w:val="0"/>
              <w:snapToGrid w:val="0"/>
              <w:spacing w:line="360" w:lineRule="auto"/>
              <w:ind w:left="210" w:leftChars="100"/>
              <w:jc w:val="left"/>
              <w:rPr>
                <w:rFonts w:ascii="宋体" w:hAnsi="宋体"/>
                <w:color w:val="auto"/>
                <w:szCs w:val="21"/>
                <w:highlight w:val="none"/>
              </w:rPr>
            </w:pPr>
            <w:r>
              <w:rPr>
                <w:rFonts w:hint="eastAsia" w:ascii="宋体" w:hAnsi="宋体"/>
                <w:color w:val="auto"/>
                <w:szCs w:val="21"/>
                <w:highlight w:val="none"/>
              </w:rPr>
              <w:t>b.投标函附录的所有数据均符合招标文件规定；</w:t>
            </w:r>
          </w:p>
          <w:p>
            <w:pPr>
              <w:keepLines/>
              <w:adjustRightInd w:val="0"/>
              <w:snapToGrid w:val="0"/>
              <w:spacing w:line="360" w:lineRule="auto"/>
              <w:ind w:left="210" w:leftChars="100"/>
              <w:jc w:val="left"/>
              <w:rPr>
                <w:rFonts w:ascii="宋体" w:hAnsi="宋体"/>
                <w:color w:val="auto"/>
                <w:szCs w:val="21"/>
                <w:highlight w:val="none"/>
              </w:rPr>
            </w:pPr>
            <w:r>
              <w:rPr>
                <w:rFonts w:hint="eastAsia" w:ascii="宋体" w:hAnsi="宋体"/>
                <w:color w:val="auto"/>
                <w:szCs w:val="21"/>
                <w:highlight w:val="none"/>
              </w:rPr>
              <w:t>c.投标文件组成齐全完整，内容均按规定填写。</w:t>
            </w:r>
          </w:p>
          <w:p>
            <w:pPr>
              <w:keepLines/>
              <w:adjustRightInd w:val="0"/>
              <w:snapToGrid w:val="0"/>
              <w:spacing w:line="360" w:lineRule="auto"/>
              <w:ind w:left="210" w:leftChars="100"/>
              <w:jc w:val="left"/>
              <w:rPr>
                <w:rFonts w:ascii="宋体" w:hAnsi="宋体"/>
                <w:color w:val="auto"/>
                <w:szCs w:val="21"/>
                <w:highlight w:val="none"/>
              </w:rPr>
            </w:pPr>
            <w:r>
              <w:rPr>
                <w:rFonts w:hint="eastAsia" w:ascii="宋体" w:hAnsi="宋体"/>
                <w:color w:val="auto"/>
                <w:szCs w:val="21"/>
                <w:highlight w:val="none"/>
              </w:rPr>
              <w:t>（2）投标文件上法定代表人或其授权代理人的签字、投标人的单位章盖章齐全，符合招标文件规定。</w:t>
            </w:r>
          </w:p>
          <w:p>
            <w:pPr>
              <w:keepLines/>
              <w:adjustRightInd w:val="0"/>
              <w:snapToGrid w:val="0"/>
              <w:spacing w:line="360" w:lineRule="auto"/>
              <w:ind w:left="210" w:leftChars="100"/>
              <w:jc w:val="left"/>
              <w:rPr>
                <w:rFonts w:ascii="宋体" w:hAnsi="宋体"/>
                <w:color w:val="auto"/>
                <w:szCs w:val="21"/>
                <w:highlight w:val="none"/>
              </w:rPr>
            </w:pPr>
            <w:r>
              <w:rPr>
                <w:rFonts w:hint="eastAsia" w:ascii="宋体" w:hAnsi="宋体"/>
                <w:color w:val="auto"/>
                <w:szCs w:val="21"/>
                <w:highlight w:val="none"/>
              </w:rPr>
              <w:t>（3）投标人按照招标文件的规定提供了投标保证金：</w:t>
            </w:r>
          </w:p>
          <w:p>
            <w:pPr>
              <w:keepLines/>
              <w:adjustRightInd w:val="0"/>
              <w:snapToGrid w:val="0"/>
              <w:spacing w:line="360" w:lineRule="auto"/>
              <w:ind w:left="210" w:leftChars="100"/>
              <w:jc w:val="left"/>
              <w:rPr>
                <w:rFonts w:ascii="宋体" w:hAnsi="宋体"/>
                <w:color w:val="auto"/>
                <w:szCs w:val="21"/>
                <w:highlight w:val="none"/>
              </w:rPr>
            </w:pPr>
            <w:r>
              <w:rPr>
                <w:rFonts w:hint="eastAsia" w:ascii="宋体" w:hAnsi="宋体"/>
                <w:color w:val="auto"/>
                <w:szCs w:val="21"/>
                <w:highlight w:val="none"/>
              </w:rPr>
              <w:t>a.投标保证金金额符合招标文件规定的金额，且投标保证金有效期不少于投标有效期；</w:t>
            </w:r>
          </w:p>
          <w:p>
            <w:pPr>
              <w:keepLines/>
              <w:adjustRightInd w:val="0"/>
              <w:snapToGrid w:val="0"/>
              <w:spacing w:line="360" w:lineRule="auto"/>
              <w:ind w:left="210" w:leftChars="100"/>
              <w:jc w:val="left"/>
              <w:rPr>
                <w:rFonts w:ascii="宋体" w:hAnsi="宋体"/>
                <w:color w:val="auto"/>
                <w:szCs w:val="21"/>
                <w:highlight w:val="none"/>
              </w:rPr>
            </w:pPr>
            <w:r>
              <w:rPr>
                <w:rFonts w:hint="eastAsia" w:ascii="宋体" w:hAnsi="宋体"/>
                <w:color w:val="auto"/>
                <w:szCs w:val="21"/>
                <w:highlight w:val="none"/>
              </w:rPr>
              <w:t>b.</w:t>
            </w:r>
            <w:r>
              <w:rPr>
                <w:rFonts w:ascii="宋体" w:hAnsi="宋体"/>
                <w:color w:val="auto"/>
                <w:szCs w:val="21"/>
                <w:highlight w:val="none"/>
              </w:rPr>
              <w:t>若投标保证金采用现金或支票形式提交，投标人应在递交投标</w:t>
            </w:r>
            <w:r>
              <w:rPr>
                <w:rFonts w:hint="eastAsia" w:ascii="宋体" w:hAnsi="宋体"/>
                <w:color w:val="auto"/>
                <w:szCs w:val="21"/>
                <w:highlight w:val="none"/>
              </w:rPr>
              <w:t>保证金</w:t>
            </w:r>
            <w:r>
              <w:rPr>
                <w:rFonts w:ascii="宋体" w:hAnsi="宋体"/>
                <w:color w:val="auto"/>
                <w:szCs w:val="21"/>
                <w:highlight w:val="none"/>
              </w:rPr>
              <w:t>截止时间之前，将投标保证金由投标人的基本账户</w:t>
            </w:r>
            <w:r>
              <w:rPr>
                <w:rFonts w:hint="eastAsia" w:ascii="宋体" w:hAnsi="宋体"/>
                <w:color w:val="auto"/>
                <w:szCs w:val="21"/>
                <w:highlight w:val="none"/>
              </w:rPr>
              <w:t>一次性</w:t>
            </w:r>
            <w:r>
              <w:rPr>
                <w:rFonts w:ascii="宋体" w:hAnsi="宋体"/>
                <w:color w:val="auto"/>
                <w:szCs w:val="21"/>
                <w:highlight w:val="none"/>
              </w:rPr>
              <w:t>转入招标人指定账户；</w:t>
            </w:r>
          </w:p>
          <w:p>
            <w:pPr>
              <w:keepLines/>
              <w:adjustRightInd w:val="0"/>
              <w:snapToGrid w:val="0"/>
              <w:spacing w:line="360" w:lineRule="auto"/>
              <w:ind w:left="210" w:leftChars="100"/>
              <w:jc w:val="left"/>
              <w:rPr>
                <w:rFonts w:ascii="宋体" w:hAnsi="宋体"/>
                <w:color w:val="auto"/>
                <w:szCs w:val="21"/>
                <w:highlight w:val="none"/>
              </w:rPr>
            </w:pPr>
            <w:r>
              <w:rPr>
                <w:rFonts w:hint="eastAsia" w:ascii="宋体" w:hAnsi="宋体"/>
                <w:color w:val="auto"/>
                <w:szCs w:val="21"/>
                <w:highlight w:val="none"/>
              </w:rPr>
              <w:t>c．</w:t>
            </w:r>
            <w:r>
              <w:rPr>
                <w:rFonts w:ascii="宋体" w:hAnsi="宋体"/>
                <w:color w:val="auto"/>
                <w:szCs w:val="21"/>
                <w:highlight w:val="none"/>
              </w:rPr>
              <w:t>若投标保证金采用银行保函形式提交，银行保函的格式、开具保函的银行均满足招标文件要求，且在递交投标文件截止时间之前向招标人提交了银行保函原件。</w:t>
            </w:r>
          </w:p>
          <w:p>
            <w:pPr>
              <w:keepLines/>
              <w:adjustRightInd w:val="0"/>
              <w:snapToGrid w:val="0"/>
              <w:spacing w:line="360" w:lineRule="auto"/>
              <w:ind w:left="210" w:leftChars="100"/>
              <w:jc w:val="left"/>
              <w:rPr>
                <w:rFonts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投标人法定代表人授权委托代理人签署投标文件的，</w:t>
            </w:r>
            <w:r>
              <w:rPr>
                <w:rFonts w:hint="eastAsia" w:ascii="宋体" w:hAnsi="宋体"/>
                <w:color w:val="auto"/>
                <w:szCs w:val="21"/>
                <w:highlight w:val="none"/>
              </w:rPr>
              <w:t>须</w:t>
            </w:r>
            <w:r>
              <w:rPr>
                <w:rFonts w:ascii="宋体" w:hAnsi="宋体"/>
                <w:color w:val="auto"/>
                <w:szCs w:val="21"/>
                <w:highlight w:val="none"/>
              </w:rPr>
              <w:t>提交授权委托书，且授权人和被授权人均在授权委托书上签名，未使用印章、签名章或其他电子制版签名代替。</w:t>
            </w:r>
          </w:p>
          <w:p>
            <w:pPr>
              <w:pStyle w:val="124"/>
              <w:keepLines/>
              <w:shd w:val="clear" w:color="auto" w:fill="auto"/>
              <w:tabs>
                <w:tab w:val="left" w:pos="914"/>
              </w:tabs>
              <w:adjustRightInd w:val="0"/>
              <w:snapToGrid w:val="0"/>
              <w:spacing w:before="0" w:line="360" w:lineRule="auto"/>
              <w:ind w:left="210" w:leftChars="100"/>
              <w:jc w:val="left"/>
              <w:rPr>
                <w:color w:val="auto"/>
                <w:kern w:val="2"/>
                <w:sz w:val="21"/>
                <w:szCs w:val="21"/>
                <w:highlight w:val="none"/>
                <w:lang w:val="en-US"/>
              </w:rPr>
            </w:pPr>
            <w:r>
              <w:rPr>
                <w:rFonts w:hint="eastAsia"/>
                <w:color w:val="auto"/>
                <w:kern w:val="2"/>
                <w:sz w:val="21"/>
                <w:szCs w:val="21"/>
                <w:highlight w:val="none"/>
                <w:lang w:val="en-US"/>
              </w:rPr>
              <w:t>（5）</w:t>
            </w:r>
            <w:r>
              <w:rPr>
                <w:color w:val="auto"/>
                <w:kern w:val="2"/>
                <w:sz w:val="21"/>
                <w:szCs w:val="21"/>
                <w:highlight w:val="none"/>
                <w:lang w:val="en-US"/>
              </w:rPr>
              <w:t>投标人法定代表人亲自签署投标文件的，提供了法定代表人身份证明，且法定代表人在法定代表人身份证明上签名，未使用印章、签名章或其他电子制版签名代替。</w:t>
            </w:r>
          </w:p>
          <w:p>
            <w:pPr>
              <w:pStyle w:val="124"/>
              <w:keepLines/>
              <w:shd w:val="clear" w:color="auto" w:fill="auto"/>
              <w:tabs>
                <w:tab w:val="left" w:pos="914"/>
              </w:tabs>
              <w:adjustRightInd w:val="0"/>
              <w:snapToGrid w:val="0"/>
              <w:spacing w:before="0" w:line="360" w:lineRule="auto"/>
              <w:ind w:left="210" w:leftChars="100"/>
              <w:jc w:val="left"/>
              <w:rPr>
                <w:color w:val="auto"/>
                <w:kern w:val="2"/>
                <w:sz w:val="21"/>
                <w:szCs w:val="21"/>
                <w:highlight w:val="none"/>
                <w:lang w:val="en-US"/>
              </w:rPr>
            </w:pPr>
            <w:r>
              <w:rPr>
                <w:rFonts w:hint="eastAsia"/>
                <w:color w:val="auto"/>
                <w:kern w:val="2"/>
                <w:sz w:val="21"/>
                <w:szCs w:val="21"/>
                <w:highlight w:val="none"/>
                <w:lang w:val="en-US"/>
              </w:rPr>
              <w:t>（6）投标人如有分包计划，符合招标文件第二章“投标人须知”第1.11款规定</w:t>
            </w:r>
            <w:r>
              <w:rPr>
                <w:color w:val="auto"/>
                <w:kern w:val="2"/>
                <w:sz w:val="21"/>
                <w:szCs w:val="21"/>
                <w:highlight w:val="none"/>
                <w:lang w:val="en-US"/>
              </w:rPr>
              <w:t>。</w:t>
            </w:r>
          </w:p>
          <w:p>
            <w:pPr>
              <w:pStyle w:val="124"/>
              <w:keepLines/>
              <w:shd w:val="clear" w:color="auto" w:fill="auto"/>
              <w:tabs>
                <w:tab w:val="left" w:pos="914"/>
              </w:tabs>
              <w:adjustRightInd w:val="0"/>
              <w:snapToGrid w:val="0"/>
              <w:spacing w:before="0" w:line="360" w:lineRule="auto"/>
              <w:ind w:left="210" w:leftChars="100"/>
              <w:jc w:val="left"/>
              <w:rPr>
                <w:color w:val="auto"/>
                <w:kern w:val="2"/>
                <w:sz w:val="21"/>
                <w:szCs w:val="21"/>
                <w:highlight w:val="none"/>
                <w:lang w:val="en-US"/>
              </w:rPr>
            </w:pPr>
            <w:r>
              <w:rPr>
                <w:rFonts w:hint="eastAsia"/>
                <w:color w:val="auto"/>
                <w:kern w:val="2"/>
                <w:sz w:val="21"/>
                <w:szCs w:val="21"/>
                <w:highlight w:val="none"/>
                <w:lang w:val="en-US"/>
              </w:rPr>
              <w:t>（7）</w:t>
            </w:r>
            <w:r>
              <w:rPr>
                <w:color w:val="auto"/>
                <w:kern w:val="2"/>
                <w:sz w:val="21"/>
                <w:szCs w:val="21"/>
                <w:highlight w:val="none"/>
                <w:lang w:val="en-US"/>
              </w:rPr>
              <w:t>同一投标人</w:t>
            </w:r>
            <w:r>
              <w:rPr>
                <w:rFonts w:hint="eastAsia"/>
                <w:color w:val="auto"/>
                <w:kern w:val="2"/>
                <w:sz w:val="21"/>
                <w:szCs w:val="21"/>
                <w:highlight w:val="none"/>
                <w:lang w:val="en-US"/>
              </w:rPr>
              <w:t>对同一标段</w:t>
            </w:r>
            <w:r>
              <w:rPr>
                <w:color w:val="auto"/>
                <w:kern w:val="2"/>
                <w:sz w:val="21"/>
                <w:szCs w:val="21"/>
                <w:highlight w:val="none"/>
                <w:lang w:val="en-US"/>
              </w:rPr>
              <w:t>未提交两个以上不同的投标文件。</w:t>
            </w:r>
          </w:p>
          <w:p>
            <w:pPr>
              <w:pStyle w:val="124"/>
              <w:keepLines/>
              <w:shd w:val="clear" w:color="auto" w:fill="auto"/>
              <w:tabs>
                <w:tab w:val="left" w:pos="922"/>
              </w:tabs>
              <w:adjustRightInd w:val="0"/>
              <w:snapToGrid w:val="0"/>
              <w:spacing w:before="0" w:line="360" w:lineRule="auto"/>
              <w:ind w:left="210" w:leftChars="100"/>
              <w:jc w:val="left"/>
              <w:rPr>
                <w:color w:val="auto"/>
                <w:kern w:val="2"/>
                <w:sz w:val="21"/>
                <w:szCs w:val="21"/>
                <w:highlight w:val="none"/>
                <w:lang w:val="en-US"/>
              </w:rPr>
            </w:pPr>
            <w:r>
              <w:rPr>
                <w:rFonts w:hint="eastAsia"/>
                <w:color w:val="auto"/>
                <w:kern w:val="2"/>
                <w:sz w:val="21"/>
                <w:szCs w:val="21"/>
                <w:highlight w:val="none"/>
                <w:lang w:val="en-US"/>
              </w:rPr>
              <w:t>（8）</w:t>
            </w:r>
            <w:r>
              <w:rPr>
                <w:color w:val="auto"/>
                <w:kern w:val="2"/>
                <w:sz w:val="21"/>
                <w:szCs w:val="21"/>
                <w:highlight w:val="none"/>
                <w:lang w:val="en-US"/>
              </w:rPr>
              <w:t>投标文件中未出现有关投标报价的内容。</w:t>
            </w:r>
          </w:p>
          <w:p>
            <w:pPr>
              <w:pStyle w:val="124"/>
              <w:keepLines/>
              <w:shd w:val="clear" w:color="auto" w:fill="auto"/>
              <w:tabs>
                <w:tab w:val="left" w:pos="922"/>
              </w:tabs>
              <w:adjustRightInd w:val="0"/>
              <w:snapToGrid w:val="0"/>
              <w:spacing w:before="0" w:line="360" w:lineRule="auto"/>
              <w:ind w:left="210" w:leftChars="100"/>
              <w:jc w:val="left"/>
              <w:rPr>
                <w:color w:val="auto"/>
                <w:kern w:val="2"/>
                <w:sz w:val="21"/>
                <w:szCs w:val="21"/>
                <w:highlight w:val="none"/>
                <w:lang w:val="en-US"/>
              </w:rPr>
            </w:pPr>
            <w:r>
              <w:rPr>
                <w:rFonts w:hint="eastAsia"/>
                <w:color w:val="auto"/>
                <w:kern w:val="2"/>
                <w:sz w:val="21"/>
                <w:szCs w:val="21"/>
                <w:highlight w:val="none"/>
                <w:lang w:val="en-US"/>
              </w:rPr>
              <w:t>（9）</w:t>
            </w:r>
            <w:r>
              <w:rPr>
                <w:color w:val="auto"/>
                <w:kern w:val="2"/>
                <w:sz w:val="21"/>
                <w:szCs w:val="21"/>
                <w:highlight w:val="none"/>
                <w:lang w:val="en-US"/>
              </w:rPr>
              <w:t>投标文件载明的招标项目完成期限未超过招标文件规定的时限。</w:t>
            </w:r>
          </w:p>
          <w:p>
            <w:pPr>
              <w:pStyle w:val="124"/>
              <w:keepLines/>
              <w:shd w:val="clear" w:color="auto" w:fill="auto"/>
              <w:tabs>
                <w:tab w:val="left" w:pos="938"/>
              </w:tabs>
              <w:adjustRightInd w:val="0"/>
              <w:snapToGrid w:val="0"/>
              <w:spacing w:before="0" w:line="360" w:lineRule="auto"/>
              <w:ind w:left="210" w:leftChars="100"/>
              <w:jc w:val="left"/>
              <w:rPr>
                <w:color w:val="auto"/>
                <w:kern w:val="2"/>
                <w:sz w:val="21"/>
                <w:szCs w:val="21"/>
                <w:highlight w:val="none"/>
                <w:lang w:val="en-US"/>
              </w:rPr>
            </w:pPr>
            <w:r>
              <w:rPr>
                <w:rFonts w:hint="eastAsia"/>
                <w:color w:val="auto"/>
                <w:kern w:val="2"/>
                <w:sz w:val="21"/>
                <w:szCs w:val="21"/>
                <w:highlight w:val="none"/>
                <w:lang w:val="en-US"/>
              </w:rPr>
              <w:t>（10）</w:t>
            </w:r>
            <w:r>
              <w:rPr>
                <w:color w:val="auto"/>
                <w:kern w:val="2"/>
                <w:sz w:val="21"/>
                <w:szCs w:val="21"/>
                <w:highlight w:val="none"/>
                <w:lang w:val="en-US"/>
              </w:rPr>
              <w:t>投标文件对招标文件的实质性要求和条件作出响应。</w:t>
            </w:r>
          </w:p>
          <w:p>
            <w:pPr>
              <w:pStyle w:val="124"/>
              <w:keepLines/>
              <w:shd w:val="clear" w:color="auto" w:fill="auto"/>
              <w:tabs>
                <w:tab w:val="left" w:pos="922"/>
              </w:tabs>
              <w:adjustRightInd w:val="0"/>
              <w:snapToGrid w:val="0"/>
              <w:spacing w:before="0" w:line="360" w:lineRule="auto"/>
              <w:ind w:left="210" w:leftChars="100"/>
              <w:jc w:val="left"/>
              <w:rPr>
                <w:color w:val="auto"/>
                <w:kern w:val="2"/>
                <w:sz w:val="21"/>
                <w:szCs w:val="21"/>
                <w:highlight w:val="none"/>
                <w:lang w:val="en-US"/>
              </w:rPr>
            </w:pPr>
            <w:r>
              <w:rPr>
                <w:rFonts w:hint="eastAsia"/>
                <w:color w:val="auto"/>
                <w:kern w:val="2"/>
                <w:sz w:val="21"/>
                <w:szCs w:val="21"/>
                <w:highlight w:val="none"/>
                <w:lang w:val="en-US"/>
              </w:rPr>
              <w:t>（11）</w:t>
            </w:r>
            <w:r>
              <w:rPr>
                <w:color w:val="auto"/>
                <w:kern w:val="2"/>
                <w:sz w:val="21"/>
                <w:szCs w:val="21"/>
                <w:highlight w:val="none"/>
                <w:lang w:val="en-US"/>
              </w:rPr>
              <w:t>权利义务符合招标文件规定：</w:t>
            </w:r>
          </w:p>
          <w:p>
            <w:pPr>
              <w:keepLines/>
              <w:adjustRightInd w:val="0"/>
              <w:snapToGrid w:val="0"/>
              <w:spacing w:line="360" w:lineRule="auto"/>
              <w:ind w:left="210" w:leftChars="100"/>
              <w:jc w:val="left"/>
              <w:rPr>
                <w:rFonts w:ascii="宋体" w:hAnsi="宋体"/>
                <w:color w:val="auto"/>
                <w:szCs w:val="21"/>
                <w:highlight w:val="none"/>
              </w:rPr>
            </w:pPr>
            <w:r>
              <w:rPr>
                <w:rFonts w:hint="eastAsia" w:ascii="宋体" w:hAnsi="宋体"/>
                <w:color w:val="auto"/>
                <w:szCs w:val="21"/>
                <w:highlight w:val="none"/>
              </w:rPr>
              <w:t>a．</w:t>
            </w:r>
            <w:r>
              <w:rPr>
                <w:rFonts w:ascii="宋体" w:hAnsi="宋体"/>
                <w:color w:val="auto"/>
                <w:szCs w:val="21"/>
                <w:highlight w:val="none"/>
              </w:rPr>
              <w:t>投标人应接受招标文件规定的风险划分原则，未提出新的风险划分办法；</w:t>
            </w:r>
          </w:p>
          <w:p>
            <w:pPr>
              <w:keepLines/>
              <w:adjustRightInd w:val="0"/>
              <w:snapToGrid w:val="0"/>
              <w:spacing w:line="360" w:lineRule="auto"/>
              <w:ind w:left="210" w:leftChars="100"/>
              <w:jc w:val="left"/>
              <w:rPr>
                <w:rFonts w:ascii="宋体" w:hAnsi="宋体"/>
                <w:color w:val="auto"/>
                <w:szCs w:val="21"/>
                <w:highlight w:val="none"/>
              </w:rPr>
            </w:pPr>
            <w:r>
              <w:rPr>
                <w:rFonts w:hint="eastAsia" w:ascii="宋体" w:hAnsi="宋体"/>
                <w:color w:val="auto"/>
                <w:szCs w:val="21"/>
                <w:highlight w:val="none"/>
              </w:rPr>
              <w:t>b．</w:t>
            </w:r>
            <w:r>
              <w:rPr>
                <w:rFonts w:ascii="宋体" w:hAnsi="宋体"/>
                <w:color w:val="auto"/>
                <w:szCs w:val="21"/>
                <w:highlight w:val="none"/>
              </w:rPr>
              <w:t>投标人未增加发包人的责任范围，或减少投标人义务；</w:t>
            </w:r>
          </w:p>
          <w:p>
            <w:pPr>
              <w:keepLines/>
              <w:adjustRightInd w:val="0"/>
              <w:snapToGrid w:val="0"/>
              <w:spacing w:line="360" w:lineRule="auto"/>
              <w:ind w:left="210" w:leftChars="100"/>
              <w:jc w:val="left"/>
              <w:rPr>
                <w:rFonts w:ascii="宋体" w:hAnsi="宋体"/>
                <w:color w:val="auto"/>
                <w:szCs w:val="21"/>
                <w:highlight w:val="none"/>
              </w:rPr>
            </w:pPr>
            <w:r>
              <w:rPr>
                <w:rFonts w:hint="eastAsia" w:ascii="宋体" w:hAnsi="宋体"/>
                <w:color w:val="auto"/>
                <w:szCs w:val="21"/>
                <w:highlight w:val="none"/>
              </w:rPr>
              <w:t>c．</w:t>
            </w:r>
            <w:r>
              <w:rPr>
                <w:rFonts w:ascii="宋体" w:hAnsi="宋体"/>
                <w:color w:val="auto"/>
                <w:szCs w:val="21"/>
                <w:highlight w:val="none"/>
              </w:rPr>
              <w:t>投标人未提出不同的工程验收、计量、支付办法；</w:t>
            </w:r>
          </w:p>
          <w:p>
            <w:pPr>
              <w:keepLines/>
              <w:adjustRightInd w:val="0"/>
              <w:snapToGrid w:val="0"/>
              <w:spacing w:line="360" w:lineRule="auto"/>
              <w:ind w:left="210" w:leftChars="100"/>
              <w:jc w:val="left"/>
              <w:rPr>
                <w:rFonts w:ascii="宋体" w:hAnsi="宋体"/>
                <w:color w:val="auto"/>
                <w:szCs w:val="21"/>
                <w:highlight w:val="none"/>
              </w:rPr>
            </w:pPr>
            <w:r>
              <w:rPr>
                <w:rFonts w:hint="eastAsia" w:ascii="宋体" w:hAnsi="宋体"/>
                <w:color w:val="auto"/>
                <w:szCs w:val="21"/>
                <w:highlight w:val="none"/>
              </w:rPr>
              <w:t>d．</w:t>
            </w:r>
            <w:r>
              <w:rPr>
                <w:rFonts w:ascii="宋体" w:hAnsi="宋体"/>
                <w:color w:val="auto"/>
                <w:szCs w:val="21"/>
                <w:highlight w:val="none"/>
              </w:rPr>
              <w:t>投标人对合同纠纷、事故处理办法未提出异议；</w:t>
            </w:r>
          </w:p>
          <w:p>
            <w:pPr>
              <w:keepLines/>
              <w:adjustRightInd w:val="0"/>
              <w:snapToGrid w:val="0"/>
              <w:spacing w:line="360" w:lineRule="auto"/>
              <w:ind w:left="210" w:leftChars="100"/>
              <w:jc w:val="left"/>
              <w:rPr>
                <w:rFonts w:ascii="宋体" w:hAnsi="宋体"/>
                <w:color w:val="auto"/>
                <w:szCs w:val="21"/>
                <w:highlight w:val="none"/>
              </w:rPr>
            </w:pPr>
            <w:r>
              <w:rPr>
                <w:rFonts w:hint="eastAsia" w:ascii="宋体" w:hAnsi="宋体"/>
                <w:color w:val="auto"/>
                <w:szCs w:val="21"/>
                <w:highlight w:val="none"/>
              </w:rPr>
              <w:t>e．</w:t>
            </w:r>
            <w:r>
              <w:rPr>
                <w:rFonts w:ascii="宋体" w:hAnsi="宋体"/>
                <w:color w:val="auto"/>
                <w:szCs w:val="21"/>
                <w:highlight w:val="none"/>
              </w:rPr>
              <w:t>投标人在投标活动中无欺诈行为；</w:t>
            </w:r>
          </w:p>
          <w:p>
            <w:pPr>
              <w:keepLines/>
              <w:adjustRightInd w:val="0"/>
              <w:snapToGrid w:val="0"/>
              <w:spacing w:line="360" w:lineRule="auto"/>
              <w:ind w:left="210" w:leftChars="100"/>
              <w:jc w:val="left"/>
              <w:rPr>
                <w:rFonts w:ascii="宋体" w:hAnsi="宋体"/>
                <w:color w:val="auto"/>
                <w:szCs w:val="21"/>
                <w:highlight w:val="none"/>
              </w:rPr>
            </w:pPr>
            <w:r>
              <w:rPr>
                <w:rFonts w:hint="eastAsia" w:ascii="宋体" w:hAnsi="宋体"/>
                <w:color w:val="auto"/>
                <w:szCs w:val="21"/>
                <w:highlight w:val="none"/>
              </w:rPr>
              <w:t>f．</w:t>
            </w:r>
            <w:r>
              <w:rPr>
                <w:rFonts w:ascii="宋体" w:hAnsi="宋体"/>
                <w:color w:val="auto"/>
                <w:szCs w:val="21"/>
                <w:highlight w:val="none"/>
              </w:rPr>
              <w:t>投标人未对合同条款有重要保留。</w:t>
            </w:r>
          </w:p>
          <w:p>
            <w:pPr>
              <w:pStyle w:val="124"/>
              <w:keepLines/>
              <w:shd w:val="clear" w:color="auto" w:fill="auto"/>
              <w:tabs>
                <w:tab w:val="left" w:pos="914"/>
              </w:tabs>
              <w:adjustRightInd w:val="0"/>
              <w:snapToGrid w:val="0"/>
              <w:spacing w:before="0" w:line="360" w:lineRule="auto"/>
              <w:ind w:left="210" w:leftChars="100"/>
              <w:jc w:val="left"/>
              <w:rPr>
                <w:color w:val="auto"/>
                <w:kern w:val="2"/>
                <w:sz w:val="21"/>
                <w:szCs w:val="21"/>
                <w:highlight w:val="none"/>
                <w:lang w:val="en-US"/>
              </w:rPr>
            </w:pPr>
            <w:r>
              <w:rPr>
                <w:rFonts w:hint="eastAsia"/>
                <w:color w:val="auto"/>
                <w:kern w:val="2"/>
                <w:sz w:val="21"/>
                <w:szCs w:val="21"/>
                <w:highlight w:val="none"/>
                <w:lang w:val="en-US"/>
              </w:rPr>
              <w:t>（12）</w:t>
            </w:r>
            <w:r>
              <w:rPr>
                <w:color w:val="auto"/>
                <w:kern w:val="2"/>
                <w:sz w:val="21"/>
                <w:szCs w:val="21"/>
                <w:highlight w:val="none"/>
                <w:lang w:val="en-US"/>
              </w:rPr>
              <w:t>投标文件正、副本份数符合招标文件第二章“投标人须知”第3.7.4项规定。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1134" w:hRule="atLeast"/>
        </w:trPr>
        <w:tc>
          <w:tcPr>
            <w:tcW w:w="999"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2.1.1</w:t>
            </w:r>
          </w:p>
          <w:p>
            <w:pPr>
              <w:adjustRightInd w:val="0"/>
              <w:snapToGrid w:val="0"/>
              <w:jc w:val="center"/>
              <w:rPr>
                <w:rFonts w:ascii="宋体" w:hAnsi="宋体"/>
                <w:color w:val="auto"/>
                <w:szCs w:val="21"/>
                <w:highlight w:val="none"/>
              </w:rPr>
            </w:pPr>
          </w:p>
          <w:p>
            <w:pPr>
              <w:adjustRightInd w:val="0"/>
              <w:snapToGrid w:val="0"/>
              <w:jc w:val="center"/>
              <w:rPr>
                <w:rFonts w:ascii="宋体" w:hAnsi="宋体"/>
                <w:color w:val="auto"/>
                <w:szCs w:val="21"/>
                <w:highlight w:val="none"/>
              </w:rPr>
            </w:pPr>
            <w:r>
              <w:rPr>
                <w:rFonts w:hint="eastAsia" w:ascii="宋体" w:hAnsi="宋体"/>
                <w:color w:val="auto"/>
                <w:szCs w:val="21"/>
                <w:highlight w:val="none"/>
              </w:rPr>
              <w:t>2.1.3</w:t>
            </w:r>
          </w:p>
        </w:tc>
        <w:tc>
          <w:tcPr>
            <w:tcW w:w="155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形式评审</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与</w:t>
            </w:r>
            <w:r>
              <w:rPr>
                <w:rFonts w:hint="eastAsia" w:ascii="宋体" w:hAnsi="宋体"/>
                <w:color w:val="auto"/>
                <w:szCs w:val="21"/>
                <w:highlight w:val="none"/>
              </w:rPr>
              <w:br w:type="textWrapping"/>
            </w:r>
            <w:r>
              <w:rPr>
                <w:rFonts w:hint="eastAsia" w:ascii="宋体" w:hAnsi="宋体"/>
                <w:color w:val="auto"/>
                <w:szCs w:val="21"/>
                <w:highlight w:val="none"/>
              </w:rPr>
              <w:t>响应性评审</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标准</w:t>
            </w:r>
          </w:p>
        </w:tc>
        <w:tc>
          <w:tcPr>
            <w:tcW w:w="6503" w:type="dxa"/>
            <w:tcBorders>
              <w:top w:val="single" w:color="000000" w:sz="6" w:space="0"/>
              <w:left w:val="single" w:color="000000" w:sz="6" w:space="0"/>
              <w:bottom w:val="single" w:color="000000" w:sz="6" w:space="0"/>
              <w:right w:val="single" w:color="000000" w:sz="12" w:space="0"/>
            </w:tcBorders>
            <w:vAlign w:val="center"/>
          </w:tcPr>
          <w:p>
            <w:pPr>
              <w:keepNext/>
              <w:keepLines/>
              <w:adjustRightInd w:val="0"/>
              <w:snapToGrid w:val="0"/>
              <w:spacing w:line="360" w:lineRule="auto"/>
              <w:ind w:left="210" w:leftChars="100"/>
              <w:rPr>
                <w:rFonts w:ascii="宋体" w:hAnsi="宋体"/>
                <w:b/>
                <w:bCs/>
                <w:color w:val="auto"/>
                <w:szCs w:val="21"/>
                <w:highlight w:val="none"/>
              </w:rPr>
            </w:pPr>
            <w:r>
              <w:rPr>
                <w:rFonts w:hint="eastAsia" w:ascii="宋体" w:hAnsi="宋体"/>
                <w:b/>
                <w:bCs/>
                <w:color w:val="auto"/>
                <w:szCs w:val="21"/>
                <w:highlight w:val="none"/>
              </w:rPr>
              <w:t>第二个信封（报价文件）评审标准</w:t>
            </w:r>
          </w:p>
          <w:p>
            <w:pPr>
              <w:pStyle w:val="124"/>
              <w:keepLines/>
              <w:shd w:val="clear" w:color="auto" w:fill="auto"/>
              <w:tabs>
                <w:tab w:val="left" w:pos="914"/>
              </w:tabs>
              <w:adjustRightInd w:val="0"/>
              <w:snapToGrid w:val="0"/>
              <w:spacing w:before="0" w:line="360" w:lineRule="auto"/>
              <w:ind w:left="210" w:leftChars="100"/>
              <w:jc w:val="both"/>
              <w:rPr>
                <w:color w:val="auto"/>
                <w:kern w:val="2"/>
                <w:sz w:val="21"/>
                <w:szCs w:val="21"/>
                <w:highlight w:val="none"/>
                <w:lang w:val="en-US"/>
              </w:rPr>
            </w:pPr>
            <w:r>
              <w:rPr>
                <w:rFonts w:hint="eastAsia"/>
                <w:color w:val="auto"/>
                <w:kern w:val="2"/>
                <w:sz w:val="21"/>
                <w:szCs w:val="21"/>
                <w:highlight w:val="none"/>
                <w:lang w:val="en-US"/>
              </w:rPr>
              <w:t>（1）投标文件按照招标文件规定的格式、内容填写，字迹清晰可辨：</w:t>
            </w:r>
          </w:p>
          <w:p>
            <w:pPr>
              <w:keepLines/>
              <w:adjustRightInd w:val="0"/>
              <w:snapToGrid w:val="0"/>
              <w:spacing w:line="360" w:lineRule="auto"/>
              <w:ind w:left="210" w:leftChars="100"/>
              <w:rPr>
                <w:rFonts w:ascii="宋体" w:hAnsi="宋体"/>
                <w:color w:val="auto"/>
                <w:szCs w:val="21"/>
                <w:highlight w:val="none"/>
              </w:rPr>
            </w:pPr>
            <w:r>
              <w:rPr>
                <w:rFonts w:hint="eastAsia" w:ascii="宋体" w:hAnsi="宋体"/>
                <w:color w:val="auto"/>
                <w:szCs w:val="21"/>
                <w:highlight w:val="none"/>
              </w:rPr>
              <w:t>a．</w:t>
            </w:r>
            <w:r>
              <w:rPr>
                <w:rFonts w:ascii="宋体" w:hAnsi="宋体"/>
                <w:color w:val="auto"/>
                <w:szCs w:val="21"/>
                <w:highlight w:val="none"/>
              </w:rPr>
              <w:t>投标函按招标文件规定填报了项目名称、标段号、补遗书编号（如有）、投标价（包括大写金额和小写金额）；</w:t>
            </w:r>
          </w:p>
          <w:p>
            <w:pPr>
              <w:keepLines/>
              <w:adjustRightInd w:val="0"/>
              <w:snapToGrid w:val="0"/>
              <w:spacing w:line="360" w:lineRule="auto"/>
              <w:ind w:left="210" w:leftChars="100"/>
              <w:rPr>
                <w:rFonts w:ascii="宋体" w:hAnsi="宋体"/>
                <w:color w:val="auto"/>
                <w:szCs w:val="21"/>
                <w:highlight w:val="none"/>
              </w:rPr>
            </w:pPr>
            <w:r>
              <w:rPr>
                <w:rFonts w:hint="eastAsia" w:ascii="宋体" w:hAnsi="宋体"/>
                <w:color w:val="auto"/>
                <w:szCs w:val="21"/>
                <w:highlight w:val="none"/>
              </w:rPr>
              <w:t>b．</w:t>
            </w:r>
            <w:r>
              <w:rPr>
                <w:rFonts w:ascii="宋体" w:hAnsi="宋体"/>
                <w:color w:val="auto"/>
                <w:szCs w:val="21"/>
                <w:highlight w:val="none"/>
              </w:rPr>
              <w:t>已标价工程量清单说明文字与招标文件规定一致，未进行实质性修改和删减；</w:t>
            </w:r>
          </w:p>
          <w:p>
            <w:pPr>
              <w:keepLines/>
              <w:adjustRightInd w:val="0"/>
              <w:snapToGrid w:val="0"/>
              <w:spacing w:line="360" w:lineRule="auto"/>
              <w:ind w:left="210" w:leftChars="100"/>
              <w:rPr>
                <w:rFonts w:ascii="宋体" w:hAnsi="宋体"/>
                <w:color w:val="auto"/>
                <w:szCs w:val="21"/>
                <w:highlight w:val="none"/>
              </w:rPr>
            </w:pPr>
            <w:r>
              <w:rPr>
                <w:rFonts w:hint="eastAsia" w:ascii="宋体" w:hAnsi="宋体"/>
                <w:color w:val="auto"/>
                <w:szCs w:val="21"/>
                <w:highlight w:val="none"/>
              </w:rPr>
              <w:t>c．</w:t>
            </w:r>
            <w:r>
              <w:rPr>
                <w:rFonts w:ascii="宋体" w:hAnsi="宋体"/>
                <w:color w:val="auto"/>
                <w:szCs w:val="21"/>
                <w:highlight w:val="none"/>
              </w:rPr>
              <w:t>投标文件组成齐全完整，内容均按规定填写。</w:t>
            </w:r>
          </w:p>
          <w:p>
            <w:pPr>
              <w:pStyle w:val="124"/>
              <w:keepLines/>
              <w:shd w:val="clear" w:color="auto" w:fill="auto"/>
              <w:tabs>
                <w:tab w:val="left" w:pos="914"/>
              </w:tabs>
              <w:adjustRightInd w:val="0"/>
              <w:snapToGrid w:val="0"/>
              <w:spacing w:before="0" w:line="360" w:lineRule="auto"/>
              <w:ind w:left="210" w:leftChars="100"/>
              <w:jc w:val="both"/>
              <w:rPr>
                <w:color w:val="auto"/>
                <w:kern w:val="2"/>
                <w:sz w:val="21"/>
                <w:szCs w:val="21"/>
                <w:highlight w:val="none"/>
                <w:lang w:val="en-US"/>
              </w:rPr>
            </w:pPr>
            <w:r>
              <w:rPr>
                <w:rFonts w:hint="eastAsia"/>
                <w:color w:val="auto"/>
                <w:kern w:val="2"/>
                <w:sz w:val="21"/>
                <w:szCs w:val="21"/>
                <w:highlight w:val="none"/>
                <w:lang w:val="en-US"/>
              </w:rPr>
              <w:t>（2）</w:t>
            </w:r>
            <w:r>
              <w:rPr>
                <w:color w:val="auto"/>
                <w:kern w:val="2"/>
                <w:sz w:val="21"/>
                <w:szCs w:val="21"/>
                <w:highlight w:val="none"/>
                <w:lang w:val="en-US"/>
              </w:rPr>
              <w:t>投标文件上法定代表人或其委托代理人的签字、投标人的单位章盖章齐全，符合招标文件规定。</w:t>
            </w:r>
          </w:p>
          <w:p>
            <w:pPr>
              <w:pStyle w:val="124"/>
              <w:keepLines/>
              <w:shd w:val="clear" w:color="auto" w:fill="auto"/>
              <w:tabs>
                <w:tab w:val="left" w:pos="914"/>
              </w:tabs>
              <w:adjustRightInd w:val="0"/>
              <w:snapToGrid w:val="0"/>
              <w:spacing w:before="0" w:line="360" w:lineRule="auto"/>
              <w:ind w:left="210" w:leftChars="100"/>
              <w:jc w:val="both"/>
              <w:rPr>
                <w:color w:val="auto"/>
                <w:kern w:val="2"/>
                <w:sz w:val="21"/>
                <w:szCs w:val="21"/>
                <w:highlight w:val="none"/>
                <w:lang w:val="en-US"/>
              </w:rPr>
            </w:pPr>
            <w:r>
              <w:rPr>
                <w:rFonts w:hint="eastAsia"/>
                <w:color w:val="auto"/>
                <w:kern w:val="2"/>
                <w:sz w:val="21"/>
                <w:szCs w:val="21"/>
                <w:highlight w:val="none"/>
                <w:lang w:val="en-US"/>
              </w:rPr>
              <w:t>（3）</w:t>
            </w:r>
            <w:r>
              <w:rPr>
                <w:color w:val="auto"/>
                <w:kern w:val="2"/>
                <w:sz w:val="21"/>
                <w:szCs w:val="21"/>
                <w:highlight w:val="none"/>
                <w:lang w:val="en-US"/>
              </w:rPr>
              <w:t>投标报价中的报价未超过招标文件设定的最高投标限价</w:t>
            </w:r>
            <w:r>
              <w:rPr>
                <w:rFonts w:hint="eastAsia"/>
                <w:color w:val="auto"/>
                <w:kern w:val="2"/>
                <w:sz w:val="21"/>
                <w:szCs w:val="21"/>
                <w:highlight w:val="none"/>
                <w:lang w:val="en-US"/>
              </w:rPr>
              <w:t>（如有）</w:t>
            </w:r>
            <w:r>
              <w:rPr>
                <w:color w:val="auto"/>
                <w:kern w:val="2"/>
                <w:sz w:val="21"/>
                <w:szCs w:val="21"/>
                <w:highlight w:val="none"/>
                <w:lang w:val="en-US"/>
              </w:rPr>
              <w:t>。</w:t>
            </w:r>
          </w:p>
          <w:p>
            <w:pPr>
              <w:pStyle w:val="124"/>
              <w:keepLines/>
              <w:shd w:val="clear" w:color="auto" w:fill="auto"/>
              <w:tabs>
                <w:tab w:val="left" w:pos="914"/>
              </w:tabs>
              <w:adjustRightInd w:val="0"/>
              <w:snapToGrid w:val="0"/>
              <w:spacing w:before="0" w:line="360" w:lineRule="auto"/>
              <w:ind w:left="210" w:leftChars="100"/>
              <w:jc w:val="both"/>
              <w:rPr>
                <w:color w:val="auto"/>
                <w:kern w:val="2"/>
                <w:sz w:val="21"/>
                <w:szCs w:val="21"/>
                <w:highlight w:val="none"/>
                <w:lang w:val="en-US"/>
              </w:rPr>
            </w:pPr>
            <w:r>
              <w:rPr>
                <w:rFonts w:hint="eastAsia"/>
                <w:color w:val="auto"/>
                <w:kern w:val="2"/>
                <w:sz w:val="21"/>
                <w:szCs w:val="21"/>
                <w:highlight w:val="none"/>
                <w:lang w:val="en-US"/>
              </w:rPr>
              <w:t>（4）</w:t>
            </w:r>
            <w:r>
              <w:rPr>
                <w:color w:val="auto"/>
                <w:kern w:val="2"/>
                <w:sz w:val="21"/>
                <w:szCs w:val="21"/>
                <w:highlight w:val="none"/>
                <w:lang w:val="en-US"/>
              </w:rPr>
              <w:t>投标报价中报价的大写金额能够确定具体数值。</w:t>
            </w:r>
          </w:p>
          <w:p>
            <w:pPr>
              <w:pStyle w:val="124"/>
              <w:keepLines/>
              <w:shd w:val="clear" w:color="auto" w:fill="auto"/>
              <w:tabs>
                <w:tab w:val="left" w:pos="914"/>
              </w:tabs>
              <w:adjustRightInd w:val="0"/>
              <w:snapToGrid w:val="0"/>
              <w:spacing w:before="0" w:line="360" w:lineRule="auto"/>
              <w:ind w:left="210" w:leftChars="100"/>
              <w:jc w:val="both"/>
              <w:rPr>
                <w:color w:val="auto"/>
                <w:kern w:val="2"/>
                <w:sz w:val="21"/>
                <w:szCs w:val="21"/>
                <w:highlight w:val="none"/>
                <w:lang w:val="en-US"/>
              </w:rPr>
            </w:pPr>
            <w:r>
              <w:rPr>
                <w:rFonts w:hint="eastAsia"/>
                <w:color w:val="auto"/>
                <w:kern w:val="2"/>
                <w:sz w:val="21"/>
                <w:szCs w:val="21"/>
                <w:highlight w:val="none"/>
                <w:lang w:val="en-US"/>
              </w:rPr>
              <w:t>（5）</w:t>
            </w:r>
            <w:r>
              <w:rPr>
                <w:color w:val="auto"/>
                <w:kern w:val="2"/>
                <w:sz w:val="21"/>
                <w:szCs w:val="21"/>
                <w:highlight w:val="none"/>
                <w:lang w:val="en-US"/>
              </w:rPr>
              <w:t>同一投标人</w:t>
            </w:r>
            <w:r>
              <w:rPr>
                <w:rFonts w:hint="eastAsia"/>
                <w:color w:val="auto"/>
                <w:kern w:val="2"/>
                <w:sz w:val="21"/>
                <w:szCs w:val="21"/>
                <w:highlight w:val="none"/>
                <w:lang w:val="en-US"/>
              </w:rPr>
              <w:t>对同一标段</w:t>
            </w:r>
            <w:r>
              <w:rPr>
                <w:color w:val="auto"/>
                <w:kern w:val="2"/>
                <w:sz w:val="21"/>
                <w:szCs w:val="21"/>
                <w:highlight w:val="none"/>
                <w:lang w:val="en-US"/>
              </w:rPr>
              <w:t>未提交两个以上不同的投标报价。</w:t>
            </w:r>
          </w:p>
          <w:p>
            <w:pPr>
              <w:pStyle w:val="124"/>
              <w:keepLines/>
              <w:shd w:val="clear" w:color="auto" w:fill="auto"/>
              <w:tabs>
                <w:tab w:val="left" w:pos="914"/>
              </w:tabs>
              <w:adjustRightInd w:val="0"/>
              <w:snapToGrid w:val="0"/>
              <w:spacing w:before="0" w:line="360" w:lineRule="auto"/>
              <w:ind w:left="210" w:leftChars="100"/>
              <w:jc w:val="both"/>
              <w:rPr>
                <w:color w:val="auto"/>
                <w:kern w:val="2"/>
                <w:sz w:val="21"/>
                <w:szCs w:val="21"/>
                <w:highlight w:val="none"/>
                <w:lang w:val="en-US"/>
              </w:rPr>
            </w:pPr>
            <w:r>
              <w:rPr>
                <w:rFonts w:hint="eastAsia"/>
                <w:color w:val="auto"/>
                <w:kern w:val="2"/>
                <w:sz w:val="21"/>
                <w:szCs w:val="21"/>
                <w:highlight w:val="none"/>
                <w:lang w:val="en-US"/>
              </w:rPr>
              <w:t>（6）投标人未提交调价函。</w:t>
            </w:r>
          </w:p>
          <w:p>
            <w:pPr>
              <w:pStyle w:val="124"/>
              <w:keepLines/>
              <w:shd w:val="clear" w:color="auto" w:fill="auto"/>
              <w:tabs>
                <w:tab w:val="left" w:pos="914"/>
              </w:tabs>
              <w:adjustRightInd w:val="0"/>
              <w:snapToGrid w:val="0"/>
              <w:spacing w:before="0" w:line="360" w:lineRule="auto"/>
              <w:ind w:left="210" w:leftChars="100"/>
              <w:jc w:val="both"/>
              <w:rPr>
                <w:color w:val="auto"/>
                <w:kern w:val="2"/>
                <w:sz w:val="21"/>
                <w:szCs w:val="21"/>
                <w:highlight w:val="none"/>
                <w:lang w:val="en-US"/>
              </w:rPr>
            </w:pPr>
            <w:r>
              <w:rPr>
                <w:rFonts w:hint="eastAsia"/>
                <w:color w:val="auto"/>
                <w:kern w:val="2"/>
                <w:sz w:val="21"/>
                <w:szCs w:val="21"/>
                <w:highlight w:val="none"/>
                <w:lang w:val="en-US"/>
              </w:rPr>
              <w:t>（7）</w:t>
            </w:r>
            <w:r>
              <w:rPr>
                <w:color w:val="auto"/>
                <w:kern w:val="2"/>
                <w:sz w:val="21"/>
                <w:szCs w:val="21"/>
                <w:highlight w:val="none"/>
                <w:lang w:val="en-US"/>
              </w:rPr>
              <w:t>投标人填写完毕的</w:t>
            </w:r>
            <w:r>
              <w:rPr>
                <w:rFonts w:hint="eastAsia"/>
                <w:color w:val="auto"/>
                <w:kern w:val="2"/>
                <w:sz w:val="21"/>
                <w:szCs w:val="21"/>
                <w:highlight w:val="none"/>
                <w:lang w:val="en-US"/>
              </w:rPr>
              <w:t>投标函或</w:t>
            </w:r>
            <w:r>
              <w:rPr>
                <w:color w:val="auto"/>
                <w:kern w:val="2"/>
                <w:sz w:val="21"/>
                <w:szCs w:val="21"/>
                <w:highlight w:val="none"/>
                <w:lang w:val="en-US"/>
              </w:rPr>
              <w:t>工程量固化清单未对</w:t>
            </w:r>
            <w:r>
              <w:rPr>
                <w:rFonts w:hint="eastAsia"/>
                <w:color w:val="auto"/>
                <w:kern w:val="2"/>
                <w:sz w:val="21"/>
                <w:szCs w:val="21"/>
                <w:highlight w:val="none"/>
                <w:lang w:val="en-US"/>
              </w:rPr>
              <w:t>投标函或</w:t>
            </w:r>
            <w:r>
              <w:rPr>
                <w:color w:val="auto"/>
                <w:kern w:val="2"/>
                <w:sz w:val="21"/>
                <w:szCs w:val="21"/>
                <w:highlight w:val="none"/>
                <w:lang w:val="en-US"/>
              </w:rPr>
              <w:t>工程量固化清单电子文件中的数据、格式和运算定义进行修改；工程量固化清单中的投标报价和投标函大写金额报价一致。</w:t>
            </w:r>
          </w:p>
          <w:p>
            <w:pPr>
              <w:pStyle w:val="124"/>
              <w:keepLines/>
              <w:shd w:val="clear" w:color="auto" w:fill="auto"/>
              <w:tabs>
                <w:tab w:val="left" w:pos="914"/>
              </w:tabs>
              <w:adjustRightInd w:val="0"/>
              <w:snapToGrid w:val="0"/>
              <w:spacing w:before="0" w:line="360" w:lineRule="auto"/>
              <w:ind w:left="210" w:leftChars="100"/>
              <w:jc w:val="both"/>
              <w:rPr>
                <w:color w:val="auto"/>
                <w:kern w:val="2"/>
                <w:sz w:val="21"/>
                <w:szCs w:val="21"/>
                <w:highlight w:val="none"/>
                <w:lang w:val="en-US"/>
              </w:rPr>
            </w:pPr>
            <w:r>
              <w:rPr>
                <w:rFonts w:hint="eastAsia"/>
                <w:color w:val="auto"/>
                <w:kern w:val="2"/>
                <w:sz w:val="21"/>
                <w:szCs w:val="21"/>
                <w:highlight w:val="none"/>
                <w:lang w:val="en-US"/>
              </w:rPr>
              <w:t>（8）</w:t>
            </w:r>
            <w:r>
              <w:rPr>
                <w:color w:val="auto"/>
                <w:kern w:val="2"/>
                <w:sz w:val="21"/>
                <w:szCs w:val="21"/>
                <w:highlight w:val="none"/>
                <w:lang w:val="en-US"/>
              </w:rPr>
              <w:t>投标文件正、副本份数符合招标文件第二章“投标人须知”第 3.7.4项规定。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1134" w:hRule="atLeast"/>
        </w:trPr>
        <w:tc>
          <w:tcPr>
            <w:tcW w:w="999"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2.1.2</w:t>
            </w:r>
          </w:p>
        </w:tc>
        <w:tc>
          <w:tcPr>
            <w:tcW w:w="155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资格评审标准</w:t>
            </w:r>
          </w:p>
        </w:tc>
        <w:tc>
          <w:tcPr>
            <w:tcW w:w="6503" w:type="dxa"/>
            <w:tcBorders>
              <w:top w:val="single" w:color="000000" w:sz="6" w:space="0"/>
              <w:left w:val="single" w:color="000000" w:sz="6" w:space="0"/>
              <w:bottom w:val="single" w:color="000000" w:sz="6" w:space="0"/>
              <w:right w:val="single" w:color="000000" w:sz="12" w:space="0"/>
            </w:tcBorders>
            <w:vAlign w:val="center"/>
          </w:tcPr>
          <w:p>
            <w:pPr>
              <w:pStyle w:val="124"/>
              <w:keepLines/>
              <w:shd w:val="clear" w:color="auto" w:fill="auto"/>
              <w:tabs>
                <w:tab w:val="left" w:pos="914"/>
              </w:tabs>
              <w:adjustRightInd w:val="0"/>
              <w:snapToGrid w:val="0"/>
              <w:spacing w:before="0" w:line="360" w:lineRule="auto"/>
              <w:ind w:left="210" w:leftChars="100"/>
              <w:jc w:val="both"/>
              <w:rPr>
                <w:color w:val="auto"/>
                <w:kern w:val="2"/>
                <w:sz w:val="21"/>
                <w:szCs w:val="21"/>
                <w:highlight w:val="none"/>
                <w:lang w:val="en-US"/>
              </w:rPr>
            </w:pPr>
            <w:r>
              <w:rPr>
                <w:rFonts w:hint="eastAsia"/>
                <w:color w:val="auto"/>
                <w:kern w:val="2"/>
                <w:sz w:val="21"/>
                <w:szCs w:val="21"/>
                <w:highlight w:val="none"/>
                <w:lang w:val="en-US"/>
              </w:rPr>
              <w:t>（1）</w:t>
            </w:r>
            <w:r>
              <w:rPr>
                <w:color w:val="auto"/>
                <w:kern w:val="2"/>
                <w:sz w:val="21"/>
                <w:szCs w:val="21"/>
                <w:highlight w:val="none"/>
                <w:lang w:val="en-US"/>
              </w:rPr>
              <w:t>投标人具备有效的营业执照、资质证书、安全生产许可证</w:t>
            </w:r>
            <w:r>
              <w:rPr>
                <w:rFonts w:hint="eastAsia"/>
                <w:color w:val="auto"/>
                <w:kern w:val="2"/>
                <w:sz w:val="21"/>
                <w:szCs w:val="21"/>
                <w:highlight w:val="none"/>
                <w:lang w:val="en-US"/>
              </w:rPr>
              <w:t>、</w:t>
            </w:r>
            <w:r>
              <w:rPr>
                <w:color w:val="auto"/>
                <w:kern w:val="2"/>
                <w:sz w:val="21"/>
                <w:szCs w:val="21"/>
                <w:highlight w:val="none"/>
                <w:lang w:val="en-US"/>
              </w:rPr>
              <w:t>基本账户开户许可证</w:t>
            </w:r>
            <w:r>
              <w:rPr>
                <w:rFonts w:hint="eastAsia"/>
                <w:color w:val="auto"/>
                <w:kern w:val="2"/>
                <w:sz w:val="21"/>
                <w:szCs w:val="21"/>
                <w:highlight w:val="none"/>
                <w:lang w:val="en-US"/>
              </w:rPr>
              <w:t>和股东出资情况证明。</w:t>
            </w:r>
          </w:p>
          <w:p>
            <w:pPr>
              <w:pStyle w:val="124"/>
              <w:keepLines/>
              <w:shd w:val="clear" w:color="auto" w:fill="auto"/>
              <w:tabs>
                <w:tab w:val="left" w:pos="914"/>
              </w:tabs>
              <w:adjustRightInd w:val="0"/>
              <w:snapToGrid w:val="0"/>
              <w:spacing w:before="0" w:line="360" w:lineRule="auto"/>
              <w:ind w:left="210" w:leftChars="100"/>
              <w:jc w:val="both"/>
              <w:rPr>
                <w:color w:val="auto"/>
                <w:kern w:val="2"/>
                <w:sz w:val="21"/>
                <w:szCs w:val="21"/>
                <w:highlight w:val="none"/>
                <w:lang w:val="en-US"/>
              </w:rPr>
            </w:pPr>
            <w:r>
              <w:rPr>
                <w:rFonts w:hint="eastAsia"/>
                <w:color w:val="auto"/>
                <w:kern w:val="2"/>
                <w:sz w:val="21"/>
                <w:szCs w:val="21"/>
                <w:highlight w:val="none"/>
                <w:lang w:val="en-US"/>
              </w:rPr>
              <w:t>（2）</w:t>
            </w:r>
            <w:r>
              <w:rPr>
                <w:color w:val="auto"/>
                <w:kern w:val="2"/>
                <w:sz w:val="21"/>
                <w:szCs w:val="21"/>
                <w:highlight w:val="none"/>
                <w:lang w:val="en-US"/>
              </w:rPr>
              <w:t>投标人的资质等级符合招标文件规定</w:t>
            </w:r>
            <w:r>
              <w:rPr>
                <w:rFonts w:hint="eastAsia"/>
                <w:color w:val="auto"/>
                <w:kern w:val="2"/>
                <w:sz w:val="21"/>
                <w:szCs w:val="21"/>
                <w:highlight w:val="none"/>
                <w:lang w:val="en-US"/>
              </w:rPr>
              <w:t>。</w:t>
            </w:r>
          </w:p>
          <w:p>
            <w:pPr>
              <w:pStyle w:val="124"/>
              <w:keepLines/>
              <w:shd w:val="clear" w:color="auto" w:fill="auto"/>
              <w:tabs>
                <w:tab w:val="left" w:pos="914"/>
              </w:tabs>
              <w:adjustRightInd w:val="0"/>
              <w:snapToGrid w:val="0"/>
              <w:spacing w:before="0" w:line="360" w:lineRule="auto"/>
              <w:ind w:left="210" w:leftChars="100"/>
              <w:jc w:val="both"/>
              <w:rPr>
                <w:color w:val="auto"/>
                <w:kern w:val="2"/>
                <w:sz w:val="21"/>
                <w:szCs w:val="21"/>
                <w:highlight w:val="none"/>
                <w:lang w:val="en-US"/>
              </w:rPr>
            </w:pPr>
            <w:r>
              <w:rPr>
                <w:rFonts w:hint="eastAsia"/>
                <w:color w:val="auto"/>
                <w:kern w:val="2"/>
                <w:sz w:val="21"/>
                <w:szCs w:val="21"/>
                <w:highlight w:val="none"/>
                <w:lang w:val="en-US"/>
              </w:rPr>
              <w:t>（3）</w:t>
            </w:r>
            <w:r>
              <w:rPr>
                <w:color w:val="auto"/>
                <w:kern w:val="2"/>
                <w:sz w:val="21"/>
                <w:szCs w:val="21"/>
                <w:highlight w:val="none"/>
                <w:lang w:val="en-US"/>
              </w:rPr>
              <w:t>投标人的财务状况符合招标文件规定</w:t>
            </w:r>
            <w:r>
              <w:rPr>
                <w:rFonts w:hint="eastAsia"/>
                <w:color w:val="auto"/>
                <w:kern w:val="2"/>
                <w:sz w:val="21"/>
                <w:szCs w:val="21"/>
                <w:highlight w:val="none"/>
                <w:lang w:val="en-US"/>
              </w:rPr>
              <w:t>。</w:t>
            </w:r>
          </w:p>
          <w:p>
            <w:pPr>
              <w:pStyle w:val="124"/>
              <w:keepLines/>
              <w:shd w:val="clear" w:color="auto" w:fill="auto"/>
              <w:tabs>
                <w:tab w:val="left" w:pos="914"/>
              </w:tabs>
              <w:adjustRightInd w:val="0"/>
              <w:snapToGrid w:val="0"/>
              <w:spacing w:before="0" w:line="360" w:lineRule="auto"/>
              <w:ind w:left="210" w:leftChars="100"/>
              <w:jc w:val="both"/>
              <w:rPr>
                <w:color w:val="auto"/>
                <w:kern w:val="2"/>
                <w:sz w:val="21"/>
                <w:szCs w:val="21"/>
                <w:highlight w:val="none"/>
                <w:lang w:val="en-US"/>
              </w:rPr>
            </w:pPr>
            <w:r>
              <w:rPr>
                <w:rFonts w:hint="eastAsia"/>
                <w:color w:val="auto"/>
                <w:kern w:val="2"/>
                <w:sz w:val="21"/>
                <w:szCs w:val="21"/>
                <w:highlight w:val="none"/>
                <w:lang w:val="en-US"/>
              </w:rPr>
              <w:t>（4）</w:t>
            </w:r>
            <w:r>
              <w:rPr>
                <w:color w:val="auto"/>
                <w:kern w:val="2"/>
                <w:sz w:val="21"/>
                <w:szCs w:val="21"/>
                <w:highlight w:val="none"/>
                <w:lang w:val="en-US"/>
              </w:rPr>
              <w:t>投标人的类似项目业绩符合招标文件规定</w:t>
            </w:r>
            <w:r>
              <w:rPr>
                <w:rFonts w:hint="eastAsia"/>
                <w:color w:val="auto"/>
                <w:kern w:val="2"/>
                <w:sz w:val="21"/>
                <w:szCs w:val="21"/>
                <w:highlight w:val="none"/>
                <w:lang w:val="en-US"/>
              </w:rPr>
              <w:t>。</w:t>
            </w:r>
          </w:p>
          <w:p>
            <w:pPr>
              <w:pStyle w:val="124"/>
              <w:keepLines/>
              <w:shd w:val="clear" w:color="auto" w:fill="auto"/>
              <w:tabs>
                <w:tab w:val="left" w:pos="914"/>
              </w:tabs>
              <w:adjustRightInd w:val="0"/>
              <w:snapToGrid w:val="0"/>
              <w:spacing w:before="0" w:line="360" w:lineRule="auto"/>
              <w:ind w:left="210" w:leftChars="100"/>
              <w:jc w:val="both"/>
              <w:rPr>
                <w:color w:val="auto"/>
                <w:kern w:val="2"/>
                <w:sz w:val="21"/>
                <w:szCs w:val="21"/>
                <w:highlight w:val="none"/>
                <w:lang w:val="en-US"/>
              </w:rPr>
            </w:pPr>
            <w:r>
              <w:rPr>
                <w:rFonts w:hint="eastAsia"/>
                <w:color w:val="auto"/>
                <w:kern w:val="2"/>
                <w:sz w:val="21"/>
                <w:szCs w:val="21"/>
                <w:highlight w:val="none"/>
                <w:lang w:val="en-US"/>
              </w:rPr>
              <w:t>（5）</w:t>
            </w:r>
            <w:r>
              <w:rPr>
                <w:color w:val="auto"/>
                <w:kern w:val="2"/>
                <w:sz w:val="21"/>
                <w:szCs w:val="21"/>
                <w:highlight w:val="none"/>
                <w:lang w:val="en-US"/>
              </w:rPr>
              <w:t>投标人的信誉符合招标文件规定</w:t>
            </w:r>
            <w:r>
              <w:rPr>
                <w:rFonts w:hint="eastAsia"/>
                <w:color w:val="auto"/>
                <w:kern w:val="2"/>
                <w:sz w:val="21"/>
                <w:szCs w:val="21"/>
                <w:highlight w:val="none"/>
                <w:lang w:val="en-US"/>
              </w:rPr>
              <w:t>。</w:t>
            </w:r>
          </w:p>
          <w:p>
            <w:pPr>
              <w:pStyle w:val="124"/>
              <w:keepLines/>
              <w:shd w:val="clear" w:color="auto" w:fill="auto"/>
              <w:tabs>
                <w:tab w:val="left" w:pos="914"/>
              </w:tabs>
              <w:adjustRightInd w:val="0"/>
              <w:snapToGrid w:val="0"/>
              <w:spacing w:before="0" w:line="360" w:lineRule="auto"/>
              <w:ind w:left="210" w:leftChars="100"/>
              <w:jc w:val="both"/>
              <w:rPr>
                <w:color w:val="auto"/>
                <w:kern w:val="2"/>
                <w:sz w:val="21"/>
                <w:szCs w:val="21"/>
                <w:highlight w:val="none"/>
                <w:lang w:val="en-US"/>
              </w:rPr>
            </w:pPr>
            <w:r>
              <w:rPr>
                <w:rFonts w:hint="eastAsia"/>
                <w:color w:val="auto"/>
                <w:kern w:val="2"/>
                <w:sz w:val="21"/>
                <w:szCs w:val="21"/>
                <w:highlight w:val="none"/>
                <w:lang w:val="en-US"/>
              </w:rPr>
              <w:t>（6）</w:t>
            </w:r>
            <w:r>
              <w:rPr>
                <w:color w:val="auto"/>
                <w:kern w:val="2"/>
                <w:sz w:val="21"/>
                <w:szCs w:val="21"/>
                <w:highlight w:val="none"/>
                <w:lang w:val="en-US"/>
              </w:rPr>
              <w:t>投标人</w:t>
            </w:r>
            <w:r>
              <w:rPr>
                <w:rFonts w:hint="eastAsia"/>
                <w:color w:val="auto"/>
                <w:kern w:val="2"/>
                <w:sz w:val="21"/>
                <w:szCs w:val="21"/>
                <w:highlight w:val="none"/>
                <w:lang w:val="en-US"/>
              </w:rPr>
              <w:t>的项目经理和项目总工</w:t>
            </w:r>
            <w:r>
              <w:rPr>
                <w:color w:val="auto"/>
                <w:kern w:val="2"/>
                <w:sz w:val="21"/>
                <w:szCs w:val="21"/>
                <w:highlight w:val="none"/>
                <w:lang w:val="en-US"/>
              </w:rPr>
              <w:t>资格、在岗情况符合招标文件规定</w:t>
            </w:r>
            <w:r>
              <w:rPr>
                <w:rFonts w:hint="eastAsia"/>
                <w:color w:val="auto"/>
                <w:kern w:val="2"/>
                <w:sz w:val="21"/>
                <w:szCs w:val="21"/>
                <w:highlight w:val="none"/>
                <w:lang w:val="en-US"/>
              </w:rPr>
              <w:t>。</w:t>
            </w:r>
          </w:p>
          <w:p>
            <w:pPr>
              <w:pStyle w:val="124"/>
              <w:keepLines/>
              <w:shd w:val="clear" w:color="auto" w:fill="auto"/>
              <w:tabs>
                <w:tab w:val="left" w:pos="914"/>
              </w:tabs>
              <w:adjustRightInd w:val="0"/>
              <w:snapToGrid w:val="0"/>
              <w:spacing w:before="0" w:line="360" w:lineRule="auto"/>
              <w:ind w:left="210" w:leftChars="100"/>
              <w:jc w:val="both"/>
              <w:rPr>
                <w:color w:val="auto"/>
                <w:kern w:val="2"/>
                <w:sz w:val="21"/>
                <w:szCs w:val="21"/>
                <w:highlight w:val="none"/>
                <w:lang w:val="en-US"/>
              </w:rPr>
            </w:pPr>
            <w:r>
              <w:rPr>
                <w:rFonts w:hint="eastAsia"/>
                <w:color w:val="auto"/>
                <w:kern w:val="2"/>
                <w:sz w:val="21"/>
                <w:szCs w:val="21"/>
                <w:highlight w:val="none"/>
                <w:lang w:val="en-US"/>
              </w:rPr>
              <w:t>（</w:t>
            </w:r>
            <w:r>
              <w:rPr>
                <w:color w:val="auto"/>
                <w:kern w:val="2"/>
                <w:sz w:val="21"/>
                <w:szCs w:val="21"/>
                <w:highlight w:val="none"/>
                <w:lang w:val="en-US"/>
              </w:rPr>
              <w:t>7</w:t>
            </w:r>
            <w:r>
              <w:rPr>
                <w:rFonts w:hint="eastAsia"/>
                <w:color w:val="auto"/>
                <w:kern w:val="2"/>
                <w:sz w:val="21"/>
                <w:szCs w:val="21"/>
                <w:highlight w:val="none"/>
                <w:lang w:val="en-US"/>
              </w:rPr>
              <w:t>）</w:t>
            </w:r>
            <w:r>
              <w:rPr>
                <w:color w:val="auto"/>
                <w:kern w:val="2"/>
                <w:sz w:val="21"/>
                <w:szCs w:val="21"/>
                <w:highlight w:val="none"/>
                <w:lang w:val="en-US"/>
              </w:rPr>
              <w:t>投标人不存在第二章“投标人须知”第1.4.3项或第1.4.4项规定的任何一种情形</w:t>
            </w:r>
            <w:r>
              <w:rPr>
                <w:rFonts w:hint="eastAsia"/>
                <w:color w:val="auto"/>
                <w:kern w:val="2"/>
                <w:sz w:val="21"/>
                <w:szCs w:val="21"/>
                <w:highlight w:val="none"/>
                <w:lang w:val="en-US"/>
              </w:rPr>
              <w:t>。</w:t>
            </w:r>
          </w:p>
          <w:p>
            <w:pPr>
              <w:pStyle w:val="124"/>
              <w:keepLines/>
              <w:shd w:val="clear" w:color="auto" w:fill="auto"/>
              <w:tabs>
                <w:tab w:val="left" w:pos="914"/>
              </w:tabs>
              <w:adjustRightInd w:val="0"/>
              <w:snapToGrid w:val="0"/>
              <w:spacing w:before="0" w:line="360" w:lineRule="auto"/>
              <w:ind w:left="210" w:leftChars="100"/>
              <w:jc w:val="both"/>
              <w:rPr>
                <w:color w:val="auto"/>
                <w:kern w:val="2"/>
                <w:sz w:val="21"/>
                <w:szCs w:val="21"/>
                <w:highlight w:val="none"/>
                <w:lang w:val="en-US"/>
              </w:rPr>
            </w:pPr>
            <w:r>
              <w:rPr>
                <w:rFonts w:hint="eastAsia"/>
                <w:color w:val="auto"/>
                <w:kern w:val="2"/>
                <w:sz w:val="21"/>
                <w:szCs w:val="21"/>
                <w:highlight w:val="none"/>
                <w:lang w:val="en-US"/>
              </w:rPr>
              <w:t>（</w:t>
            </w:r>
            <w:r>
              <w:rPr>
                <w:color w:val="auto"/>
                <w:kern w:val="2"/>
                <w:sz w:val="21"/>
                <w:szCs w:val="21"/>
                <w:highlight w:val="none"/>
                <w:lang w:val="en-US"/>
              </w:rPr>
              <w:t>8</w:t>
            </w:r>
            <w:r>
              <w:rPr>
                <w:rFonts w:hint="eastAsia"/>
                <w:color w:val="auto"/>
                <w:kern w:val="2"/>
                <w:sz w:val="21"/>
                <w:szCs w:val="21"/>
                <w:highlight w:val="none"/>
                <w:lang w:val="en-US"/>
              </w:rPr>
              <w:t>）</w:t>
            </w:r>
            <w:r>
              <w:rPr>
                <w:color w:val="auto"/>
                <w:kern w:val="2"/>
                <w:sz w:val="21"/>
                <w:szCs w:val="21"/>
                <w:highlight w:val="none"/>
                <w:lang w:val="en-US"/>
              </w:rPr>
              <w:t>投标人符合第二章“投标人须知”第1.4.5项规定</w:t>
            </w:r>
            <w:r>
              <w:rPr>
                <w:rFonts w:hint="eastAsia"/>
                <w:color w:val="auto"/>
                <w:kern w:val="2"/>
                <w:sz w:val="21"/>
                <w:szCs w:val="21"/>
                <w:highlight w:val="none"/>
                <w:lang w:val="en-US"/>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1134" w:hRule="atLeast"/>
        </w:trPr>
        <w:tc>
          <w:tcPr>
            <w:tcW w:w="999"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2.2.1</w:t>
            </w:r>
          </w:p>
        </w:tc>
        <w:tc>
          <w:tcPr>
            <w:tcW w:w="155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分值构成</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（总分100分）</w:t>
            </w:r>
          </w:p>
        </w:tc>
        <w:tc>
          <w:tcPr>
            <w:tcW w:w="6503" w:type="dxa"/>
            <w:tcBorders>
              <w:top w:val="single" w:color="000000" w:sz="6" w:space="0"/>
              <w:left w:val="single" w:color="000000" w:sz="6" w:space="0"/>
              <w:bottom w:val="single" w:color="000000" w:sz="6" w:space="0"/>
              <w:right w:val="single" w:color="000000" w:sz="12" w:space="0"/>
            </w:tcBorders>
            <w:vAlign w:val="center"/>
          </w:tcPr>
          <w:p>
            <w:pPr>
              <w:keepLines/>
              <w:adjustRightInd w:val="0"/>
              <w:snapToGrid w:val="0"/>
              <w:spacing w:line="360" w:lineRule="auto"/>
              <w:ind w:left="210" w:leftChars="100"/>
              <w:rPr>
                <w:rFonts w:ascii="宋体" w:hAnsi="宋体"/>
                <w:color w:val="auto"/>
                <w:szCs w:val="21"/>
                <w:highlight w:val="none"/>
              </w:rPr>
            </w:pPr>
            <w:r>
              <w:rPr>
                <w:rFonts w:hint="eastAsia" w:ascii="宋体" w:hAnsi="宋体"/>
                <w:color w:val="auto"/>
                <w:szCs w:val="21"/>
                <w:highlight w:val="none"/>
              </w:rPr>
              <w:t>第一个信封（商务及技术文件）评分分值构成：</w:t>
            </w:r>
          </w:p>
          <w:p>
            <w:pPr>
              <w:pStyle w:val="124"/>
              <w:keepLines/>
              <w:shd w:val="clear" w:color="auto" w:fill="auto"/>
              <w:tabs>
                <w:tab w:val="right" w:pos="2226"/>
              </w:tabs>
              <w:snapToGrid w:val="0"/>
              <w:spacing w:before="0" w:line="360" w:lineRule="auto"/>
              <w:ind w:firstLine="210" w:firstLineChars="100"/>
              <w:jc w:val="both"/>
              <w:rPr>
                <w:color w:val="auto"/>
                <w:sz w:val="21"/>
                <w:szCs w:val="21"/>
                <w:highlight w:val="none"/>
              </w:rPr>
            </w:pPr>
            <w:r>
              <w:rPr>
                <w:rFonts w:hint="eastAsia"/>
                <w:color w:val="auto"/>
                <w:kern w:val="2"/>
                <w:sz w:val="21"/>
                <w:szCs w:val="21"/>
                <w:highlight w:val="none"/>
                <w:lang w:val="en-US"/>
              </w:rPr>
              <w:t>施工组织设计</w:t>
            </w:r>
            <w:r>
              <w:rPr>
                <w:rFonts w:hint="eastAsia"/>
                <w:color w:val="auto"/>
                <w:sz w:val="21"/>
                <w:szCs w:val="21"/>
                <w:highlight w:val="none"/>
              </w:rPr>
              <w:t>：</w:t>
            </w:r>
            <w:r>
              <w:rPr>
                <w:color w:val="auto"/>
                <w:sz w:val="21"/>
                <w:szCs w:val="21"/>
                <w:highlight w:val="none"/>
              </w:rPr>
              <w:tab/>
            </w:r>
            <w:r>
              <w:rPr>
                <w:color w:val="auto"/>
                <w:sz w:val="21"/>
                <w:szCs w:val="21"/>
                <w:highlight w:val="none"/>
              </w:rPr>
              <w:t>20</w:t>
            </w:r>
            <w:r>
              <w:rPr>
                <w:rFonts w:hint="eastAsia"/>
                <w:color w:val="auto"/>
                <w:sz w:val="21"/>
                <w:szCs w:val="21"/>
                <w:highlight w:val="none"/>
              </w:rPr>
              <w:t>分</w:t>
            </w:r>
          </w:p>
          <w:p>
            <w:pPr>
              <w:pStyle w:val="124"/>
              <w:keepLines/>
              <w:shd w:val="clear" w:color="auto" w:fill="auto"/>
              <w:tabs>
                <w:tab w:val="right" w:pos="2226"/>
              </w:tabs>
              <w:snapToGrid w:val="0"/>
              <w:spacing w:before="0" w:line="360" w:lineRule="auto"/>
              <w:ind w:firstLine="210" w:firstLineChars="100"/>
              <w:jc w:val="both"/>
              <w:rPr>
                <w:color w:val="auto"/>
                <w:sz w:val="21"/>
                <w:szCs w:val="21"/>
                <w:highlight w:val="none"/>
              </w:rPr>
            </w:pPr>
            <w:r>
              <w:rPr>
                <w:rFonts w:hint="eastAsia"/>
                <w:color w:val="auto"/>
                <w:kern w:val="2"/>
                <w:sz w:val="21"/>
                <w:szCs w:val="21"/>
                <w:highlight w:val="none"/>
                <w:lang w:val="en-US"/>
              </w:rPr>
              <w:t>主要人员</w:t>
            </w:r>
            <w:r>
              <w:rPr>
                <w:rFonts w:hint="eastAsia"/>
                <w:color w:val="auto"/>
                <w:sz w:val="21"/>
                <w:szCs w:val="21"/>
                <w:highlight w:val="none"/>
              </w:rPr>
              <w:t>：</w:t>
            </w:r>
            <w:r>
              <w:rPr>
                <w:color w:val="auto"/>
                <w:sz w:val="21"/>
                <w:szCs w:val="21"/>
                <w:highlight w:val="none"/>
              </w:rPr>
              <w:tab/>
            </w:r>
            <w:r>
              <w:rPr>
                <w:rFonts w:hint="eastAsia"/>
                <w:color w:val="auto"/>
                <w:sz w:val="21"/>
                <w:szCs w:val="21"/>
                <w:highlight w:val="none"/>
              </w:rPr>
              <w:t>1</w:t>
            </w:r>
            <w:r>
              <w:rPr>
                <w:color w:val="auto"/>
                <w:sz w:val="21"/>
                <w:szCs w:val="21"/>
                <w:highlight w:val="none"/>
              </w:rPr>
              <w:t>0</w:t>
            </w:r>
            <w:r>
              <w:rPr>
                <w:rFonts w:hint="eastAsia"/>
                <w:color w:val="auto"/>
                <w:sz w:val="21"/>
                <w:szCs w:val="21"/>
                <w:highlight w:val="none"/>
              </w:rPr>
              <w:t>分</w:t>
            </w:r>
          </w:p>
          <w:p>
            <w:pPr>
              <w:pStyle w:val="124"/>
              <w:keepLines/>
              <w:shd w:val="clear" w:color="auto" w:fill="auto"/>
              <w:tabs>
                <w:tab w:val="right" w:pos="2226"/>
              </w:tabs>
              <w:snapToGrid w:val="0"/>
              <w:spacing w:before="0" w:line="360" w:lineRule="auto"/>
              <w:ind w:firstLine="210" w:firstLineChars="100"/>
              <w:jc w:val="both"/>
              <w:rPr>
                <w:color w:val="auto"/>
                <w:sz w:val="21"/>
                <w:szCs w:val="21"/>
                <w:highlight w:val="none"/>
              </w:rPr>
            </w:pPr>
            <w:r>
              <w:rPr>
                <w:rFonts w:hint="eastAsia"/>
                <w:color w:val="auto"/>
                <w:kern w:val="2"/>
                <w:sz w:val="21"/>
                <w:szCs w:val="21"/>
                <w:highlight w:val="none"/>
                <w:lang w:val="en-US"/>
              </w:rPr>
              <w:t>业绩</w:t>
            </w:r>
            <w:r>
              <w:rPr>
                <w:rFonts w:hint="eastAsia"/>
                <w:color w:val="auto"/>
                <w:sz w:val="21"/>
                <w:szCs w:val="21"/>
                <w:highlight w:val="none"/>
              </w:rPr>
              <w:t>：</w:t>
            </w:r>
            <w:r>
              <w:rPr>
                <w:color w:val="auto"/>
                <w:sz w:val="21"/>
                <w:szCs w:val="21"/>
                <w:highlight w:val="none"/>
              </w:rPr>
              <w:tab/>
            </w:r>
            <w:r>
              <w:rPr>
                <w:rFonts w:hint="eastAsia"/>
                <w:color w:val="auto"/>
                <w:sz w:val="21"/>
                <w:szCs w:val="21"/>
                <w:highlight w:val="none"/>
              </w:rPr>
              <w:t>7分</w:t>
            </w:r>
          </w:p>
          <w:p>
            <w:pPr>
              <w:pStyle w:val="124"/>
              <w:keepLines/>
              <w:shd w:val="clear" w:color="auto" w:fill="auto"/>
              <w:tabs>
                <w:tab w:val="right" w:pos="2226"/>
              </w:tabs>
              <w:snapToGrid w:val="0"/>
              <w:spacing w:before="0" w:line="360" w:lineRule="auto"/>
              <w:ind w:firstLine="210" w:firstLineChars="100"/>
              <w:jc w:val="both"/>
              <w:rPr>
                <w:color w:val="auto"/>
                <w:sz w:val="21"/>
                <w:szCs w:val="21"/>
                <w:highlight w:val="none"/>
              </w:rPr>
            </w:pPr>
            <w:r>
              <w:rPr>
                <w:rFonts w:hint="eastAsia"/>
                <w:color w:val="auto"/>
                <w:kern w:val="2"/>
                <w:sz w:val="21"/>
                <w:szCs w:val="21"/>
                <w:highlight w:val="none"/>
                <w:lang w:val="en-US"/>
              </w:rPr>
              <w:t>履约信誉</w:t>
            </w:r>
            <w:r>
              <w:rPr>
                <w:rFonts w:hint="eastAsia"/>
                <w:color w:val="auto"/>
                <w:sz w:val="21"/>
                <w:szCs w:val="21"/>
                <w:highlight w:val="none"/>
              </w:rPr>
              <w:t>：</w:t>
            </w:r>
            <w:r>
              <w:rPr>
                <w:color w:val="auto"/>
                <w:sz w:val="21"/>
                <w:szCs w:val="21"/>
                <w:highlight w:val="none"/>
              </w:rPr>
              <w:tab/>
            </w:r>
            <w:r>
              <w:rPr>
                <w:color w:val="auto"/>
                <w:sz w:val="21"/>
                <w:szCs w:val="21"/>
                <w:highlight w:val="none"/>
              </w:rPr>
              <w:t>3</w:t>
            </w:r>
            <w:r>
              <w:rPr>
                <w:rFonts w:hint="eastAsia"/>
                <w:color w:val="auto"/>
                <w:sz w:val="21"/>
                <w:szCs w:val="21"/>
                <w:highlight w:val="none"/>
              </w:rPr>
              <w:t>分</w:t>
            </w:r>
          </w:p>
          <w:p>
            <w:pPr>
              <w:pStyle w:val="124"/>
              <w:keepLines/>
              <w:shd w:val="clear" w:color="auto" w:fill="auto"/>
              <w:tabs>
                <w:tab w:val="right" w:pos="2226"/>
              </w:tabs>
              <w:snapToGrid w:val="0"/>
              <w:spacing w:before="0" w:line="360" w:lineRule="auto"/>
              <w:ind w:firstLine="210" w:firstLineChars="100"/>
              <w:jc w:val="both"/>
              <w:rPr>
                <w:color w:val="auto"/>
                <w:sz w:val="21"/>
                <w:szCs w:val="21"/>
                <w:highlight w:val="none"/>
              </w:rPr>
            </w:pPr>
            <w:r>
              <w:rPr>
                <w:rFonts w:hint="eastAsia"/>
                <w:color w:val="auto"/>
                <w:sz w:val="21"/>
                <w:szCs w:val="21"/>
                <w:highlight w:val="none"/>
              </w:rPr>
              <w:t>售后服务：</w:t>
            </w:r>
            <w:r>
              <w:rPr>
                <w:color w:val="auto"/>
                <w:sz w:val="21"/>
                <w:szCs w:val="21"/>
                <w:highlight w:val="none"/>
              </w:rPr>
              <w:tab/>
            </w:r>
            <w:r>
              <w:rPr>
                <w:rFonts w:hint="eastAsia"/>
                <w:color w:val="auto"/>
                <w:sz w:val="21"/>
                <w:szCs w:val="21"/>
                <w:highlight w:val="none"/>
              </w:rPr>
              <w:t>3分</w:t>
            </w:r>
          </w:p>
          <w:p>
            <w:pPr>
              <w:pStyle w:val="124"/>
              <w:keepLines/>
              <w:shd w:val="clear" w:color="auto" w:fill="auto"/>
              <w:tabs>
                <w:tab w:val="right" w:pos="2226"/>
              </w:tabs>
              <w:snapToGrid w:val="0"/>
              <w:spacing w:before="0" w:line="360" w:lineRule="auto"/>
              <w:ind w:firstLine="210" w:firstLineChars="100"/>
              <w:jc w:val="both"/>
              <w:rPr>
                <w:color w:val="auto"/>
                <w:sz w:val="21"/>
                <w:szCs w:val="21"/>
                <w:highlight w:val="none"/>
              </w:rPr>
            </w:pPr>
            <w:r>
              <w:rPr>
                <w:rFonts w:hint="eastAsia"/>
                <w:color w:val="auto"/>
                <w:sz w:val="21"/>
                <w:szCs w:val="21"/>
                <w:highlight w:val="none"/>
              </w:rPr>
              <w:t>主要设备：</w:t>
            </w:r>
            <w:r>
              <w:rPr>
                <w:color w:val="auto"/>
                <w:sz w:val="21"/>
                <w:szCs w:val="21"/>
                <w:highlight w:val="none"/>
              </w:rPr>
              <w:tab/>
            </w:r>
            <w:r>
              <w:rPr>
                <w:rFonts w:hint="eastAsia"/>
                <w:color w:val="auto"/>
                <w:sz w:val="21"/>
                <w:szCs w:val="21"/>
                <w:highlight w:val="none"/>
                <w:lang w:val="en-US"/>
              </w:rPr>
              <w:t>7</w:t>
            </w:r>
            <w:r>
              <w:rPr>
                <w:rFonts w:hint="eastAsia"/>
                <w:color w:val="auto"/>
                <w:sz w:val="21"/>
                <w:szCs w:val="21"/>
                <w:highlight w:val="none"/>
              </w:rPr>
              <w:t>分</w:t>
            </w:r>
          </w:p>
          <w:p>
            <w:pPr>
              <w:keepLines/>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第二个信封（报价文件）评分分值构成：</w:t>
            </w:r>
          </w:p>
          <w:p>
            <w:pPr>
              <w:pStyle w:val="124"/>
              <w:keepLines/>
              <w:shd w:val="clear" w:color="auto" w:fill="auto"/>
              <w:tabs>
                <w:tab w:val="right" w:pos="2226"/>
              </w:tabs>
              <w:adjustRightInd w:val="0"/>
              <w:snapToGrid w:val="0"/>
              <w:spacing w:before="0" w:line="360" w:lineRule="auto"/>
              <w:ind w:left="210" w:leftChars="100"/>
              <w:jc w:val="both"/>
              <w:rPr>
                <w:color w:val="auto"/>
                <w:sz w:val="21"/>
                <w:szCs w:val="21"/>
                <w:highlight w:val="none"/>
              </w:rPr>
            </w:pPr>
            <w:r>
              <w:rPr>
                <w:rFonts w:hint="eastAsia"/>
                <w:color w:val="auto"/>
                <w:kern w:val="2"/>
                <w:sz w:val="21"/>
                <w:szCs w:val="21"/>
                <w:highlight w:val="none"/>
                <w:lang w:val="en-US"/>
              </w:rPr>
              <w:t>评标价</w:t>
            </w:r>
            <w:r>
              <w:rPr>
                <w:rFonts w:hint="eastAsia"/>
                <w:color w:val="auto"/>
                <w:sz w:val="21"/>
                <w:szCs w:val="21"/>
                <w:highlight w:val="none"/>
              </w:rPr>
              <w:t>：</w:t>
            </w:r>
            <w:r>
              <w:rPr>
                <w:color w:val="auto"/>
                <w:sz w:val="21"/>
                <w:szCs w:val="21"/>
                <w:highlight w:val="none"/>
              </w:rPr>
              <w:tab/>
            </w:r>
            <w:r>
              <w:rPr>
                <w:rFonts w:hint="eastAsia"/>
                <w:color w:val="auto"/>
                <w:sz w:val="21"/>
                <w:szCs w:val="21"/>
                <w:highlight w:val="none"/>
              </w:rPr>
              <w:t>50分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1134" w:hRule="atLeast"/>
        </w:trPr>
        <w:tc>
          <w:tcPr>
            <w:tcW w:w="999" w:type="dxa"/>
            <w:tcBorders>
              <w:top w:val="single" w:color="000000" w:sz="6" w:space="0"/>
              <w:left w:val="single" w:color="000000" w:sz="12" w:space="0"/>
              <w:bottom w:val="single" w:color="000000" w:sz="6" w:space="0"/>
              <w:right w:val="single" w:color="000000" w:sz="6" w:space="0"/>
            </w:tcBorders>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2.2.2</w:t>
            </w:r>
          </w:p>
        </w:tc>
        <w:tc>
          <w:tcPr>
            <w:tcW w:w="155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确定评标基准价</w:t>
            </w:r>
          </w:p>
        </w:tc>
        <w:tc>
          <w:tcPr>
            <w:tcW w:w="6503" w:type="dxa"/>
            <w:tcBorders>
              <w:top w:val="single" w:color="000000" w:sz="6" w:space="0"/>
              <w:left w:val="single" w:color="000000" w:sz="6" w:space="0"/>
              <w:bottom w:val="single" w:color="000000" w:sz="6" w:space="0"/>
              <w:right w:val="single" w:color="000000" w:sz="12" w:space="0"/>
            </w:tcBorders>
            <w:vAlign w:val="center"/>
          </w:tcPr>
          <w:p>
            <w:pPr>
              <w:pStyle w:val="39"/>
              <w:keepLines/>
              <w:widowControl w:val="0"/>
              <w:shd w:val="clear" w:color="auto" w:fill="FFFFFF"/>
              <w:tabs>
                <w:tab w:val="left" w:pos="914"/>
              </w:tabs>
              <w:snapToGrid w:val="0"/>
              <w:spacing w:before="0" w:beforeAutospacing="0" w:after="0" w:afterAutospacing="0" w:line="360" w:lineRule="auto"/>
              <w:ind w:firstLine="210" w:firstLineChars="100"/>
              <w:jc w:val="both"/>
              <w:rPr>
                <w:color w:val="auto"/>
                <w:kern w:val="2"/>
                <w:sz w:val="21"/>
                <w:szCs w:val="21"/>
                <w:highlight w:val="none"/>
              </w:rPr>
            </w:pPr>
            <w:r>
              <w:rPr>
                <w:rFonts w:hint="eastAsia" w:cs="宋体"/>
                <w:color w:val="auto"/>
                <w:kern w:val="2"/>
                <w:sz w:val="21"/>
                <w:szCs w:val="21"/>
                <w:highlight w:val="none"/>
              </w:rPr>
              <w:t>评标基准价的计算：</w:t>
            </w:r>
          </w:p>
          <w:p>
            <w:pPr>
              <w:pStyle w:val="39"/>
              <w:keepLines/>
              <w:widowControl w:val="0"/>
              <w:shd w:val="clear" w:color="auto" w:fill="FFFFFF"/>
              <w:tabs>
                <w:tab w:val="left" w:pos="914"/>
              </w:tabs>
              <w:snapToGrid w:val="0"/>
              <w:spacing w:before="0" w:beforeAutospacing="0" w:after="0" w:afterAutospacing="0" w:line="360" w:lineRule="auto"/>
              <w:ind w:firstLine="210" w:firstLineChars="100"/>
              <w:jc w:val="both"/>
              <w:rPr>
                <w:color w:val="auto"/>
                <w:kern w:val="2"/>
                <w:sz w:val="21"/>
                <w:szCs w:val="21"/>
                <w:highlight w:val="none"/>
              </w:rPr>
            </w:pPr>
            <w:r>
              <w:rPr>
                <w:rFonts w:hint="eastAsia" w:cs="宋体"/>
                <w:color w:val="auto"/>
                <w:kern w:val="2"/>
                <w:sz w:val="21"/>
                <w:szCs w:val="21"/>
                <w:highlight w:val="none"/>
              </w:rPr>
              <w:t>在开标现场，招标人将当场计算并宣布评标基准价。</w:t>
            </w:r>
          </w:p>
          <w:p>
            <w:pPr>
              <w:pStyle w:val="39"/>
              <w:keepLines/>
              <w:widowControl w:val="0"/>
              <w:shd w:val="clear" w:color="auto" w:fill="FFFFFF"/>
              <w:tabs>
                <w:tab w:val="left" w:pos="914"/>
              </w:tabs>
              <w:snapToGrid w:val="0"/>
              <w:spacing w:before="0" w:beforeAutospacing="0" w:after="0" w:afterAutospacing="0" w:line="360" w:lineRule="auto"/>
              <w:ind w:firstLine="210" w:firstLineChars="100"/>
              <w:jc w:val="both"/>
              <w:rPr>
                <w:color w:val="auto"/>
                <w:kern w:val="2"/>
                <w:sz w:val="21"/>
                <w:szCs w:val="21"/>
                <w:highlight w:val="none"/>
              </w:rPr>
            </w:pPr>
            <w:r>
              <w:rPr>
                <w:rFonts w:hint="eastAsia" w:cs="宋体"/>
                <w:color w:val="auto"/>
                <w:kern w:val="2"/>
                <w:sz w:val="21"/>
                <w:szCs w:val="21"/>
                <w:highlight w:val="none"/>
              </w:rPr>
              <w:t>（1）评标价的确定：评标价＝投标函文字报价</w:t>
            </w:r>
          </w:p>
          <w:p>
            <w:pPr>
              <w:keepLines/>
              <w:tabs>
                <w:tab w:val="left" w:pos="914"/>
              </w:tabs>
              <w:snapToGrid w:val="0"/>
              <w:spacing w:line="400" w:lineRule="exact"/>
              <w:ind w:firstLine="210" w:firstLineChars="100"/>
              <w:rPr>
                <w:rFonts w:ascii="宋体" w:hAnsi="宋体" w:cs="宋体"/>
                <w:color w:val="auto"/>
                <w:szCs w:val="21"/>
                <w:highlight w:val="none"/>
              </w:rPr>
            </w:pPr>
            <w:r>
              <w:rPr>
                <w:rFonts w:hint="eastAsia" w:ascii="宋体" w:hAnsi="宋体" w:cs="宋体"/>
                <w:color w:val="auto"/>
                <w:szCs w:val="21"/>
                <w:highlight w:val="none"/>
              </w:rPr>
              <w:t>（2）评标价平均值的计算：除按第二章“投标人须知”第5.2.4项规定开标现场被宣布为不进入评标基准价计算的投标报价之外，所有在最高投标限价的85%（含85%）至100%（含100%）之间的投标人的评标价去掉一个最高值和一个最低值后的算术平均值即为评标价平均值（如果参与评标价平均值计算的有效投标人少于5家时，则计算评标价平均值时不去掉最高值和最低值），评标价平均值四舍五入精确至个位。</w:t>
            </w:r>
          </w:p>
          <w:p>
            <w:pPr>
              <w:widowControl/>
              <w:snapToGrid w:val="0"/>
              <w:spacing w:line="360" w:lineRule="auto"/>
              <w:ind w:firstLine="420" w:firstLineChars="200"/>
              <w:jc w:val="left"/>
              <w:rPr>
                <w:rFonts w:hint="eastAsia"/>
                <w:color w:val="auto"/>
                <w:szCs w:val="21"/>
                <w:highlight w:val="none"/>
              </w:rPr>
            </w:pPr>
            <w:r>
              <w:rPr>
                <w:rFonts w:hint="eastAsia"/>
                <w:color w:val="auto"/>
                <w:szCs w:val="21"/>
                <w:highlight w:val="none"/>
              </w:rPr>
              <w:t>（3）评标基准价的确定：</w:t>
            </w:r>
          </w:p>
          <w:p>
            <w:pPr>
              <w:widowControl/>
              <w:snapToGrid w:val="0"/>
              <w:spacing w:line="360" w:lineRule="auto"/>
              <w:ind w:firstLine="420" w:firstLineChars="200"/>
              <w:jc w:val="left"/>
              <w:rPr>
                <w:rFonts w:hint="eastAsia"/>
                <w:color w:val="auto"/>
                <w:szCs w:val="21"/>
                <w:highlight w:val="none"/>
              </w:rPr>
            </w:pPr>
            <m:oMathPara>
              <m:oMath>
                <m:r>
                  <m:rPr>
                    <m:sty m:val="p"/>
                  </m:rPr>
                  <w:rPr>
                    <w:rFonts w:hint="eastAsia" w:ascii="Cambria Math" w:hAnsi="Cambria Math"/>
                    <w:color w:val="auto"/>
                    <w:szCs w:val="21"/>
                    <w:highlight w:val="none"/>
                  </w:rPr>
                  <m:t>C=</m:t>
                </m:r>
                <m:f>
                  <m:fPr>
                    <m:ctrlPr>
                      <w:rPr>
                        <w:rFonts w:hint="eastAsia" w:ascii="Cambria Math" w:hAnsi="Cambria Math"/>
                        <w:color w:val="auto"/>
                        <w:szCs w:val="21"/>
                        <w:highlight w:val="none"/>
                      </w:rPr>
                    </m:ctrlPr>
                  </m:fPr>
                  <m:num>
                    <m:r>
                      <m:rPr>
                        <m:sty m:val="p"/>
                      </m:rPr>
                      <w:rPr>
                        <w:rFonts w:hint="eastAsia" w:ascii="Cambria Math" w:hAnsi="Cambria Math"/>
                        <w:color w:val="auto"/>
                        <w:szCs w:val="21"/>
                        <w:highlight w:val="none"/>
                      </w:rPr>
                      <m:t>A+B</m:t>
                    </m:r>
                    <m:ctrlPr>
                      <w:rPr>
                        <w:rFonts w:hint="eastAsia" w:ascii="Cambria Math" w:hAnsi="Cambria Math"/>
                        <w:color w:val="auto"/>
                        <w:szCs w:val="21"/>
                        <w:highlight w:val="none"/>
                      </w:rPr>
                    </m:ctrlPr>
                  </m:num>
                  <m:den>
                    <m:r>
                      <m:rPr>
                        <m:sty m:val="p"/>
                      </m:rPr>
                      <w:rPr>
                        <w:rFonts w:hint="eastAsia" w:ascii="Cambria Math" w:hAnsi="Cambria Math"/>
                        <w:color w:val="auto"/>
                        <w:szCs w:val="21"/>
                        <w:highlight w:val="none"/>
                      </w:rPr>
                      <m:t>2</m:t>
                    </m:r>
                    <m:ctrlPr>
                      <w:rPr>
                        <w:rFonts w:hint="eastAsia" w:ascii="Cambria Math" w:hAnsi="Cambria Math"/>
                        <w:color w:val="auto"/>
                        <w:szCs w:val="21"/>
                        <w:highlight w:val="none"/>
                      </w:rPr>
                    </m:ctrlPr>
                  </m:den>
                </m:f>
              </m:oMath>
            </m:oMathPara>
          </w:p>
          <w:p>
            <w:pPr>
              <w:widowControl/>
              <w:snapToGrid w:val="0"/>
              <w:spacing w:line="360" w:lineRule="auto"/>
              <w:ind w:firstLine="420" w:firstLineChars="200"/>
              <w:jc w:val="left"/>
              <w:rPr>
                <w:rFonts w:hint="eastAsia"/>
                <w:color w:val="auto"/>
                <w:szCs w:val="21"/>
                <w:highlight w:val="none"/>
              </w:rPr>
            </w:pPr>
            <w:r>
              <w:rPr>
                <w:rFonts w:hint="eastAsia"/>
                <w:color w:val="auto"/>
                <w:szCs w:val="21"/>
                <w:highlight w:val="none"/>
              </w:rPr>
              <w:t>C - 评标基准价，四舍五入精确至个位；</w:t>
            </w:r>
          </w:p>
          <w:p>
            <w:pPr>
              <w:widowControl/>
              <w:snapToGrid w:val="0"/>
              <w:spacing w:line="360" w:lineRule="auto"/>
              <w:ind w:firstLine="420" w:firstLineChars="200"/>
              <w:jc w:val="left"/>
              <w:rPr>
                <w:rFonts w:hint="eastAsia"/>
                <w:color w:val="auto"/>
                <w:szCs w:val="21"/>
                <w:highlight w:val="none"/>
              </w:rPr>
            </w:pPr>
            <w:r>
              <w:rPr>
                <w:rFonts w:hint="eastAsia"/>
                <w:color w:val="auto"/>
                <w:szCs w:val="21"/>
                <w:highlight w:val="none"/>
              </w:rPr>
              <w:t>A - 最高投标限价；</w:t>
            </w:r>
          </w:p>
          <w:p>
            <w:pPr>
              <w:widowControl/>
              <w:snapToGrid w:val="0"/>
              <w:spacing w:line="360" w:lineRule="auto"/>
              <w:ind w:firstLine="420" w:firstLineChars="200"/>
              <w:jc w:val="left"/>
              <w:rPr>
                <w:rFonts w:hint="eastAsia"/>
                <w:color w:val="auto"/>
                <w:szCs w:val="21"/>
                <w:highlight w:val="none"/>
              </w:rPr>
            </w:pPr>
            <w:r>
              <w:rPr>
                <w:rFonts w:hint="eastAsia"/>
                <w:color w:val="auto"/>
                <w:szCs w:val="21"/>
                <w:highlight w:val="none"/>
              </w:rPr>
              <w:t>B - 评标价平均值。</w:t>
            </w:r>
          </w:p>
          <w:p>
            <w:pPr>
              <w:widowControl/>
              <w:snapToGrid w:val="0"/>
              <w:spacing w:line="360" w:lineRule="auto"/>
              <w:ind w:firstLine="420" w:firstLineChars="200"/>
              <w:jc w:val="left"/>
              <w:rPr>
                <w:color w:val="auto"/>
                <w:szCs w:val="21"/>
                <w:highlight w:val="none"/>
              </w:rPr>
            </w:pPr>
            <w:r>
              <w:rPr>
                <w:rFonts w:hint="eastAsia"/>
                <w:color w:val="auto"/>
                <w:szCs w:val="21"/>
                <w:highlight w:val="none"/>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1134" w:hRule="atLeast"/>
        </w:trPr>
        <w:tc>
          <w:tcPr>
            <w:tcW w:w="999" w:type="dxa"/>
            <w:tcBorders>
              <w:top w:val="single" w:color="000000" w:sz="6" w:space="0"/>
              <w:left w:val="single" w:color="000000" w:sz="12" w:space="0"/>
              <w:bottom w:val="single" w:color="000000" w:sz="12" w:space="0"/>
              <w:right w:val="single" w:color="000000" w:sz="6" w:space="0"/>
            </w:tcBorders>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2.2.3</w:t>
            </w:r>
          </w:p>
        </w:tc>
        <w:tc>
          <w:tcPr>
            <w:tcW w:w="1555" w:type="dxa"/>
            <w:tcBorders>
              <w:top w:val="single" w:color="000000" w:sz="6" w:space="0"/>
              <w:left w:val="single" w:color="000000" w:sz="6" w:space="0"/>
              <w:bottom w:val="single" w:color="000000" w:sz="12" w:space="0"/>
              <w:right w:val="single" w:color="000000" w:sz="6" w:space="0"/>
            </w:tcBorders>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评标价的偏差率计算公式</w:t>
            </w:r>
          </w:p>
        </w:tc>
        <w:tc>
          <w:tcPr>
            <w:tcW w:w="6503" w:type="dxa"/>
            <w:tcBorders>
              <w:top w:val="single" w:color="000000" w:sz="6" w:space="0"/>
              <w:left w:val="single" w:color="000000" w:sz="6" w:space="0"/>
              <w:bottom w:val="single" w:color="000000" w:sz="12" w:space="0"/>
              <w:right w:val="single" w:color="000000" w:sz="12" w:space="0"/>
            </w:tcBorders>
            <w:vAlign w:val="center"/>
          </w:tcPr>
          <w:p>
            <w:pPr>
              <w:pStyle w:val="124"/>
              <w:keepLines/>
              <w:shd w:val="clear" w:color="auto" w:fill="auto"/>
              <w:tabs>
                <w:tab w:val="left" w:pos="914"/>
              </w:tabs>
              <w:snapToGrid w:val="0"/>
              <w:spacing w:before="0" w:line="360" w:lineRule="auto"/>
              <w:ind w:firstLine="210" w:firstLineChars="100"/>
              <w:jc w:val="both"/>
              <w:rPr>
                <w:color w:val="auto"/>
                <w:kern w:val="2"/>
                <w:sz w:val="21"/>
                <w:szCs w:val="21"/>
                <w:highlight w:val="none"/>
                <w:lang w:val="en-US"/>
              </w:rPr>
            </w:pPr>
            <w:r>
              <w:rPr>
                <w:rFonts w:hint="eastAsia"/>
                <w:color w:val="auto"/>
                <w:kern w:val="2"/>
                <w:sz w:val="21"/>
                <w:szCs w:val="21"/>
                <w:highlight w:val="none"/>
                <w:lang w:val="en-US"/>
              </w:rPr>
              <w:t>偏差率=100%×（投标人评标价－评标基准价）/评标基准价</w:t>
            </w:r>
          </w:p>
          <w:p>
            <w:pPr>
              <w:pStyle w:val="124"/>
              <w:keepLines/>
              <w:shd w:val="clear" w:color="auto" w:fill="auto"/>
              <w:tabs>
                <w:tab w:val="left" w:pos="914"/>
              </w:tabs>
              <w:snapToGrid w:val="0"/>
              <w:spacing w:before="0" w:line="360" w:lineRule="auto"/>
              <w:ind w:firstLine="210" w:firstLineChars="100"/>
              <w:jc w:val="both"/>
              <w:rPr>
                <w:color w:val="auto"/>
                <w:sz w:val="21"/>
                <w:szCs w:val="21"/>
                <w:highlight w:val="none"/>
              </w:rPr>
            </w:pPr>
            <w:r>
              <w:rPr>
                <w:rFonts w:hint="eastAsia"/>
                <w:color w:val="auto"/>
                <w:kern w:val="2"/>
                <w:sz w:val="21"/>
                <w:szCs w:val="21"/>
                <w:highlight w:val="none"/>
                <w:lang w:val="en-US"/>
              </w:rPr>
              <w:t>偏差率（以百分数形式表示）保留两位小数，如**.**</w:t>
            </w:r>
            <w:r>
              <w:rPr>
                <w:color w:val="auto"/>
                <w:kern w:val="2"/>
                <w:sz w:val="21"/>
                <w:szCs w:val="21"/>
                <w:highlight w:val="none"/>
                <w:lang w:val="en-US"/>
              </w:rPr>
              <w:t>%</w:t>
            </w:r>
          </w:p>
        </w:tc>
      </w:tr>
    </w:tbl>
    <w:p>
      <w:pPr>
        <w:rPr>
          <w:color w:val="auto"/>
          <w:highlight w:val="none"/>
        </w:rPr>
      </w:pPr>
    </w:p>
    <w:p>
      <w:pPr>
        <w:widowControl/>
        <w:jc w:val="left"/>
        <w:rPr>
          <w:rFonts w:ascii="黑体" w:hAnsi="黑体" w:eastAsia="黑体"/>
          <w:color w:val="auto"/>
          <w:sz w:val="28"/>
          <w:szCs w:val="28"/>
          <w:highlight w:val="none"/>
        </w:rPr>
      </w:pPr>
      <w:r>
        <w:rPr>
          <w:rFonts w:ascii="黑体" w:hAnsi="黑体" w:eastAsia="黑体"/>
          <w:color w:val="auto"/>
          <w:sz w:val="28"/>
          <w:szCs w:val="28"/>
          <w:highlight w:val="none"/>
        </w:rPr>
        <w:br w:type="page"/>
      </w:r>
    </w:p>
    <w:p>
      <w:pPr>
        <w:rPr>
          <w:color w:val="auto"/>
          <w:highlight w:val="none"/>
          <w:lang w:val="zh-CN"/>
        </w:rPr>
      </w:pPr>
    </w:p>
    <w:tbl>
      <w:tblPr>
        <w:tblStyle w:val="43"/>
        <w:tblW w:w="90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659"/>
        <w:gridCol w:w="346"/>
        <w:gridCol w:w="346"/>
        <w:gridCol w:w="538"/>
        <w:gridCol w:w="987"/>
        <w:gridCol w:w="550"/>
        <w:gridCol w:w="56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3426" w:type="dxa"/>
            <w:gridSpan w:val="6"/>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评分因素与权重分值</w:t>
            </w:r>
            <w:r>
              <w:rPr>
                <w:rStyle w:val="55"/>
                <w:rFonts w:ascii="宋体" w:hAnsi="宋体"/>
                <w:b/>
                <w:color w:val="auto"/>
                <w:szCs w:val="21"/>
                <w:highlight w:val="none"/>
              </w:rPr>
              <w:footnoteReference w:id="3"/>
            </w:r>
          </w:p>
        </w:tc>
        <w:tc>
          <w:tcPr>
            <w:tcW w:w="5628" w:type="dxa"/>
            <w:vMerge w:val="restart"/>
            <w:vAlign w:val="center"/>
          </w:tcPr>
          <w:p>
            <w:pPr>
              <w:adjustRightInd w:val="0"/>
              <w:snapToGrid w:val="0"/>
              <w:spacing w:line="360" w:lineRule="auto"/>
              <w:jc w:val="center"/>
              <w:rPr>
                <w:rFonts w:ascii="宋体" w:hAnsi="宋体"/>
                <w:b/>
                <w:color w:val="auto"/>
                <w:szCs w:val="21"/>
                <w:highlight w:val="none"/>
              </w:rPr>
            </w:pPr>
            <w:r>
              <w:rPr>
                <w:rFonts w:hint="eastAsia" w:ascii="宋体" w:hAnsi="宋体"/>
                <w:b/>
                <w:color w:val="auto"/>
                <w:szCs w:val="21"/>
                <w:highlight w:val="none"/>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59"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条款号</w:t>
            </w:r>
          </w:p>
        </w:tc>
        <w:tc>
          <w:tcPr>
            <w:tcW w:w="692" w:type="dxa"/>
            <w:gridSpan w:val="2"/>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评分</w:t>
            </w:r>
            <w:r>
              <w:rPr>
                <w:rFonts w:hint="eastAsia" w:ascii="宋体" w:hAnsi="宋体"/>
                <w:b/>
                <w:color w:val="auto"/>
                <w:szCs w:val="21"/>
                <w:highlight w:val="none"/>
              </w:rPr>
              <w:br w:type="textWrapping"/>
            </w:r>
            <w:r>
              <w:rPr>
                <w:rFonts w:hint="eastAsia" w:ascii="宋体" w:hAnsi="宋体"/>
                <w:b/>
                <w:color w:val="auto"/>
                <w:szCs w:val="21"/>
                <w:highlight w:val="none"/>
              </w:rPr>
              <w:t>因素</w:t>
            </w:r>
          </w:p>
        </w:tc>
        <w:tc>
          <w:tcPr>
            <w:tcW w:w="538"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权重</w:t>
            </w:r>
          </w:p>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分值</w:t>
            </w:r>
          </w:p>
        </w:tc>
        <w:tc>
          <w:tcPr>
            <w:tcW w:w="987"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各评分因</w:t>
            </w:r>
          </w:p>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素细分项</w:t>
            </w:r>
          </w:p>
        </w:tc>
        <w:tc>
          <w:tcPr>
            <w:tcW w:w="550" w:type="dxa"/>
            <w:vAlign w:val="center"/>
          </w:tcPr>
          <w:p>
            <w:pPr>
              <w:adjustRightInd w:val="0"/>
              <w:snapToGrid w:val="0"/>
              <w:jc w:val="center"/>
              <w:rPr>
                <w:rFonts w:ascii="宋体" w:hAnsi="宋体"/>
                <w:b/>
                <w:color w:val="auto"/>
                <w:szCs w:val="21"/>
                <w:highlight w:val="none"/>
              </w:rPr>
            </w:pPr>
            <w:r>
              <w:rPr>
                <w:rFonts w:hint="eastAsia" w:ascii="宋体" w:hAnsi="宋体"/>
                <w:b/>
                <w:color w:val="auto"/>
                <w:szCs w:val="21"/>
                <w:highlight w:val="none"/>
              </w:rPr>
              <w:t>分值</w:t>
            </w:r>
          </w:p>
        </w:tc>
        <w:tc>
          <w:tcPr>
            <w:tcW w:w="5628" w:type="dxa"/>
            <w:vMerge w:val="continue"/>
            <w:vAlign w:val="center"/>
          </w:tcPr>
          <w:p>
            <w:pPr>
              <w:widowControl/>
              <w:snapToGrid w:val="0"/>
              <w:spacing w:line="360" w:lineRule="auto"/>
              <w:jc w:val="center"/>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59" w:type="dxa"/>
            <w:vMerge w:val="restar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2.2.4</w:t>
            </w:r>
          </w:p>
          <w:p>
            <w:pPr>
              <w:adjustRightInd w:val="0"/>
              <w:snapToGrid w:val="0"/>
              <w:jc w:val="center"/>
              <w:rPr>
                <w:rFonts w:ascii="宋体" w:hAnsi="宋体"/>
                <w:b/>
                <w:color w:val="auto"/>
                <w:szCs w:val="21"/>
                <w:highlight w:val="none"/>
              </w:rPr>
            </w:pPr>
            <w:r>
              <w:rPr>
                <w:rFonts w:hint="eastAsia" w:ascii="宋体" w:hAnsi="宋体"/>
                <w:color w:val="auto"/>
                <w:szCs w:val="21"/>
                <w:highlight w:val="none"/>
              </w:rPr>
              <w:t>（1）</w:t>
            </w:r>
          </w:p>
        </w:tc>
        <w:tc>
          <w:tcPr>
            <w:tcW w:w="692" w:type="dxa"/>
            <w:gridSpan w:val="2"/>
            <w:vMerge w:val="restart"/>
            <w:vAlign w:val="center"/>
          </w:tcPr>
          <w:p>
            <w:pPr>
              <w:adjustRightInd w:val="0"/>
              <w:snapToGrid w:val="0"/>
              <w:jc w:val="center"/>
              <w:rPr>
                <w:rFonts w:ascii="宋体" w:hAnsi="宋体"/>
                <w:b/>
                <w:color w:val="auto"/>
                <w:szCs w:val="21"/>
                <w:highlight w:val="none"/>
              </w:rPr>
            </w:pPr>
            <w:r>
              <w:rPr>
                <w:rFonts w:hint="eastAsia" w:ascii="宋体" w:hAnsi="宋体"/>
                <w:color w:val="auto"/>
                <w:szCs w:val="21"/>
                <w:highlight w:val="none"/>
              </w:rPr>
              <w:t>施工组织设计</w:t>
            </w:r>
          </w:p>
        </w:tc>
        <w:tc>
          <w:tcPr>
            <w:tcW w:w="538" w:type="dxa"/>
            <w:vMerge w:val="restart"/>
            <w:vAlign w:val="center"/>
          </w:tcPr>
          <w:p>
            <w:pPr>
              <w:adjustRightInd w:val="0"/>
              <w:snapToGrid w:val="0"/>
              <w:jc w:val="center"/>
              <w:rPr>
                <w:rFonts w:ascii="宋体" w:hAnsi="宋体"/>
                <w:b/>
                <w:color w:val="auto"/>
                <w:szCs w:val="21"/>
                <w:highlight w:val="none"/>
              </w:rPr>
            </w:pPr>
            <w:r>
              <w:rPr>
                <w:rFonts w:ascii="宋体" w:hAnsi="宋体"/>
                <w:color w:val="auto"/>
                <w:szCs w:val="21"/>
                <w:highlight w:val="none"/>
              </w:rPr>
              <w:t>20</w:t>
            </w:r>
            <w:r>
              <w:rPr>
                <w:rFonts w:hint="eastAsia" w:ascii="宋体" w:hAnsi="宋体"/>
                <w:color w:val="auto"/>
                <w:szCs w:val="21"/>
                <w:highlight w:val="none"/>
              </w:rPr>
              <w:t>分</w:t>
            </w:r>
          </w:p>
        </w:tc>
        <w:tc>
          <w:tcPr>
            <w:tcW w:w="987" w:type="dxa"/>
            <w:vAlign w:val="center"/>
          </w:tcPr>
          <w:p>
            <w:pPr>
              <w:adjustRightInd w:val="0"/>
              <w:snapToGrid w:val="0"/>
              <w:jc w:val="center"/>
              <w:rPr>
                <w:rFonts w:ascii="宋体" w:hAnsi="宋体"/>
                <w:b/>
                <w:color w:val="auto"/>
                <w:szCs w:val="21"/>
                <w:highlight w:val="none"/>
              </w:rPr>
            </w:pPr>
            <w:r>
              <w:rPr>
                <w:rFonts w:hint="eastAsia" w:ascii="宋体" w:hAnsi="宋体" w:cs="宋体"/>
                <w:bCs/>
                <w:color w:val="auto"/>
                <w:szCs w:val="21"/>
                <w:highlight w:val="none"/>
                <w:lang w:val="zh-CN"/>
              </w:rPr>
              <w:t>项目整体解决方案</w:t>
            </w:r>
          </w:p>
        </w:tc>
        <w:tc>
          <w:tcPr>
            <w:tcW w:w="550"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2</w:t>
            </w:r>
          </w:p>
        </w:tc>
        <w:tc>
          <w:tcPr>
            <w:tcW w:w="5628" w:type="dxa"/>
            <w:vAlign w:val="center"/>
          </w:tcPr>
          <w:p>
            <w:pPr>
              <w:widowControl/>
              <w:tabs>
                <w:tab w:val="right" w:pos="2100"/>
              </w:tabs>
              <w:snapToGrid w:val="0"/>
              <w:spacing w:line="360" w:lineRule="atLeast"/>
              <w:ind w:firstLine="210"/>
              <w:rPr>
                <w:rFonts w:ascii="宋体" w:hAnsi="宋体"/>
                <w:color w:val="auto"/>
                <w:kern w:val="0"/>
                <w:szCs w:val="21"/>
                <w:highlight w:val="none"/>
              </w:rPr>
            </w:pPr>
            <w:r>
              <w:rPr>
                <w:rFonts w:hint="eastAsia" w:ascii="宋体" w:hAnsi="宋体"/>
                <w:color w:val="auto"/>
                <w:kern w:val="0"/>
                <w:szCs w:val="21"/>
                <w:highlight w:val="none"/>
              </w:rPr>
              <w:t>一般，得</w:t>
            </w:r>
            <w:r>
              <w:rPr>
                <w:rFonts w:ascii="宋体" w:hAnsi="宋体"/>
                <w:color w:val="auto"/>
                <w:kern w:val="0"/>
                <w:szCs w:val="21"/>
                <w:highlight w:val="none"/>
              </w:rPr>
              <w:t>1.2</w:t>
            </w:r>
            <w:r>
              <w:rPr>
                <w:rFonts w:hint="eastAsia" w:ascii="宋体" w:hAnsi="宋体"/>
                <w:color w:val="auto"/>
                <w:kern w:val="0"/>
                <w:szCs w:val="21"/>
                <w:highlight w:val="none"/>
              </w:rPr>
              <w:t>～</w:t>
            </w:r>
            <w:r>
              <w:rPr>
                <w:rFonts w:ascii="宋体" w:hAnsi="宋体"/>
                <w:color w:val="auto"/>
                <w:kern w:val="0"/>
                <w:szCs w:val="21"/>
                <w:highlight w:val="none"/>
              </w:rPr>
              <w:t>1.6</w:t>
            </w:r>
            <w:r>
              <w:rPr>
                <w:rFonts w:hint="eastAsia" w:ascii="宋体" w:hAnsi="宋体"/>
                <w:color w:val="auto"/>
                <w:kern w:val="0"/>
                <w:szCs w:val="21"/>
                <w:highlight w:val="none"/>
              </w:rPr>
              <w:t>分；</w:t>
            </w:r>
          </w:p>
          <w:p>
            <w:pPr>
              <w:widowControl/>
              <w:snapToGrid w:val="0"/>
              <w:spacing w:line="360" w:lineRule="auto"/>
              <w:ind w:firstLine="210" w:firstLineChars="100"/>
              <w:rPr>
                <w:rFonts w:ascii="宋体" w:hAnsi="宋体"/>
                <w:b/>
                <w:color w:val="auto"/>
                <w:szCs w:val="21"/>
                <w:highlight w:val="none"/>
              </w:rPr>
            </w:pPr>
            <w:r>
              <w:rPr>
                <w:rFonts w:hint="eastAsia" w:ascii="宋体" w:hAnsi="宋体"/>
                <w:color w:val="auto"/>
                <w:kern w:val="0"/>
                <w:szCs w:val="21"/>
                <w:highlight w:val="none"/>
              </w:rPr>
              <w:t>较好，得</w:t>
            </w:r>
            <w:r>
              <w:rPr>
                <w:rFonts w:ascii="宋体" w:hAnsi="宋体"/>
                <w:color w:val="auto"/>
                <w:kern w:val="0"/>
                <w:szCs w:val="21"/>
                <w:highlight w:val="none"/>
              </w:rPr>
              <w:t>1.6</w:t>
            </w:r>
            <w:r>
              <w:rPr>
                <w:rFonts w:hint="eastAsia" w:ascii="宋体" w:hAnsi="宋体"/>
                <w:color w:val="auto"/>
                <w:kern w:val="0"/>
                <w:szCs w:val="21"/>
                <w:highlight w:val="none"/>
              </w:rPr>
              <w:t>～</w:t>
            </w:r>
            <w:r>
              <w:rPr>
                <w:rFonts w:ascii="宋体" w:hAnsi="宋体"/>
                <w:color w:val="auto"/>
                <w:kern w:val="0"/>
                <w:szCs w:val="21"/>
                <w:highlight w:val="none"/>
              </w:rPr>
              <w:t>2.0</w:t>
            </w:r>
            <w:r>
              <w:rPr>
                <w:rFonts w:hint="eastAsia" w:ascii="宋体" w:hAnsi="宋体"/>
                <w:color w:val="auto"/>
                <w:kern w:val="0"/>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59" w:type="dxa"/>
            <w:vMerge w:val="continue"/>
            <w:vAlign w:val="center"/>
          </w:tcPr>
          <w:p>
            <w:pPr>
              <w:adjustRightInd w:val="0"/>
              <w:snapToGrid w:val="0"/>
              <w:jc w:val="center"/>
              <w:rPr>
                <w:rFonts w:ascii="宋体" w:hAnsi="宋体"/>
                <w:b/>
                <w:color w:val="auto"/>
                <w:szCs w:val="21"/>
                <w:highlight w:val="none"/>
              </w:rPr>
            </w:pPr>
          </w:p>
        </w:tc>
        <w:tc>
          <w:tcPr>
            <w:tcW w:w="692" w:type="dxa"/>
            <w:gridSpan w:val="2"/>
            <w:vMerge w:val="continue"/>
            <w:vAlign w:val="center"/>
          </w:tcPr>
          <w:p>
            <w:pPr>
              <w:adjustRightInd w:val="0"/>
              <w:snapToGrid w:val="0"/>
              <w:jc w:val="center"/>
              <w:rPr>
                <w:rFonts w:ascii="宋体" w:hAnsi="宋体"/>
                <w:b/>
                <w:color w:val="auto"/>
                <w:szCs w:val="21"/>
                <w:highlight w:val="none"/>
              </w:rPr>
            </w:pPr>
          </w:p>
        </w:tc>
        <w:tc>
          <w:tcPr>
            <w:tcW w:w="538" w:type="dxa"/>
            <w:vMerge w:val="continue"/>
            <w:vAlign w:val="center"/>
          </w:tcPr>
          <w:p>
            <w:pPr>
              <w:adjustRightInd w:val="0"/>
              <w:snapToGrid w:val="0"/>
              <w:jc w:val="center"/>
              <w:rPr>
                <w:rFonts w:ascii="宋体" w:hAnsi="宋体"/>
                <w:b/>
                <w:color w:val="auto"/>
                <w:szCs w:val="21"/>
                <w:highlight w:val="none"/>
              </w:rPr>
            </w:pPr>
          </w:p>
        </w:tc>
        <w:tc>
          <w:tcPr>
            <w:tcW w:w="987" w:type="dxa"/>
            <w:vAlign w:val="center"/>
          </w:tcPr>
          <w:p>
            <w:pPr>
              <w:adjustRightInd w:val="0"/>
              <w:snapToGrid w:val="0"/>
              <w:jc w:val="center"/>
              <w:rPr>
                <w:rFonts w:ascii="宋体" w:hAnsi="宋体"/>
                <w:b/>
                <w:color w:val="auto"/>
                <w:szCs w:val="21"/>
                <w:highlight w:val="none"/>
              </w:rPr>
            </w:pPr>
            <w:r>
              <w:rPr>
                <w:rFonts w:hint="eastAsia" w:ascii="宋体" w:hAnsi="宋体" w:cs="宋体"/>
                <w:bCs/>
                <w:color w:val="auto"/>
                <w:szCs w:val="21"/>
                <w:highlight w:val="none"/>
                <w:lang w:val="zh-CN"/>
              </w:rPr>
              <w:t>主要工程项目的建设方案</w:t>
            </w:r>
          </w:p>
        </w:tc>
        <w:tc>
          <w:tcPr>
            <w:tcW w:w="550"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10</w:t>
            </w:r>
          </w:p>
        </w:tc>
        <w:tc>
          <w:tcPr>
            <w:tcW w:w="5628" w:type="dxa"/>
            <w:vAlign w:val="center"/>
          </w:tcPr>
          <w:p>
            <w:pPr>
              <w:widowControl/>
              <w:tabs>
                <w:tab w:val="right" w:pos="2100"/>
              </w:tabs>
              <w:snapToGrid w:val="0"/>
              <w:spacing w:line="360" w:lineRule="atLeast"/>
              <w:ind w:firstLine="210"/>
              <w:rPr>
                <w:rFonts w:ascii="宋体" w:hAnsi="宋体"/>
                <w:color w:val="auto"/>
                <w:kern w:val="0"/>
                <w:szCs w:val="21"/>
                <w:highlight w:val="none"/>
              </w:rPr>
            </w:pPr>
            <w:r>
              <w:rPr>
                <w:rFonts w:hint="eastAsia" w:ascii="宋体" w:hAnsi="宋体"/>
                <w:color w:val="auto"/>
                <w:kern w:val="0"/>
                <w:szCs w:val="21"/>
                <w:highlight w:val="none"/>
              </w:rPr>
              <w:t>一般，得</w:t>
            </w:r>
            <w:r>
              <w:rPr>
                <w:rFonts w:ascii="宋体" w:hAnsi="宋体"/>
                <w:color w:val="auto"/>
                <w:kern w:val="0"/>
                <w:szCs w:val="21"/>
                <w:highlight w:val="none"/>
              </w:rPr>
              <w:t>6.0</w:t>
            </w:r>
            <w:r>
              <w:rPr>
                <w:rFonts w:hint="eastAsia" w:ascii="宋体" w:hAnsi="宋体"/>
                <w:color w:val="auto"/>
                <w:kern w:val="0"/>
                <w:szCs w:val="21"/>
                <w:highlight w:val="none"/>
              </w:rPr>
              <w:t>～</w:t>
            </w:r>
            <w:r>
              <w:rPr>
                <w:rFonts w:ascii="宋体" w:hAnsi="宋体"/>
                <w:color w:val="auto"/>
                <w:kern w:val="0"/>
                <w:szCs w:val="21"/>
                <w:highlight w:val="none"/>
              </w:rPr>
              <w:t>8.0</w:t>
            </w:r>
            <w:r>
              <w:rPr>
                <w:rFonts w:hint="eastAsia" w:ascii="宋体" w:hAnsi="宋体"/>
                <w:color w:val="auto"/>
                <w:kern w:val="0"/>
                <w:szCs w:val="21"/>
                <w:highlight w:val="none"/>
              </w:rPr>
              <w:t>分；</w:t>
            </w:r>
          </w:p>
          <w:p>
            <w:pPr>
              <w:widowControl/>
              <w:snapToGrid w:val="0"/>
              <w:spacing w:line="360" w:lineRule="auto"/>
              <w:ind w:firstLine="210" w:firstLineChars="100"/>
              <w:rPr>
                <w:rFonts w:ascii="宋体" w:hAnsi="宋体"/>
                <w:b/>
                <w:color w:val="auto"/>
                <w:szCs w:val="21"/>
                <w:highlight w:val="none"/>
              </w:rPr>
            </w:pPr>
            <w:r>
              <w:rPr>
                <w:rFonts w:hint="eastAsia" w:ascii="宋体" w:hAnsi="宋体"/>
                <w:color w:val="auto"/>
                <w:kern w:val="0"/>
                <w:szCs w:val="21"/>
                <w:highlight w:val="none"/>
              </w:rPr>
              <w:t>较好，得</w:t>
            </w:r>
            <w:r>
              <w:rPr>
                <w:rFonts w:ascii="宋体" w:hAnsi="宋体"/>
                <w:color w:val="auto"/>
                <w:kern w:val="0"/>
                <w:szCs w:val="21"/>
                <w:highlight w:val="none"/>
              </w:rPr>
              <w:t>8.0</w:t>
            </w:r>
            <w:r>
              <w:rPr>
                <w:rFonts w:hint="eastAsia" w:ascii="宋体" w:hAnsi="宋体"/>
                <w:color w:val="auto"/>
                <w:kern w:val="0"/>
                <w:szCs w:val="21"/>
                <w:highlight w:val="none"/>
              </w:rPr>
              <w:t>～</w:t>
            </w:r>
            <w:r>
              <w:rPr>
                <w:rFonts w:ascii="宋体" w:hAnsi="宋体"/>
                <w:color w:val="auto"/>
                <w:kern w:val="0"/>
                <w:szCs w:val="21"/>
                <w:highlight w:val="none"/>
              </w:rPr>
              <w:t>10.0</w:t>
            </w:r>
            <w:r>
              <w:rPr>
                <w:rFonts w:hint="eastAsia" w:ascii="宋体" w:hAnsi="宋体"/>
                <w:color w:val="auto"/>
                <w:kern w:val="0"/>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59" w:type="dxa"/>
            <w:vMerge w:val="continue"/>
            <w:vAlign w:val="center"/>
          </w:tcPr>
          <w:p>
            <w:pPr>
              <w:adjustRightInd w:val="0"/>
              <w:snapToGrid w:val="0"/>
              <w:jc w:val="center"/>
              <w:rPr>
                <w:rFonts w:ascii="宋体" w:hAnsi="宋体"/>
                <w:b/>
                <w:color w:val="auto"/>
                <w:szCs w:val="21"/>
                <w:highlight w:val="none"/>
              </w:rPr>
            </w:pPr>
          </w:p>
        </w:tc>
        <w:tc>
          <w:tcPr>
            <w:tcW w:w="692" w:type="dxa"/>
            <w:gridSpan w:val="2"/>
            <w:vMerge w:val="continue"/>
            <w:vAlign w:val="center"/>
          </w:tcPr>
          <w:p>
            <w:pPr>
              <w:adjustRightInd w:val="0"/>
              <w:snapToGrid w:val="0"/>
              <w:jc w:val="center"/>
              <w:rPr>
                <w:rFonts w:ascii="宋体" w:hAnsi="宋体"/>
                <w:b/>
                <w:color w:val="auto"/>
                <w:szCs w:val="21"/>
                <w:highlight w:val="none"/>
              </w:rPr>
            </w:pPr>
          </w:p>
        </w:tc>
        <w:tc>
          <w:tcPr>
            <w:tcW w:w="538" w:type="dxa"/>
            <w:vMerge w:val="continue"/>
            <w:vAlign w:val="center"/>
          </w:tcPr>
          <w:p>
            <w:pPr>
              <w:adjustRightInd w:val="0"/>
              <w:snapToGrid w:val="0"/>
              <w:jc w:val="center"/>
              <w:rPr>
                <w:rFonts w:ascii="宋体" w:hAnsi="宋体"/>
                <w:b/>
                <w:color w:val="auto"/>
                <w:szCs w:val="21"/>
                <w:highlight w:val="none"/>
              </w:rPr>
            </w:pPr>
          </w:p>
        </w:tc>
        <w:tc>
          <w:tcPr>
            <w:tcW w:w="987" w:type="dxa"/>
            <w:vAlign w:val="center"/>
          </w:tcPr>
          <w:p>
            <w:pPr>
              <w:adjustRightInd w:val="0"/>
              <w:snapToGrid w:val="0"/>
              <w:jc w:val="center"/>
              <w:rPr>
                <w:rFonts w:ascii="宋体" w:hAnsi="宋体" w:cs="宋体"/>
                <w:bCs/>
                <w:color w:val="auto"/>
                <w:szCs w:val="21"/>
                <w:highlight w:val="none"/>
                <w:lang w:val="zh-CN"/>
              </w:rPr>
            </w:pPr>
            <w:r>
              <w:rPr>
                <w:rFonts w:hint="eastAsia" w:ascii="宋体" w:hAnsi="宋体" w:cs="宋体"/>
                <w:bCs/>
                <w:color w:val="auto"/>
                <w:szCs w:val="21"/>
                <w:highlight w:val="none"/>
                <w:lang w:val="zh-CN"/>
              </w:rPr>
              <w:t>人员组织方案</w:t>
            </w:r>
          </w:p>
        </w:tc>
        <w:tc>
          <w:tcPr>
            <w:tcW w:w="550" w:type="dxa"/>
            <w:vAlign w:val="center"/>
          </w:tcPr>
          <w:p>
            <w:pPr>
              <w:adjustRightInd w:val="0"/>
              <w:snapToGrid w:val="0"/>
              <w:jc w:val="center"/>
              <w:rPr>
                <w:rFonts w:ascii="宋体" w:hAnsi="宋体"/>
                <w:bCs/>
                <w:color w:val="auto"/>
                <w:szCs w:val="21"/>
                <w:highlight w:val="none"/>
              </w:rPr>
            </w:pPr>
            <w:r>
              <w:rPr>
                <w:rFonts w:hint="eastAsia" w:ascii="宋体" w:hAnsi="宋体"/>
                <w:bCs/>
                <w:color w:val="auto"/>
                <w:szCs w:val="21"/>
                <w:highlight w:val="none"/>
              </w:rPr>
              <w:t>2</w:t>
            </w:r>
          </w:p>
        </w:tc>
        <w:tc>
          <w:tcPr>
            <w:tcW w:w="5628" w:type="dxa"/>
            <w:vAlign w:val="center"/>
          </w:tcPr>
          <w:p>
            <w:pPr>
              <w:widowControl/>
              <w:tabs>
                <w:tab w:val="right" w:pos="2100"/>
              </w:tabs>
              <w:snapToGrid w:val="0"/>
              <w:spacing w:line="360" w:lineRule="atLeast"/>
              <w:ind w:firstLine="210"/>
              <w:rPr>
                <w:rFonts w:ascii="宋体" w:hAnsi="宋体"/>
                <w:color w:val="auto"/>
                <w:kern w:val="0"/>
                <w:szCs w:val="21"/>
                <w:highlight w:val="none"/>
              </w:rPr>
            </w:pPr>
            <w:r>
              <w:rPr>
                <w:rFonts w:hint="eastAsia" w:ascii="宋体" w:hAnsi="宋体"/>
                <w:color w:val="auto"/>
                <w:kern w:val="0"/>
                <w:szCs w:val="21"/>
                <w:highlight w:val="none"/>
              </w:rPr>
              <w:t>一般，得</w:t>
            </w:r>
            <w:r>
              <w:rPr>
                <w:rFonts w:ascii="宋体" w:hAnsi="宋体"/>
                <w:color w:val="auto"/>
                <w:kern w:val="0"/>
                <w:szCs w:val="21"/>
                <w:highlight w:val="none"/>
              </w:rPr>
              <w:t>1.2</w:t>
            </w:r>
            <w:r>
              <w:rPr>
                <w:rFonts w:hint="eastAsia" w:ascii="宋体" w:hAnsi="宋体"/>
                <w:color w:val="auto"/>
                <w:kern w:val="0"/>
                <w:szCs w:val="21"/>
                <w:highlight w:val="none"/>
              </w:rPr>
              <w:t>～</w:t>
            </w:r>
            <w:r>
              <w:rPr>
                <w:rFonts w:ascii="宋体" w:hAnsi="宋体"/>
                <w:color w:val="auto"/>
                <w:kern w:val="0"/>
                <w:szCs w:val="21"/>
                <w:highlight w:val="none"/>
              </w:rPr>
              <w:t>1.6</w:t>
            </w:r>
            <w:r>
              <w:rPr>
                <w:rFonts w:hint="eastAsia" w:ascii="宋体" w:hAnsi="宋体"/>
                <w:color w:val="auto"/>
                <w:kern w:val="0"/>
                <w:szCs w:val="21"/>
                <w:highlight w:val="none"/>
              </w:rPr>
              <w:t>分；</w:t>
            </w:r>
          </w:p>
          <w:p>
            <w:pPr>
              <w:widowControl/>
              <w:snapToGrid w:val="0"/>
              <w:spacing w:line="360" w:lineRule="auto"/>
              <w:ind w:firstLine="210" w:firstLineChars="100"/>
              <w:rPr>
                <w:rFonts w:ascii="宋体" w:hAnsi="宋体"/>
                <w:b/>
                <w:color w:val="auto"/>
                <w:szCs w:val="21"/>
                <w:highlight w:val="none"/>
              </w:rPr>
            </w:pPr>
            <w:r>
              <w:rPr>
                <w:rFonts w:hint="eastAsia" w:ascii="宋体" w:hAnsi="宋体"/>
                <w:color w:val="auto"/>
                <w:kern w:val="0"/>
                <w:szCs w:val="21"/>
                <w:highlight w:val="none"/>
              </w:rPr>
              <w:t>较好，得</w:t>
            </w:r>
            <w:r>
              <w:rPr>
                <w:rFonts w:ascii="宋体" w:hAnsi="宋体"/>
                <w:color w:val="auto"/>
                <w:kern w:val="0"/>
                <w:szCs w:val="21"/>
                <w:highlight w:val="none"/>
              </w:rPr>
              <w:t>1.6</w:t>
            </w:r>
            <w:r>
              <w:rPr>
                <w:rFonts w:hint="eastAsia" w:ascii="宋体" w:hAnsi="宋体"/>
                <w:color w:val="auto"/>
                <w:kern w:val="0"/>
                <w:szCs w:val="21"/>
                <w:highlight w:val="none"/>
              </w:rPr>
              <w:t>～</w:t>
            </w:r>
            <w:r>
              <w:rPr>
                <w:rFonts w:ascii="宋体" w:hAnsi="宋体"/>
                <w:color w:val="auto"/>
                <w:kern w:val="0"/>
                <w:szCs w:val="21"/>
                <w:highlight w:val="none"/>
              </w:rPr>
              <w:t>2.0</w:t>
            </w:r>
            <w:r>
              <w:rPr>
                <w:rFonts w:hint="eastAsia" w:ascii="宋体" w:hAnsi="宋体"/>
                <w:color w:val="auto"/>
                <w:kern w:val="0"/>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59" w:type="dxa"/>
            <w:vMerge w:val="continue"/>
            <w:vAlign w:val="center"/>
          </w:tcPr>
          <w:p>
            <w:pPr>
              <w:adjustRightInd w:val="0"/>
              <w:snapToGrid w:val="0"/>
              <w:jc w:val="center"/>
              <w:rPr>
                <w:rFonts w:ascii="宋体" w:hAnsi="宋体"/>
                <w:b/>
                <w:color w:val="auto"/>
                <w:szCs w:val="21"/>
                <w:highlight w:val="none"/>
              </w:rPr>
            </w:pPr>
          </w:p>
        </w:tc>
        <w:tc>
          <w:tcPr>
            <w:tcW w:w="692" w:type="dxa"/>
            <w:gridSpan w:val="2"/>
            <w:vMerge w:val="continue"/>
            <w:vAlign w:val="center"/>
          </w:tcPr>
          <w:p>
            <w:pPr>
              <w:adjustRightInd w:val="0"/>
              <w:snapToGrid w:val="0"/>
              <w:jc w:val="center"/>
              <w:rPr>
                <w:rFonts w:ascii="宋体" w:hAnsi="宋体"/>
                <w:b/>
                <w:color w:val="auto"/>
                <w:szCs w:val="21"/>
                <w:highlight w:val="none"/>
              </w:rPr>
            </w:pPr>
          </w:p>
        </w:tc>
        <w:tc>
          <w:tcPr>
            <w:tcW w:w="538" w:type="dxa"/>
            <w:vMerge w:val="continue"/>
            <w:vAlign w:val="center"/>
          </w:tcPr>
          <w:p>
            <w:pPr>
              <w:adjustRightInd w:val="0"/>
              <w:snapToGrid w:val="0"/>
              <w:jc w:val="center"/>
              <w:rPr>
                <w:rFonts w:ascii="宋体" w:hAnsi="宋体"/>
                <w:b/>
                <w:color w:val="auto"/>
                <w:szCs w:val="21"/>
                <w:highlight w:val="none"/>
              </w:rPr>
            </w:pPr>
          </w:p>
        </w:tc>
        <w:tc>
          <w:tcPr>
            <w:tcW w:w="987" w:type="dxa"/>
            <w:vAlign w:val="center"/>
          </w:tcPr>
          <w:p>
            <w:pPr>
              <w:snapToGrid w:val="0"/>
              <w:jc w:val="left"/>
              <w:rPr>
                <w:rFonts w:ascii="宋体" w:hAnsi="宋体" w:cs="宋体"/>
                <w:bCs/>
                <w:color w:val="auto"/>
                <w:szCs w:val="21"/>
                <w:highlight w:val="none"/>
                <w:lang w:val="zh-CN"/>
              </w:rPr>
            </w:pPr>
            <w:r>
              <w:rPr>
                <w:rFonts w:hint="eastAsia" w:ascii="宋体" w:hAnsi="宋体" w:cs="宋体"/>
                <w:bCs/>
                <w:color w:val="auto"/>
                <w:szCs w:val="21"/>
                <w:highlight w:val="none"/>
                <w:lang w:val="zh-CN"/>
              </w:rPr>
              <w:t>工期、质量、安全保证措施</w:t>
            </w:r>
          </w:p>
        </w:tc>
        <w:tc>
          <w:tcPr>
            <w:tcW w:w="550" w:type="dxa"/>
            <w:vAlign w:val="center"/>
          </w:tcPr>
          <w:p>
            <w:pPr>
              <w:autoSpaceDE w:val="0"/>
              <w:autoSpaceDN w:val="0"/>
              <w:adjustRightInd w:val="0"/>
              <w:snapToGrid w:val="0"/>
              <w:jc w:val="center"/>
              <w:rPr>
                <w:rFonts w:ascii="宋体" w:hAnsi="宋体"/>
                <w:bCs/>
                <w:color w:val="auto"/>
                <w:szCs w:val="21"/>
                <w:highlight w:val="none"/>
              </w:rPr>
            </w:pPr>
            <w:r>
              <w:rPr>
                <w:rFonts w:ascii="宋体" w:hAnsi="宋体" w:cs="宋体"/>
                <w:bCs/>
                <w:color w:val="auto"/>
                <w:szCs w:val="21"/>
                <w:highlight w:val="none"/>
                <w:lang w:val="zh-CN"/>
              </w:rPr>
              <w:t>4</w:t>
            </w:r>
          </w:p>
        </w:tc>
        <w:tc>
          <w:tcPr>
            <w:tcW w:w="5628" w:type="dxa"/>
            <w:vAlign w:val="center"/>
          </w:tcPr>
          <w:p>
            <w:pPr>
              <w:widowControl/>
              <w:tabs>
                <w:tab w:val="right" w:pos="2100"/>
              </w:tabs>
              <w:snapToGrid w:val="0"/>
              <w:spacing w:line="360" w:lineRule="atLeast"/>
              <w:ind w:firstLine="210"/>
              <w:rPr>
                <w:rFonts w:ascii="宋体" w:hAnsi="宋体"/>
                <w:color w:val="auto"/>
                <w:kern w:val="0"/>
                <w:szCs w:val="21"/>
                <w:highlight w:val="none"/>
              </w:rPr>
            </w:pPr>
            <w:r>
              <w:rPr>
                <w:rFonts w:hint="eastAsia" w:ascii="宋体" w:hAnsi="宋体"/>
                <w:color w:val="auto"/>
                <w:kern w:val="0"/>
                <w:szCs w:val="21"/>
                <w:highlight w:val="none"/>
              </w:rPr>
              <w:t>一般，得</w:t>
            </w:r>
            <w:r>
              <w:rPr>
                <w:rFonts w:ascii="宋体" w:hAnsi="宋体"/>
                <w:color w:val="auto"/>
                <w:kern w:val="0"/>
                <w:szCs w:val="21"/>
                <w:highlight w:val="none"/>
              </w:rPr>
              <w:t>2.4</w:t>
            </w:r>
            <w:r>
              <w:rPr>
                <w:rFonts w:hint="eastAsia" w:ascii="宋体" w:hAnsi="宋体"/>
                <w:color w:val="auto"/>
                <w:kern w:val="0"/>
                <w:szCs w:val="21"/>
                <w:highlight w:val="none"/>
              </w:rPr>
              <w:t>～</w:t>
            </w:r>
            <w:r>
              <w:rPr>
                <w:rFonts w:ascii="宋体" w:hAnsi="宋体"/>
                <w:color w:val="auto"/>
                <w:kern w:val="0"/>
                <w:szCs w:val="21"/>
                <w:highlight w:val="none"/>
              </w:rPr>
              <w:t>3.2</w:t>
            </w:r>
            <w:r>
              <w:rPr>
                <w:rFonts w:hint="eastAsia" w:ascii="宋体" w:hAnsi="宋体"/>
                <w:color w:val="auto"/>
                <w:kern w:val="0"/>
                <w:szCs w:val="21"/>
                <w:highlight w:val="none"/>
              </w:rPr>
              <w:t>分；</w:t>
            </w:r>
          </w:p>
          <w:p>
            <w:pPr>
              <w:widowControl/>
              <w:tabs>
                <w:tab w:val="right" w:pos="2100"/>
              </w:tabs>
              <w:snapToGrid w:val="0"/>
              <w:spacing w:line="340" w:lineRule="atLeast"/>
              <w:ind w:firstLine="210"/>
              <w:rPr>
                <w:rFonts w:ascii="宋体" w:hAnsi="宋体"/>
                <w:b/>
                <w:color w:val="auto"/>
                <w:szCs w:val="21"/>
                <w:highlight w:val="none"/>
              </w:rPr>
            </w:pPr>
            <w:r>
              <w:rPr>
                <w:rFonts w:hint="eastAsia" w:ascii="宋体" w:hAnsi="宋体"/>
                <w:color w:val="auto"/>
                <w:kern w:val="0"/>
                <w:szCs w:val="21"/>
                <w:highlight w:val="none"/>
              </w:rPr>
              <w:t>较好，得</w:t>
            </w:r>
            <w:r>
              <w:rPr>
                <w:rFonts w:ascii="宋体" w:hAnsi="宋体"/>
                <w:color w:val="auto"/>
                <w:kern w:val="0"/>
                <w:szCs w:val="21"/>
                <w:highlight w:val="none"/>
              </w:rPr>
              <w:t>3.2</w:t>
            </w:r>
            <w:r>
              <w:rPr>
                <w:rFonts w:hint="eastAsia" w:ascii="宋体" w:hAnsi="宋体"/>
                <w:color w:val="auto"/>
                <w:kern w:val="0"/>
                <w:szCs w:val="21"/>
                <w:highlight w:val="none"/>
              </w:rPr>
              <w:t>～</w:t>
            </w:r>
            <w:r>
              <w:rPr>
                <w:rFonts w:ascii="宋体" w:hAnsi="宋体"/>
                <w:color w:val="auto"/>
                <w:kern w:val="0"/>
                <w:szCs w:val="21"/>
                <w:highlight w:val="none"/>
              </w:rPr>
              <w:t>4.0</w:t>
            </w:r>
            <w:r>
              <w:rPr>
                <w:rFonts w:hint="eastAsia" w:ascii="宋体" w:hAnsi="宋体"/>
                <w:color w:val="auto"/>
                <w:kern w:val="0"/>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67" w:hRule="atLeast"/>
          <w:tblHeader/>
        </w:trPr>
        <w:tc>
          <w:tcPr>
            <w:tcW w:w="659" w:type="dxa"/>
            <w:vMerge w:val="continue"/>
            <w:vAlign w:val="center"/>
          </w:tcPr>
          <w:p>
            <w:pPr>
              <w:adjustRightInd w:val="0"/>
              <w:snapToGrid w:val="0"/>
              <w:jc w:val="center"/>
              <w:rPr>
                <w:rFonts w:ascii="宋体" w:hAnsi="宋体"/>
                <w:b/>
                <w:color w:val="auto"/>
                <w:szCs w:val="21"/>
                <w:highlight w:val="none"/>
              </w:rPr>
            </w:pPr>
          </w:p>
        </w:tc>
        <w:tc>
          <w:tcPr>
            <w:tcW w:w="692" w:type="dxa"/>
            <w:gridSpan w:val="2"/>
            <w:vMerge w:val="continue"/>
            <w:vAlign w:val="center"/>
          </w:tcPr>
          <w:p>
            <w:pPr>
              <w:adjustRightInd w:val="0"/>
              <w:snapToGrid w:val="0"/>
              <w:jc w:val="center"/>
              <w:rPr>
                <w:rFonts w:ascii="宋体" w:hAnsi="宋体"/>
                <w:b/>
                <w:color w:val="auto"/>
                <w:szCs w:val="21"/>
                <w:highlight w:val="none"/>
              </w:rPr>
            </w:pPr>
          </w:p>
        </w:tc>
        <w:tc>
          <w:tcPr>
            <w:tcW w:w="538" w:type="dxa"/>
            <w:vMerge w:val="continue"/>
            <w:vAlign w:val="center"/>
          </w:tcPr>
          <w:p>
            <w:pPr>
              <w:adjustRightInd w:val="0"/>
              <w:snapToGrid w:val="0"/>
              <w:jc w:val="center"/>
              <w:rPr>
                <w:rFonts w:ascii="宋体" w:hAnsi="宋体"/>
                <w:b/>
                <w:color w:val="auto"/>
                <w:szCs w:val="21"/>
                <w:highlight w:val="none"/>
              </w:rPr>
            </w:pPr>
          </w:p>
        </w:tc>
        <w:tc>
          <w:tcPr>
            <w:tcW w:w="987" w:type="dxa"/>
            <w:vAlign w:val="center"/>
          </w:tcPr>
          <w:p>
            <w:pPr>
              <w:snapToGrid w:val="0"/>
              <w:jc w:val="left"/>
              <w:rPr>
                <w:rFonts w:ascii="宋体" w:hAnsi="宋体"/>
                <w:b/>
                <w:color w:val="auto"/>
                <w:szCs w:val="21"/>
                <w:highlight w:val="none"/>
              </w:rPr>
            </w:pPr>
            <w:r>
              <w:rPr>
                <w:rFonts w:hint="eastAsia" w:ascii="宋体" w:hAnsi="宋体" w:cs="宋体"/>
                <w:bCs/>
                <w:color w:val="auto"/>
                <w:szCs w:val="21"/>
                <w:highlight w:val="none"/>
                <w:lang w:val="zh-CN"/>
              </w:rPr>
              <w:t>培训方案及售后服务</w:t>
            </w:r>
          </w:p>
        </w:tc>
        <w:tc>
          <w:tcPr>
            <w:tcW w:w="550" w:type="dxa"/>
            <w:vAlign w:val="center"/>
          </w:tcPr>
          <w:p>
            <w:pPr>
              <w:autoSpaceDE w:val="0"/>
              <w:autoSpaceDN w:val="0"/>
              <w:adjustRightInd w:val="0"/>
              <w:snapToGrid w:val="0"/>
              <w:jc w:val="center"/>
              <w:rPr>
                <w:rFonts w:ascii="宋体" w:hAnsi="宋体"/>
                <w:b/>
                <w:color w:val="auto"/>
                <w:szCs w:val="21"/>
                <w:highlight w:val="none"/>
              </w:rPr>
            </w:pPr>
            <w:r>
              <w:rPr>
                <w:rFonts w:hint="eastAsia" w:ascii="宋体" w:hAnsi="宋体" w:cs="宋体"/>
                <w:bCs/>
                <w:color w:val="auto"/>
                <w:szCs w:val="21"/>
                <w:highlight w:val="none"/>
                <w:lang w:val="zh-CN"/>
              </w:rPr>
              <w:t>2</w:t>
            </w:r>
          </w:p>
        </w:tc>
        <w:tc>
          <w:tcPr>
            <w:tcW w:w="5628" w:type="dxa"/>
            <w:vAlign w:val="center"/>
          </w:tcPr>
          <w:p>
            <w:pPr>
              <w:widowControl/>
              <w:tabs>
                <w:tab w:val="right" w:pos="2100"/>
              </w:tabs>
              <w:snapToGrid w:val="0"/>
              <w:spacing w:line="360" w:lineRule="atLeast"/>
              <w:ind w:firstLine="210"/>
              <w:rPr>
                <w:rFonts w:ascii="宋体" w:hAnsi="宋体"/>
                <w:color w:val="auto"/>
                <w:kern w:val="0"/>
                <w:szCs w:val="21"/>
                <w:highlight w:val="none"/>
              </w:rPr>
            </w:pPr>
            <w:r>
              <w:rPr>
                <w:rFonts w:hint="eastAsia" w:ascii="宋体" w:hAnsi="宋体"/>
                <w:color w:val="auto"/>
                <w:kern w:val="0"/>
                <w:szCs w:val="21"/>
                <w:highlight w:val="none"/>
              </w:rPr>
              <w:t>一般，得</w:t>
            </w:r>
            <w:r>
              <w:rPr>
                <w:rFonts w:ascii="宋体" w:hAnsi="宋体"/>
                <w:color w:val="auto"/>
                <w:kern w:val="0"/>
                <w:szCs w:val="21"/>
                <w:highlight w:val="none"/>
              </w:rPr>
              <w:t>1.2</w:t>
            </w:r>
            <w:r>
              <w:rPr>
                <w:rFonts w:hint="eastAsia" w:ascii="宋体" w:hAnsi="宋体"/>
                <w:color w:val="auto"/>
                <w:kern w:val="0"/>
                <w:szCs w:val="21"/>
                <w:highlight w:val="none"/>
              </w:rPr>
              <w:t>～</w:t>
            </w:r>
            <w:r>
              <w:rPr>
                <w:rFonts w:ascii="宋体" w:hAnsi="宋体"/>
                <w:color w:val="auto"/>
                <w:kern w:val="0"/>
                <w:szCs w:val="21"/>
                <w:highlight w:val="none"/>
              </w:rPr>
              <w:t>1.6</w:t>
            </w:r>
            <w:r>
              <w:rPr>
                <w:rFonts w:hint="eastAsia" w:ascii="宋体" w:hAnsi="宋体"/>
                <w:color w:val="auto"/>
                <w:kern w:val="0"/>
                <w:szCs w:val="21"/>
                <w:highlight w:val="none"/>
              </w:rPr>
              <w:t>分；</w:t>
            </w:r>
          </w:p>
          <w:p>
            <w:pPr>
              <w:widowControl/>
              <w:tabs>
                <w:tab w:val="right" w:pos="2100"/>
              </w:tabs>
              <w:snapToGrid w:val="0"/>
              <w:spacing w:line="340" w:lineRule="atLeast"/>
              <w:ind w:firstLine="210"/>
              <w:rPr>
                <w:rFonts w:ascii="宋体" w:hAnsi="宋体"/>
                <w:b/>
                <w:color w:val="auto"/>
                <w:szCs w:val="21"/>
                <w:highlight w:val="none"/>
              </w:rPr>
            </w:pPr>
            <w:r>
              <w:rPr>
                <w:rFonts w:hint="eastAsia" w:ascii="宋体" w:hAnsi="宋体"/>
                <w:color w:val="auto"/>
                <w:kern w:val="0"/>
                <w:szCs w:val="21"/>
                <w:highlight w:val="none"/>
              </w:rPr>
              <w:t>较好，得</w:t>
            </w:r>
            <w:r>
              <w:rPr>
                <w:rFonts w:ascii="宋体" w:hAnsi="宋体"/>
                <w:color w:val="auto"/>
                <w:kern w:val="0"/>
                <w:szCs w:val="21"/>
                <w:highlight w:val="none"/>
              </w:rPr>
              <w:t>1.6</w:t>
            </w:r>
            <w:r>
              <w:rPr>
                <w:rFonts w:hint="eastAsia" w:ascii="宋体" w:hAnsi="宋体"/>
                <w:color w:val="auto"/>
                <w:kern w:val="0"/>
                <w:szCs w:val="21"/>
                <w:highlight w:val="none"/>
              </w:rPr>
              <w:t>～</w:t>
            </w:r>
            <w:r>
              <w:rPr>
                <w:rFonts w:ascii="宋体" w:hAnsi="宋体"/>
                <w:color w:val="auto"/>
                <w:kern w:val="0"/>
                <w:szCs w:val="21"/>
                <w:highlight w:val="none"/>
              </w:rPr>
              <w:t>2.0</w:t>
            </w:r>
            <w:r>
              <w:rPr>
                <w:rFonts w:hint="eastAsia" w:ascii="宋体" w:hAnsi="宋体"/>
                <w:color w:val="auto"/>
                <w:kern w:val="0"/>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659" w:type="dxa"/>
            <w:vMerge w:val="restar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2.2.4</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（2）</w:t>
            </w:r>
          </w:p>
        </w:tc>
        <w:tc>
          <w:tcPr>
            <w:tcW w:w="692" w:type="dxa"/>
            <w:gridSpan w:val="2"/>
            <w:vMerge w:val="restart"/>
            <w:textDirection w:val="tbRlV"/>
            <w:vAlign w:val="center"/>
          </w:tcPr>
          <w:p>
            <w:pPr>
              <w:adjustRightInd w:val="0"/>
              <w:snapToGrid w:val="0"/>
              <w:ind w:left="113" w:right="113"/>
              <w:jc w:val="center"/>
              <w:rPr>
                <w:rFonts w:ascii="宋体" w:hAnsi="宋体"/>
                <w:color w:val="auto"/>
                <w:szCs w:val="21"/>
                <w:highlight w:val="none"/>
              </w:rPr>
            </w:pPr>
            <w:r>
              <w:rPr>
                <w:rFonts w:hint="eastAsia" w:ascii="宋体" w:hAnsi="宋体"/>
                <w:snapToGrid w:val="0"/>
                <w:color w:val="auto"/>
                <w:kern w:val="0"/>
                <w:szCs w:val="21"/>
                <w:highlight w:val="none"/>
              </w:rPr>
              <w:t>主要人员</w:t>
            </w:r>
          </w:p>
        </w:tc>
        <w:tc>
          <w:tcPr>
            <w:tcW w:w="538" w:type="dxa"/>
            <w:vMerge w:val="restart"/>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10分</w:t>
            </w:r>
          </w:p>
        </w:tc>
        <w:tc>
          <w:tcPr>
            <w:tcW w:w="987"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项目经理</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任职业绩</w:t>
            </w:r>
          </w:p>
        </w:tc>
        <w:tc>
          <w:tcPr>
            <w:tcW w:w="550"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6分</w:t>
            </w:r>
          </w:p>
        </w:tc>
        <w:tc>
          <w:tcPr>
            <w:tcW w:w="5628" w:type="dxa"/>
            <w:vAlign w:val="center"/>
          </w:tcPr>
          <w:p>
            <w:pPr>
              <w:adjustRightInd w:val="0"/>
              <w:snapToGrid w:val="0"/>
              <w:spacing w:line="360" w:lineRule="auto"/>
              <w:ind w:left="210" w:leftChars="100"/>
              <w:rPr>
                <w:rFonts w:ascii="宋体" w:hAnsi="宋体"/>
                <w:color w:val="auto"/>
                <w:szCs w:val="21"/>
                <w:highlight w:val="none"/>
              </w:rPr>
            </w:pPr>
            <w:r>
              <w:rPr>
                <w:rFonts w:hint="eastAsia" w:ascii="宋体" w:hAnsi="宋体"/>
                <w:color w:val="auto"/>
                <w:szCs w:val="21"/>
                <w:highlight w:val="none"/>
              </w:rPr>
              <w:t>满足资格审查条件最低要求，得</w:t>
            </w:r>
            <w:r>
              <w:rPr>
                <w:rFonts w:ascii="宋体" w:hAnsi="宋体"/>
                <w:color w:val="auto"/>
                <w:szCs w:val="21"/>
                <w:highlight w:val="none"/>
              </w:rPr>
              <w:t>3.6</w:t>
            </w:r>
            <w:r>
              <w:rPr>
                <w:rFonts w:hint="eastAsia" w:ascii="宋体" w:hAnsi="宋体"/>
                <w:color w:val="auto"/>
                <w:szCs w:val="21"/>
                <w:highlight w:val="none"/>
              </w:rPr>
              <w:t>分；</w:t>
            </w:r>
          </w:p>
          <w:p>
            <w:pPr>
              <w:adjustRightInd w:val="0"/>
              <w:snapToGrid w:val="0"/>
              <w:spacing w:line="360" w:lineRule="auto"/>
              <w:ind w:left="210" w:leftChars="100"/>
              <w:rPr>
                <w:rFonts w:ascii="宋体" w:hAnsi="宋体"/>
                <w:color w:val="auto"/>
                <w:szCs w:val="21"/>
                <w:highlight w:val="none"/>
              </w:rPr>
            </w:pPr>
            <w:r>
              <w:rPr>
                <w:rFonts w:hint="eastAsia" w:ascii="宋体" w:hAnsi="宋体"/>
                <w:color w:val="auto"/>
                <w:szCs w:val="21"/>
                <w:highlight w:val="none"/>
              </w:rPr>
              <w:t>在最低要求的基础上，每增加1项高速公路机电工程的项目经理任职业绩加2.4分，最多加2.4分。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659" w:type="dxa"/>
            <w:vMerge w:val="continue"/>
            <w:vAlign w:val="center"/>
          </w:tcPr>
          <w:p>
            <w:pPr>
              <w:widowControl/>
              <w:snapToGrid w:val="0"/>
              <w:jc w:val="left"/>
              <w:rPr>
                <w:rFonts w:ascii="宋体" w:hAnsi="宋体"/>
                <w:color w:val="auto"/>
                <w:szCs w:val="21"/>
                <w:highlight w:val="none"/>
              </w:rPr>
            </w:pPr>
          </w:p>
        </w:tc>
        <w:tc>
          <w:tcPr>
            <w:tcW w:w="692" w:type="dxa"/>
            <w:gridSpan w:val="2"/>
            <w:vMerge w:val="continue"/>
            <w:vAlign w:val="center"/>
          </w:tcPr>
          <w:p>
            <w:pPr>
              <w:widowControl/>
              <w:snapToGrid w:val="0"/>
              <w:jc w:val="left"/>
              <w:rPr>
                <w:rFonts w:ascii="宋体" w:hAnsi="宋体"/>
                <w:color w:val="auto"/>
                <w:szCs w:val="21"/>
                <w:highlight w:val="none"/>
              </w:rPr>
            </w:pPr>
          </w:p>
        </w:tc>
        <w:tc>
          <w:tcPr>
            <w:tcW w:w="538" w:type="dxa"/>
            <w:vMerge w:val="continue"/>
            <w:vAlign w:val="center"/>
          </w:tcPr>
          <w:p>
            <w:pPr>
              <w:widowControl/>
              <w:snapToGrid w:val="0"/>
              <w:jc w:val="left"/>
              <w:rPr>
                <w:rFonts w:ascii="宋体" w:hAnsi="宋体"/>
                <w:color w:val="auto"/>
                <w:szCs w:val="21"/>
                <w:highlight w:val="none"/>
              </w:rPr>
            </w:pPr>
          </w:p>
        </w:tc>
        <w:tc>
          <w:tcPr>
            <w:tcW w:w="987"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项目总工</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任职业绩</w:t>
            </w:r>
          </w:p>
        </w:tc>
        <w:tc>
          <w:tcPr>
            <w:tcW w:w="550"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4分</w:t>
            </w:r>
          </w:p>
        </w:tc>
        <w:tc>
          <w:tcPr>
            <w:tcW w:w="5628" w:type="dxa"/>
            <w:vAlign w:val="center"/>
          </w:tcPr>
          <w:p>
            <w:pPr>
              <w:adjustRightInd w:val="0"/>
              <w:snapToGrid w:val="0"/>
              <w:spacing w:line="360" w:lineRule="auto"/>
              <w:ind w:left="210" w:leftChars="100"/>
              <w:rPr>
                <w:rFonts w:ascii="宋体" w:hAnsi="宋体"/>
                <w:color w:val="auto"/>
                <w:szCs w:val="21"/>
                <w:highlight w:val="none"/>
              </w:rPr>
            </w:pPr>
            <w:r>
              <w:rPr>
                <w:rFonts w:hint="eastAsia" w:ascii="宋体" w:hAnsi="宋体"/>
                <w:color w:val="auto"/>
                <w:szCs w:val="21"/>
                <w:highlight w:val="none"/>
              </w:rPr>
              <w:t>满足资格审查条件最低要求，得2.4分；</w:t>
            </w:r>
          </w:p>
          <w:p>
            <w:pPr>
              <w:adjustRightInd w:val="0"/>
              <w:snapToGrid w:val="0"/>
              <w:spacing w:line="360" w:lineRule="auto"/>
              <w:ind w:left="210" w:leftChars="100"/>
              <w:rPr>
                <w:rFonts w:ascii="宋体" w:hAnsi="宋体"/>
                <w:color w:val="auto"/>
                <w:szCs w:val="21"/>
                <w:highlight w:val="none"/>
              </w:rPr>
            </w:pPr>
            <w:r>
              <w:rPr>
                <w:rFonts w:hint="eastAsia" w:ascii="宋体" w:hAnsi="宋体"/>
                <w:color w:val="auto"/>
                <w:szCs w:val="21"/>
                <w:highlight w:val="none"/>
              </w:rPr>
              <w:t>在最低要求的基础上，每增加1项高速公路机电工程的项目总工任职业绩加1.6分，最多加1.6分。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trPr>
        <w:tc>
          <w:tcPr>
            <w:tcW w:w="659"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2.2.4</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（3）</w:t>
            </w:r>
          </w:p>
        </w:tc>
        <w:tc>
          <w:tcPr>
            <w:tcW w:w="692" w:type="dxa"/>
            <w:gridSpan w:val="2"/>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评标价</w:t>
            </w:r>
          </w:p>
        </w:tc>
        <w:tc>
          <w:tcPr>
            <w:tcW w:w="538"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50分</w:t>
            </w:r>
          </w:p>
        </w:tc>
        <w:tc>
          <w:tcPr>
            <w:tcW w:w="7165" w:type="dxa"/>
            <w:gridSpan w:val="3"/>
            <w:vAlign w:val="center"/>
          </w:tcPr>
          <w:p>
            <w:pPr>
              <w:pStyle w:val="124"/>
              <w:tabs>
                <w:tab w:val="left" w:pos="914"/>
              </w:tabs>
              <w:snapToGrid w:val="0"/>
              <w:spacing w:before="0" w:line="360" w:lineRule="auto"/>
              <w:ind w:firstLine="210"/>
              <w:jc w:val="left"/>
              <w:rPr>
                <w:color w:val="auto"/>
                <w:kern w:val="2"/>
                <w:sz w:val="21"/>
                <w:szCs w:val="21"/>
                <w:highlight w:val="none"/>
                <w:lang w:val="en-US"/>
              </w:rPr>
            </w:pPr>
            <w:r>
              <w:rPr>
                <w:rFonts w:hint="eastAsia"/>
                <w:color w:val="auto"/>
                <w:kern w:val="2"/>
                <w:sz w:val="21"/>
                <w:szCs w:val="21"/>
                <w:highlight w:val="none"/>
                <w:lang w:val="en-US"/>
              </w:rPr>
              <w:t>（1）如果投标人的评标价＞评标基准价，则</w:t>
            </w:r>
          </w:p>
          <w:p>
            <w:pPr>
              <w:pStyle w:val="124"/>
              <w:tabs>
                <w:tab w:val="left" w:pos="914"/>
              </w:tabs>
              <w:snapToGrid w:val="0"/>
              <w:spacing w:before="0" w:line="360" w:lineRule="auto"/>
              <w:ind w:firstLine="1680" w:firstLineChars="800"/>
              <w:jc w:val="left"/>
              <w:rPr>
                <w:color w:val="auto"/>
                <w:kern w:val="2"/>
                <w:sz w:val="21"/>
                <w:szCs w:val="21"/>
                <w:highlight w:val="none"/>
                <w:lang w:val="en-US"/>
              </w:rPr>
            </w:pPr>
            <w:r>
              <w:rPr>
                <w:rFonts w:hint="eastAsia"/>
                <w:color w:val="auto"/>
                <w:kern w:val="2"/>
                <w:sz w:val="21"/>
                <w:szCs w:val="21"/>
                <w:highlight w:val="none"/>
                <w:lang w:val="en-US"/>
              </w:rPr>
              <w:t>评标价得分＝</w:t>
            </w:r>
            <w:r>
              <w:rPr>
                <w:rFonts w:ascii="Times New Roman" w:hAnsi="Times New Roman"/>
                <w:i/>
                <w:color w:val="auto"/>
                <w:kern w:val="2"/>
                <w:sz w:val="21"/>
                <w:szCs w:val="21"/>
                <w:highlight w:val="none"/>
                <w:lang w:val="en-US"/>
              </w:rPr>
              <w:t>F</w:t>
            </w:r>
            <w:r>
              <w:rPr>
                <w:rFonts w:hint="eastAsia"/>
                <w:color w:val="auto"/>
                <w:kern w:val="2"/>
                <w:sz w:val="21"/>
                <w:szCs w:val="21"/>
                <w:highlight w:val="none"/>
                <w:lang w:val="en-US"/>
              </w:rPr>
              <w:t>－偏差率×100×</w:t>
            </w:r>
            <w:r>
              <w:rPr>
                <w:b/>
                <w:color w:val="auto"/>
                <w:kern w:val="2"/>
                <w:sz w:val="21"/>
                <w:szCs w:val="21"/>
                <w:highlight w:val="none"/>
                <w:lang w:val="en-US"/>
              </w:rPr>
              <w:t>0.5</w:t>
            </w:r>
            <w:r>
              <w:rPr>
                <w:rFonts w:hint="eastAsia"/>
                <w:color w:val="auto"/>
                <w:kern w:val="2"/>
                <w:sz w:val="21"/>
                <w:szCs w:val="21"/>
                <w:highlight w:val="none"/>
                <w:lang w:val="en-US"/>
              </w:rPr>
              <w:t>；</w:t>
            </w:r>
          </w:p>
          <w:p>
            <w:pPr>
              <w:pStyle w:val="124"/>
              <w:tabs>
                <w:tab w:val="left" w:pos="914"/>
              </w:tabs>
              <w:snapToGrid w:val="0"/>
              <w:spacing w:before="0" w:line="360" w:lineRule="auto"/>
              <w:ind w:firstLine="210"/>
              <w:jc w:val="left"/>
              <w:rPr>
                <w:color w:val="auto"/>
                <w:kern w:val="2"/>
                <w:sz w:val="21"/>
                <w:szCs w:val="21"/>
                <w:highlight w:val="none"/>
                <w:lang w:val="en-US"/>
              </w:rPr>
            </w:pPr>
            <w:r>
              <w:rPr>
                <w:rFonts w:hint="eastAsia"/>
                <w:color w:val="auto"/>
                <w:kern w:val="2"/>
                <w:sz w:val="21"/>
                <w:szCs w:val="21"/>
                <w:highlight w:val="none"/>
                <w:lang w:val="en-US"/>
              </w:rPr>
              <w:t>（2）如果投标人的评标价≤评标基准价，则</w:t>
            </w:r>
          </w:p>
          <w:p>
            <w:pPr>
              <w:pStyle w:val="124"/>
              <w:tabs>
                <w:tab w:val="left" w:pos="914"/>
              </w:tabs>
              <w:snapToGrid w:val="0"/>
              <w:spacing w:before="0" w:line="360" w:lineRule="auto"/>
              <w:ind w:firstLine="1680" w:firstLineChars="800"/>
              <w:jc w:val="left"/>
              <w:rPr>
                <w:color w:val="auto"/>
                <w:kern w:val="2"/>
                <w:sz w:val="21"/>
                <w:szCs w:val="21"/>
                <w:highlight w:val="none"/>
                <w:lang w:val="en-US"/>
              </w:rPr>
            </w:pPr>
            <w:r>
              <w:rPr>
                <w:rFonts w:hint="eastAsia"/>
                <w:color w:val="auto"/>
                <w:kern w:val="2"/>
                <w:sz w:val="21"/>
                <w:szCs w:val="21"/>
                <w:highlight w:val="none"/>
                <w:lang w:val="en-US"/>
              </w:rPr>
              <w:t>评标价得分＝</w:t>
            </w:r>
            <w:r>
              <w:rPr>
                <w:rFonts w:hint="eastAsia" w:ascii="Times New Roman" w:hAnsi="Times New Roman"/>
                <w:i/>
                <w:color w:val="auto"/>
                <w:kern w:val="2"/>
                <w:sz w:val="21"/>
                <w:szCs w:val="21"/>
                <w:highlight w:val="none"/>
                <w:lang w:val="en-US"/>
              </w:rPr>
              <w:t>F</w:t>
            </w:r>
            <w:r>
              <w:rPr>
                <w:rFonts w:hint="eastAsia"/>
                <w:color w:val="auto"/>
                <w:kern w:val="2"/>
                <w:sz w:val="21"/>
                <w:szCs w:val="21"/>
                <w:highlight w:val="none"/>
                <w:lang w:val="en-US"/>
              </w:rPr>
              <w:t>＋偏差率×100×</w:t>
            </w:r>
            <w:r>
              <w:rPr>
                <w:b/>
                <w:color w:val="auto"/>
                <w:kern w:val="2"/>
                <w:sz w:val="21"/>
                <w:szCs w:val="21"/>
                <w:highlight w:val="none"/>
                <w:lang w:val="en-US"/>
              </w:rPr>
              <w:t>0.3</w:t>
            </w:r>
            <w:r>
              <w:rPr>
                <w:rFonts w:hint="eastAsia"/>
                <w:color w:val="auto"/>
                <w:kern w:val="2"/>
                <w:sz w:val="21"/>
                <w:szCs w:val="21"/>
                <w:highlight w:val="none"/>
                <w:lang w:val="en-US"/>
              </w:rPr>
              <w:t>。</w:t>
            </w:r>
          </w:p>
          <w:p>
            <w:pPr>
              <w:pStyle w:val="124"/>
              <w:tabs>
                <w:tab w:val="left" w:pos="914"/>
              </w:tabs>
              <w:snapToGrid w:val="0"/>
              <w:spacing w:before="0" w:line="360" w:lineRule="auto"/>
              <w:ind w:firstLine="210"/>
              <w:jc w:val="left"/>
              <w:rPr>
                <w:color w:val="auto"/>
                <w:sz w:val="21"/>
                <w:szCs w:val="21"/>
                <w:highlight w:val="none"/>
              </w:rPr>
            </w:pPr>
            <w:r>
              <w:rPr>
                <w:rFonts w:hint="eastAsia"/>
                <w:color w:val="auto"/>
                <w:kern w:val="2"/>
                <w:sz w:val="21"/>
                <w:szCs w:val="21"/>
                <w:highlight w:val="none"/>
                <w:lang w:val="en-US"/>
              </w:rPr>
              <w:t>其中：</w:t>
            </w:r>
            <w:r>
              <w:rPr>
                <w:rFonts w:hint="eastAsia" w:ascii="Times New Roman" w:hAnsi="Times New Roman"/>
                <w:i/>
                <w:color w:val="auto"/>
                <w:kern w:val="2"/>
                <w:sz w:val="21"/>
                <w:szCs w:val="21"/>
                <w:highlight w:val="none"/>
                <w:lang w:val="en-US"/>
              </w:rPr>
              <w:t xml:space="preserve">F </w:t>
            </w:r>
            <w:r>
              <w:rPr>
                <w:rFonts w:hint="eastAsia"/>
                <w:color w:val="auto"/>
                <w:kern w:val="2"/>
                <w:sz w:val="21"/>
                <w:szCs w:val="21"/>
                <w:highlight w:val="none"/>
                <w:lang w:val="en-US"/>
              </w:rPr>
              <w:t>是评标价所占的权重分值，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50" w:hRule="atLeast"/>
        </w:trPr>
        <w:tc>
          <w:tcPr>
            <w:tcW w:w="659" w:type="dxa"/>
            <w:vMerge w:val="restart"/>
            <w:vAlign w:val="center"/>
          </w:tcPr>
          <w:p>
            <w:pPr>
              <w:adjustRightInd w:val="0"/>
              <w:snapToGrid w:val="0"/>
              <w:jc w:val="center"/>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w:t>
            </w:r>
            <w:r>
              <w:rPr>
                <w:rFonts w:ascii="宋体" w:hAnsi="宋体"/>
                <w:color w:val="auto"/>
                <w:szCs w:val="21"/>
                <w:highlight w:val="none"/>
              </w:rPr>
              <w:t>4</w:t>
            </w:r>
          </w:p>
          <w:p>
            <w:pPr>
              <w:widowControl/>
              <w:snapToGrid w:val="0"/>
              <w:jc w:val="center"/>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w:t>
            </w:r>
          </w:p>
        </w:tc>
        <w:tc>
          <w:tcPr>
            <w:tcW w:w="346" w:type="dxa"/>
            <w:vMerge w:val="restart"/>
            <w:textDirection w:val="tbRlV"/>
            <w:vAlign w:val="center"/>
          </w:tcPr>
          <w:p>
            <w:pPr>
              <w:widowControl/>
              <w:snapToGrid w:val="0"/>
              <w:jc w:val="center"/>
              <w:rPr>
                <w:rFonts w:ascii="宋体" w:hAnsi="宋体"/>
                <w:color w:val="auto"/>
                <w:szCs w:val="21"/>
                <w:highlight w:val="none"/>
              </w:rPr>
            </w:pPr>
            <w:r>
              <w:rPr>
                <w:rFonts w:hint="eastAsia" w:ascii="宋体" w:hAnsi="宋体"/>
                <w:color w:val="auto"/>
                <w:szCs w:val="21"/>
                <w:highlight w:val="none"/>
              </w:rPr>
              <w:t>其他因素</w:t>
            </w:r>
          </w:p>
        </w:tc>
        <w:tc>
          <w:tcPr>
            <w:tcW w:w="346" w:type="dxa"/>
            <w:textDirection w:val="tbRlV"/>
            <w:vAlign w:val="center"/>
          </w:tcPr>
          <w:p>
            <w:pPr>
              <w:widowControl/>
              <w:snapToGrid w:val="0"/>
              <w:ind w:left="113" w:right="113"/>
              <w:jc w:val="center"/>
              <w:rPr>
                <w:rFonts w:ascii="宋体" w:hAnsi="宋体"/>
                <w:color w:val="auto"/>
                <w:szCs w:val="21"/>
                <w:highlight w:val="none"/>
              </w:rPr>
            </w:pPr>
            <w:r>
              <w:rPr>
                <w:rFonts w:hint="eastAsia" w:ascii="宋体" w:hAnsi="宋体"/>
                <w:color w:val="auto"/>
                <w:szCs w:val="21"/>
                <w:highlight w:val="none"/>
              </w:rPr>
              <w:t>业绩</w:t>
            </w:r>
          </w:p>
        </w:tc>
        <w:tc>
          <w:tcPr>
            <w:tcW w:w="538" w:type="dxa"/>
            <w:vAlign w:val="center"/>
          </w:tcPr>
          <w:p>
            <w:pPr>
              <w:widowControl/>
              <w:snapToGrid w:val="0"/>
              <w:jc w:val="center"/>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分</w:t>
            </w:r>
          </w:p>
        </w:tc>
        <w:tc>
          <w:tcPr>
            <w:tcW w:w="987"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企业业绩</w:t>
            </w:r>
          </w:p>
        </w:tc>
        <w:tc>
          <w:tcPr>
            <w:tcW w:w="550"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7分</w:t>
            </w:r>
          </w:p>
        </w:tc>
        <w:tc>
          <w:tcPr>
            <w:tcW w:w="5628" w:type="dxa"/>
            <w:vAlign w:val="center"/>
          </w:tcPr>
          <w:p>
            <w:pPr>
              <w:adjustRightInd w:val="0"/>
              <w:snapToGrid w:val="0"/>
              <w:spacing w:line="360" w:lineRule="auto"/>
              <w:ind w:left="210" w:leftChars="100"/>
              <w:rPr>
                <w:rFonts w:ascii="宋体" w:hAnsi="宋体"/>
                <w:color w:val="auto"/>
                <w:szCs w:val="21"/>
                <w:highlight w:val="none"/>
              </w:rPr>
            </w:pPr>
            <w:r>
              <w:rPr>
                <w:rFonts w:hint="eastAsia" w:ascii="宋体" w:hAnsi="宋体"/>
                <w:color w:val="auto"/>
                <w:szCs w:val="21"/>
                <w:highlight w:val="none"/>
              </w:rPr>
              <w:t>JD01标段满足最低资格要求得4.2分，自2015年1月1日后（以交工日期为准）完成过150公里至750公里的施工业绩，自4.2分至7分内插计算得分。</w:t>
            </w:r>
          </w:p>
          <w:p>
            <w:pPr>
              <w:adjustRightInd w:val="0"/>
              <w:snapToGrid w:val="0"/>
              <w:spacing w:line="360" w:lineRule="auto"/>
              <w:ind w:left="210" w:leftChars="100"/>
              <w:rPr>
                <w:rFonts w:ascii="宋体" w:hAnsi="宋体"/>
                <w:color w:val="auto"/>
                <w:szCs w:val="21"/>
                <w:highlight w:val="none"/>
              </w:rPr>
            </w:pPr>
          </w:p>
          <w:p>
            <w:pPr>
              <w:adjustRightInd w:val="0"/>
              <w:snapToGrid w:val="0"/>
              <w:spacing w:line="360" w:lineRule="auto"/>
              <w:ind w:left="210" w:leftChars="100"/>
              <w:rPr>
                <w:rFonts w:ascii="宋体" w:hAnsi="宋体"/>
                <w:color w:val="auto"/>
                <w:szCs w:val="21"/>
                <w:highlight w:val="none"/>
              </w:rPr>
            </w:pPr>
            <w:r>
              <w:rPr>
                <w:rFonts w:hint="eastAsia" w:ascii="宋体" w:hAnsi="宋体"/>
                <w:color w:val="auto"/>
                <w:szCs w:val="21"/>
                <w:highlight w:val="none"/>
              </w:rPr>
              <w:t>JD02标段满足最低资格要求得4.2分，自2015年1月1日后（以交工日期为准）每增加1项有效的施工业绩加1.4分，最多加2.8分。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659" w:type="dxa"/>
            <w:vMerge w:val="continue"/>
            <w:vAlign w:val="center"/>
          </w:tcPr>
          <w:p>
            <w:pPr>
              <w:snapToGrid w:val="0"/>
              <w:jc w:val="left"/>
              <w:rPr>
                <w:rFonts w:ascii="宋体" w:hAnsi="宋体"/>
                <w:color w:val="auto"/>
                <w:szCs w:val="21"/>
                <w:highlight w:val="none"/>
              </w:rPr>
            </w:pPr>
          </w:p>
        </w:tc>
        <w:tc>
          <w:tcPr>
            <w:tcW w:w="346" w:type="dxa"/>
            <w:vMerge w:val="continue"/>
            <w:vAlign w:val="center"/>
          </w:tcPr>
          <w:p>
            <w:pPr>
              <w:widowControl/>
              <w:snapToGrid w:val="0"/>
              <w:ind w:left="113"/>
              <w:jc w:val="left"/>
              <w:rPr>
                <w:rFonts w:ascii="宋体" w:hAnsi="宋体"/>
                <w:color w:val="auto"/>
                <w:szCs w:val="21"/>
                <w:highlight w:val="none"/>
              </w:rPr>
            </w:pPr>
          </w:p>
        </w:tc>
        <w:tc>
          <w:tcPr>
            <w:tcW w:w="346" w:type="dxa"/>
            <w:textDirection w:val="tbRlV"/>
            <w:vAlign w:val="center"/>
          </w:tcPr>
          <w:p>
            <w:pPr>
              <w:snapToGrid w:val="0"/>
              <w:ind w:left="113" w:right="113"/>
              <w:jc w:val="center"/>
              <w:rPr>
                <w:rFonts w:ascii="宋体" w:hAnsi="宋体"/>
                <w:color w:val="auto"/>
                <w:szCs w:val="21"/>
                <w:highlight w:val="none"/>
              </w:rPr>
            </w:pPr>
            <w:r>
              <w:rPr>
                <w:rFonts w:ascii="宋体" w:hAnsi="宋体"/>
                <w:color w:val="auto"/>
                <w:highlight w:val="none"/>
              </w:rPr>
              <w:t>履约信誉</w:t>
            </w:r>
          </w:p>
        </w:tc>
        <w:tc>
          <w:tcPr>
            <w:tcW w:w="538" w:type="dxa"/>
            <w:vAlign w:val="center"/>
          </w:tcPr>
          <w:p>
            <w:pPr>
              <w:widowControl/>
              <w:snapToGrid w:val="0"/>
              <w:jc w:val="center"/>
              <w:rPr>
                <w:rFonts w:ascii="宋体" w:hAnsi="宋体"/>
                <w:color w:val="auto"/>
                <w:szCs w:val="21"/>
                <w:highlight w:val="none"/>
              </w:rPr>
            </w:pPr>
            <w:r>
              <w:rPr>
                <w:rFonts w:hint="eastAsia" w:ascii="宋体" w:hAnsi="宋体"/>
                <w:color w:val="auto"/>
                <w:highlight w:val="none"/>
              </w:rPr>
              <w:t>3分</w:t>
            </w:r>
          </w:p>
        </w:tc>
        <w:tc>
          <w:tcPr>
            <w:tcW w:w="987"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信用</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评价</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结果</w:t>
            </w:r>
          </w:p>
        </w:tc>
        <w:tc>
          <w:tcPr>
            <w:tcW w:w="550" w:type="dxa"/>
            <w:vAlign w:val="center"/>
          </w:tcPr>
          <w:p>
            <w:pPr>
              <w:adjustRightInd w:val="0"/>
              <w:snapToGrid w:val="0"/>
              <w:jc w:val="center"/>
              <w:rPr>
                <w:rFonts w:ascii="宋体" w:hAnsi="宋体"/>
                <w:color w:val="auto"/>
                <w:szCs w:val="21"/>
                <w:highlight w:val="none"/>
              </w:rPr>
            </w:pPr>
            <w:r>
              <w:rPr>
                <w:rFonts w:hint="eastAsia" w:ascii="宋体" w:hAnsi="宋体"/>
                <w:color w:val="auto"/>
                <w:highlight w:val="none"/>
              </w:rPr>
              <w:t>3分</w:t>
            </w:r>
          </w:p>
        </w:tc>
        <w:tc>
          <w:tcPr>
            <w:tcW w:w="5628" w:type="dxa"/>
            <w:vAlign w:val="center"/>
          </w:tcPr>
          <w:p>
            <w:pPr>
              <w:adjustRightInd w:val="0"/>
              <w:snapToGrid w:val="0"/>
              <w:spacing w:line="280" w:lineRule="atLeast"/>
              <w:ind w:left="210" w:leftChars="100" w:firstLine="0"/>
              <w:textAlignment w:val="baseline"/>
              <w:rPr>
                <w:rFonts w:ascii="宋体" w:hAnsi="宋体"/>
                <w:color w:val="auto"/>
                <w:szCs w:val="21"/>
                <w:highlight w:val="none"/>
              </w:rPr>
            </w:pPr>
            <w:r>
              <w:rPr>
                <w:rFonts w:ascii="宋体" w:hAnsi="宋体"/>
                <w:color w:val="auto"/>
                <w:szCs w:val="21"/>
                <w:highlight w:val="none"/>
              </w:rPr>
              <w:t>1）以投标人的吉林省省级综合信用评价结果（以下简称“吉林省评价”）或全国综合信用评价结果（以下简称“全国评价”）计算其履约信誉得分。</w:t>
            </w:r>
          </w:p>
          <w:p>
            <w:pPr>
              <w:adjustRightInd w:val="0"/>
              <w:snapToGrid w:val="0"/>
              <w:spacing w:line="280" w:lineRule="atLeast"/>
              <w:ind w:left="210" w:leftChars="100" w:firstLine="0"/>
              <w:textAlignment w:val="baseline"/>
              <w:rPr>
                <w:rFonts w:ascii="宋体" w:hAnsi="宋体"/>
                <w:color w:val="auto"/>
                <w:szCs w:val="21"/>
                <w:highlight w:val="none"/>
              </w:rPr>
            </w:pPr>
            <w:r>
              <w:rPr>
                <w:rFonts w:ascii="宋体" w:hAnsi="宋体"/>
                <w:color w:val="auto"/>
                <w:szCs w:val="21"/>
                <w:highlight w:val="none"/>
              </w:rPr>
              <w:t>2）投标人的信用评价结果采用原则如下：</w:t>
            </w:r>
          </w:p>
          <w:p>
            <w:pPr>
              <w:adjustRightInd w:val="0"/>
              <w:snapToGrid w:val="0"/>
              <w:spacing w:line="280" w:lineRule="atLeast"/>
              <w:ind w:left="210" w:leftChars="100" w:firstLine="0"/>
              <w:textAlignment w:val="baseline"/>
              <w:rPr>
                <w:rFonts w:ascii="宋体" w:hAnsi="宋体"/>
                <w:color w:val="auto"/>
                <w:szCs w:val="21"/>
                <w:highlight w:val="none"/>
              </w:rPr>
            </w:pPr>
            <w:r>
              <w:rPr>
                <w:rFonts w:ascii="宋体" w:hAnsi="宋体"/>
                <w:color w:val="auto"/>
                <w:szCs w:val="21"/>
                <w:highlight w:val="none"/>
              </w:rPr>
              <w:t>a.</w:t>
            </w:r>
            <w:r>
              <w:rPr>
                <w:rFonts w:hint="eastAsia" w:ascii="宋体" w:hAnsi="宋体"/>
                <w:color w:val="auto"/>
                <w:szCs w:val="21"/>
                <w:highlight w:val="none"/>
              </w:rPr>
              <w:t>首先应用其</w:t>
            </w:r>
            <w:r>
              <w:rPr>
                <w:rFonts w:ascii="宋体" w:hAnsi="宋体"/>
                <w:color w:val="auto"/>
                <w:szCs w:val="21"/>
                <w:highlight w:val="none"/>
              </w:rPr>
              <w:t>2019</w:t>
            </w:r>
            <w:r>
              <w:rPr>
                <w:rFonts w:hint="eastAsia" w:ascii="宋体" w:hAnsi="宋体"/>
                <w:color w:val="auto"/>
                <w:szCs w:val="21"/>
                <w:highlight w:val="none"/>
              </w:rPr>
              <w:t>年度吉林省评价或全国评价：</w:t>
            </w:r>
          </w:p>
          <w:p>
            <w:pPr>
              <w:adjustRightInd w:val="0"/>
              <w:snapToGrid w:val="0"/>
              <w:spacing w:line="280" w:lineRule="atLeast"/>
              <w:ind w:left="210" w:leftChars="100" w:firstLine="0"/>
              <w:textAlignment w:val="baseline"/>
              <w:rPr>
                <w:rFonts w:ascii="宋体" w:hAnsi="宋体"/>
                <w:color w:val="auto"/>
                <w:szCs w:val="21"/>
                <w:highlight w:val="none"/>
              </w:rPr>
            </w:pPr>
            <w:r>
              <w:rPr>
                <w:rFonts w:ascii="宋体" w:hAnsi="宋体"/>
                <w:color w:val="auto"/>
                <w:szCs w:val="21"/>
                <w:highlight w:val="none"/>
              </w:rPr>
              <w:t>2019</w:t>
            </w:r>
            <w:r>
              <w:rPr>
                <w:rFonts w:hint="eastAsia" w:ascii="宋体" w:hAnsi="宋体"/>
                <w:color w:val="auto"/>
                <w:szCs w:val="21"/>
                <w:highlight w:val="none"/>
              </w:rPr>
              <w:t>年度吉林省评价：〔《关于发布</w:t>
            </w:r>
            <w:r>
              <w:rPr>
                <w:rFonts w:ascii="宋体" w:hAnsi="宋体"/>
                <w:color w:val="auto"/>
                <w:szCs w:val="21"/>
                <w:highlight w:val="none"/>
              </w:rPr>
              <w:t>2019年度公路设计、施工企业吉林省省级综合评价结果的通告》（2020</w:t>
            </w:r>
            <w:r>
              <w:rPr>
                <w:rFonts w:hint="eastAsia" w:ascii="宋体" w:hAnsi="宋体"/>
                <w:color w:val="auto"/>
                <w:szCs w:val="21"/>
                <w:highlight w:val="none"/>
              </w:rPr>
              <w:t>年第</w:t>
            </w:r>
            <w:r>
              <w:rPr>
                <w:rFonts w:ascii="宋体" w:hAnsi="宋体"/>
                <w:color w:val="auto"/>
                <w:szCs w:val="21"/>
                <w:highlight w:val="none"/>
              </w:rPr>
              <w:t>2</w:t>
            </w:r>
            <w:r>
              <w:rPr>
                <w:rFonts w:hint="eastAsia" w:ascii="宋体" w:hAnsi="宋体"/>
                <w:color w:val="auto"/>
                <w:szCs w:val="21"/>
                <w:highlight w:val="none"/>
              </w:rPr>
              <w:t>号）〕；</w:t>
            </w:r>
          </w:p>
          <w:p>
            <w:pPr>
              <w:adjustRightInd w:val="0"/>
              <w:snapToGrid w:val="0"/>
              <w:spacing w:line="280" w:lineRule="atLeast"/>
              <w:ind w:left="210" w:leftChars="100" w:firstLine="0"/>
              <w:textAlignment w:val="baseline"/>
              <w:rPr>
                <w:rFonts w:ascii="宋体" w:hAnsi="宋体"/>
                <w:color w:val="auto"/>
                <w:szCs w:val="21"/>
                <w:highlight w:val="none"/>
              </w:rPr>
            </w:pPr>
            <w:r>
              <w:rPr>
                <w:rFonts w:ascii="宋体" w:hAnsi="宋体"/>
                <w:color w:val="auto"/>
                <w:szCs w:val="21"/>
                <w:highlight w:val="none"/>
              </w:rPr>
              <w:t>2019</w:t>
            </w:r>
            <w:r>
              <w:rPr>
                <w:rFonts w:hint="eastAsia" w:ascii="宋体" w:hAnsi="宋体"/>
                <w:color w:val="auto"/>
                <w:szCs w:val="21"/>
                <w:highlight w:val="none"/>
              </w:rPr>
              <w:t>年度全国评价：目前正在公示，若在投标截止时间前发布了结果公告，则应用；若未发布公告，则不应用；</w:t>
            </w:r>
          </w:p>
          <w:p>
            <w:pPr>
              <w:adjustRightInd w:val="0"/>
              <w:snapToGrid w:val="0"/>
              <w:spacing w:line="280" w:lineRule="atLeast"/>
              <w:ind w:left="210" w:leftChars="100" w:firstLine="0"/>
              <w:textAlignment w:val="baseline"/>
              <w:rPr>
                <w:rFonts w:ascii="宋体" w:hAnsi="宋体"/>
                <w:color w:val="auto"/>
                <w:szCs w:val="21"/>
                <w:highlight w:val="none"/>
              </w:rPr>
            </w:pPr>
            <w:r>
              <w:rPr>
                <w:rFonts w:hint="eastAsia" w:ascii="宋体" w:hAnsi="宋体"/>
                <w:color w:val="auto"/>
                <w:szCs w:val="21"/>
                <w:highlight w:val="none"/>
              </w:rPr>
              <w:t>投标人在</w:t>
            </w:r>
            <w:r>
              <w:rPr>
                <w:rFonts w:ascii="宋体" w:hAnsi="宋体"/>
                <w:color w:val="auto"/>
                <w:szCs w:val="21"/>
                <w:highlight w:val="none"/>
              </w:rPr>
              <w:t>2019</w:t>
            </w:r>
            <w:r>
              <w:rPr>
                <w:rFonts w:hint="eastAsia" w:ascii="宋体" w:hAnsi="宋体"/>
                <w:color w:val="auto"/>
                <w:szCs w:val="21"/>
                <w:highlight w:val="none"/>
              </w:rPr>
              <w:t>年度既有吉林省评价也有全国评价的，采用等级较低的评价结果。</w:t>
            </w:r>
          </w:p>
          <w:p>
            <w:pPr>
              <w:adjustRightInd w:val="0"/>
              <w:snapToGrid w:val="0"/>
              <w:spacing w:line="280" w:lineRule="atLeast"/>
              <w:ind w:left="210" w:leftChars="100" w:firstLine="0"/>
              <w:textAlignment w:val="baseline"/>
              <w:rPr>
                <w:rFonts w:ascii="宋体" w:hAnsi="宋体"/>
                <w:color w:val="auto"/>
                <w:szCs w:val="21"/>
                <w:highlight w:val="none"/>
              </w:rPr>
            </w:pPr>
            <w:r>
              <w:rPr>
                <w:rFonts w:ascii="宋体" w:hAnsi="宋体"/>
                <w:color w:val="auto"/>
                <w:szCs w:val="21"/>
                <w:highlight w:val="none"/>
              </w:rPr>
              <w:t>b.投标人在2019</w:t>
            </w:r>
            <w:r>
              <w:rPr>
                <w:rFonts w:hint="eastAsia" w:ascii="宋体" w:hAnsi="宋体"/>
                <w:color w:val="auto"/>
                <w:szCs w:val="21"/>
                <w:highlight w:val="none"/>
              </w:rPr>
              <w:t>年度既没有吉林省评价也没有全国评价的，则应用其</w:t>
            </w:r>
            <w:r>
              <w:rPr>
                <w:rFonts w:ascii="宋体" w:hAnsi="宋体"/>
                <w:color w:val="auto"/>
                <w:szCs w:val="21"/>
                <w:highlight w:val="none"/>
              </w:rPr>
              <w:t>2018</w:t>
            </w:r>
            <w:r>
              <w:rPr>
                <w:rFonts w:hint="eastAsia" w:ascii="宋体" w:hAnsi="宋体"/>
                <w:color w:val="auto"/>
                <w:szCs w:val="21"/>
                <w:highlight w:val="none"/>
              </w:rPr>
              <w:t>年度吉林省评价或全国评价：</w:t>
            </w:r>
          </w:p>
          <w:p>
            <w:pPr>
              <w:adjustRightInd w:val="0"/>
              <w:snapToGrid w:val="0"/>
              <w:spacing w:line="280" w:lineRule="atLeast"/>
              <w:ind w:left="210" w:leftChars="100" w:firstLine="0"/>
              <w:textAlignment w:val="baseline"/>
              <w:rPr>
                <w:rFonts w:ascii="宋体" w:hAnsi="宋体"/>
                <w:color w:val="auto"/>
                <w:szCs w:val="21"/>
                <w:highlight w:val="none"/>
              </w:rPr>
            </w:pPr>
            <w:r>
              <w:rPr>
                <w:rFonts w:ascii="宋体" w:hAnsi="宋体"/>
                <w:color w:val="auto"/>
                <w:szCs w:val="21"/>
                <w:highlight w:val="none"/>
              </w:rPr>
              <w:t>2018</w:t>
            </w:r>
            <w:r>
              <w:rPr>
                <w:rFonts w:hint="eastAsia" w:ascii="宋体" w:hAnsi="宋体"/>
                <w:color w:val="auto"/>
                <w:szCs w:val="21"/>
                <w:highlight w:val="none"/>
              </w:rPr>
              <w:t>年度吉林省评价：〔《关于发布</w:t>
            </w:r>
            <w:r>
              <w:rPr>
                <w:rFonts w:ascii="宋体" w:hAnsi="宋体"/>
                <w:color w:val="auto"/>
                <w:szCs w:val="21"/>
                <w:highlight w:val="none"/>
              </w:rPr>
              <w:t>2018年度公路设计、施工企业吉林省省级综合评价结果的公告》（2019</w:t>
            </w:r>
            <w:r>
              <w:rPr>
                <w:rFonts w:hint="eastAsia" w:ascii="宋体" w:hAnsi="宋体"/>
                <w:color w:val="auto"/>
                <w:szCs w:val="21"/>
                <w:highlight w:val="none"/>
              </w:rPr>
              <w:t>年第</w:t>
            </w:r>
            <w:r>
              <w:rPr>
                <w:rFonts w:ascii="宋体" w:hAnsi="宋体"/>
                <w:color w:val="auto"/>
                <w:szCs w:val="21"/>
                <w:highlight w:val="none"/>
              </w:rPr>
              <w:t>1号）〕；</w:t>
            </w:r>
          </w:p>
          <w:p>
            <w:pPr>
              <w:adjustRightInd w:val="0"/>
              <w:snapToGrid w:val="0"/>
              <w:spacing w:line="280" w:lineRule="atLeast"/>
              <w:ind w:left="210" w:leftChars="100" w:firstLine="0"/>
              <w:textAlignment w:val="baseline"/>
              <w:rPr>
                <w:rFonts w:ascii="宋体" w:hAnsi="宋体"/>
                <w:color w:val="auto"/>
                <w:szCs w:val="21"/>
                <w:highlight w:val="none"/>
              </w:rPr>
            </w:pPr>
            <w:r>
              <w:rPr>
                <w:rFonts w:ascii="宋体" w:hAnsi="宋体"/>
                <w:color w:val="auto"/>
                <w:szCs w:val="21"/>
                <w:highlight w:val="none"/>
              </w:rPr>
              <w:t>2018</w:t>
            </w:r>
            <w:r>
              <w:rPr>
                <w:rFonts w:hint="eastAsia" w:ascii="宋体" w:hAnsi="宋体"/>
                <w:color w:val="auto"/>
                <w:szCs w:val="21"/>
                <w:highlight w:val="none"/>
              </w:rPr>
              <w:t>年度全国评价：〔《交通运输部关于公布</w:t>
            </w:r>
            <w:r>
              <w:rPr>
                <w:rFonts w:ascii="宋体" w:hAnsi="宋体"/>
                <w:color w:val="auto"/>
                <w:szCs w:val="21"/>
                <w:highlight w:val="none"/>
              </w:rPr>
              <w:t>2018年度公路建设市场全国综合信用评价结果的公告》（交通运输部公告第67号）〕；</w:t>
            </w:r>
          </w:p>
          <w:p>
            <w:pPr>
              <w:adjustRightInd w:val="0"/>
              <w:snapToGrid w:val="0"/>
              <w:spacing w:line="280" w:lineRule="atLeast"/>
              <w:ind w:left="210" w:leftChars="100" w:firstLine="0"/>
              <w:textAlignment w:val="baseline"/>
              <w:rPr>
                <w:rFonts w:ascii="宋体" w:hAnsi="宋体"/>
                <w:color w:val="auto"/>
                <w:szCs w:val="21"/>
                <w:highlight w:val="none"/>
              </w:rPr>
            </w:pPr>
            <w:r>
              <w:rPr>
                <w:rFonts w:hint="eastAsia" w:ascii="宋体" w:hAnsi="宋体"/>
                <w:color w:val="auto"/>
                <w:szCs w:val="21"/>
                <w:highlight w:val="none"/>
              </w:rPr>
              <w:t>投标人在</w:t>
            </w:r>
            <w:r>
              <w:rPr>
                <w:rFonts w:ascii="宋体" w:hAnsi="宋体"/>
                <w:color w:val="auto"/>
                <w:szCs w:val="21"/>
                <w:highlight w:val="none"/>
              </w:rPr>
              <w:t>2018</w:t>
            </w:r>
            <w:r>
              <w:rPr>
                <w:rFonts w:hint="eastAsia" w:ascii="宋体" w:hAnsi="宋体"/>
                <w:color w:val="auto"/>
                <w:szCs w:val="21"/>
                <w:highlight w:val="none"/>
              </w:rPr>
              <w:t>年度既有吉林省评价也有全国评价的，采用等级较低的评价结果。</w:t>
            </w:r>
          </w:p>
          <w:p>
            <w:pPr>
              <w:adjustRightInd w:val="0"/>
              <w:snapToGrid w:val="0"/>
              <w:spacing w:line="280" w:lineRule="atLeast"/>
              <w:ind w:left="210" w:leftChars="100" w:firstLine="0"/>
              <w:textAlignment w:val="baseline"/>
              <w:rPr>
                <w:rFonts w:ascii="宋体" w:hAnsi="宋体"/>
                <w:color w:val="auto"/>
                <w:szCs w:val="21"/>
                <w:highlight w:val="none"/>
              </w:rPr>
            </w:pPr>
            <w:r>
              <w:rPr>
                <w:rFonts w:ascii="宋体" w:hAnsi="宋体"/>
                <w:color w:val="auto"/>
                <w:szCs w:val="21"/>
                <w:highlight w:val="none"/>
              </w:rPr>
              <w:t>c.</w:t>
            </w:r>
            <w:r>
              <w:rPr>
                <w:rFonts w:hint="eastAsia" w:ascii="宋体" w:hAnsi="宋体"/>
                <w:color w:val="auto"/>
                <w:szCs w:val="21"/>
                <w:highlight w:val="none"/>
              </w:rPr>
              <w:t>投标人在</w:t>
            </w:r>
            <w:r>
              <w:rPr>
                <w:rFonts w:ascii="宋体" w:hAnsi="宋体"/>
                <w:color w:val="auto"/>
                <w:szCs w:val="21"/>
                <w:highlight w:val="none"/>
              </w:rPr>
              <w:t>2018</w:t>
            </w:r>
            <w:r>
              <w:rPr>
                <w:rFonts w:hint="eastAsia" w:ascii="宋体" w:hAnsi="宋体"/>
                <w:color w:val="auto"/>
                <w:szCs w:val="21"/>
                <w:highlight w:val="none"/>
              </w:rPr>
              <w:t>年度既没有吉林省评价也没有全国评价的，若无不良信用记录，最高可按“</w:t>
            </w:r>
            <w:r>
              <w:rPr>
                <w:rFonts w:ascii="宋体" w:hAnsi="宋体"/>
                <w:color w:val="auto"/>
                <w:szCs w:val="21"/>
                <w:highlight w:val="none"/>
              </w:rPr>
              <w:t>A级”认定，但不得高于其最近年度原评价等级的上一等级。若有不良信用记录，按其他等级认定。</w:t>
            </w:r>
          </w:p>
          <w:p>
            <w:pPr>
              <w:adjustRightInd w:val="0"/>
              <w:snapToGrid w:val="0"/>
              <w:spacing w:line="280" w:lineRule="atLeast"/>
              <w:ind w:left="210" w:leftChars="100" w:firstLine="0"/>
              <w:textAlignment w:val="baseline"/>
              <w:rPr>
                <w:rFonts w:ascii="宋体" w:hAnsi="宋体"/>
                <w:color w:val="auto"/>
                <w:szCs w:val="21"/>
                <w:highlight w:val="none"/>
              </w:rPr>
            </w:pPr>
            <w:r>
              <w:rPr>
                <w:rFonts w:ascii="宋体" w:hAnsi="宋体"/>
                <w:color w:val="auto"/>
                <w:szCs w:val="21"/>
                <w:highlight w:val="none"/>
              </w:rPr>
              <w:t>3）评分标准如下：</w:t>
            </w:r>
          </w:p>
          <w:p>
            <w:pPr>
              <w:adjustRightInd w:val="0"/>
              <w:snapToGrid w:val="0"/>
              <w:spacing w:line="280" w:lineRule="atLeast"/>
              <w:ind w:left="210" w:leftChars="100"/>
              <w:jc w:val="left"/>
              <w:textAlignment w:val="baseline"/>
              <w:rPr>
                <w:rFonts w:ascii="宋体" w:hAnsi="宋体"/>
                <w:color w:val="auto"/>
                <w:szCs w:val="21"/>
                <w:highlight w:val="none"/>
              </w:rPr>
            </w:pPr>
            <w:r>
              <w:rPr>
                <w:rFonts w:ascii="宋体" w:hAnsi="宋体"/>
                <w:color w:val="auto"/>
                <w:szCs w:val="21"/>
                <w:highlight w:val="none"/>
              </w:rPr>
              <w:t>AA级、A级</w:t>
            </w:r>
            <w:r>
              <w:rPr>
                <w:rFonts w:ascii="宋体" w:hAnsi="宋体"/>
                <w:color w:val="auto"/>
                <w:szCs w:val="21"/>
                <w:highlight w:val="none"/>
              </w:rPr>
              <w:tab/>
            </w:r>
            <w:r>
              <w:rPr>
                <w:rFonts w:ascii="宋体" w:hAnsi="宋体"/>
                <w:color w:val="auto"/>
                <w:szCs w:val="21"/>
                <w:highlight w:val="none"/>
              </w:rPr>
              <w:t>3</w:t>
            </w:r>
            <w:r>
              <w:rPr>
                <w:rFonts w:hint="eastAsia" w:ascii="宋体" w:hAnsi="宋体"/>
                <w:color w:val="auto"/>
                <w:szCs w:val="21"/>
                <w:highlight w:val="none"/>
              </w:rPr>
              <w:t>分</w:t>
            </w:r>
          </w:p>
          <w:p>
            <w:pPr>
              <w:adjustRightInd w:val="0"/>
              <w:snapToGrid w:val="0"/>
              <w:spacing w:line="280" w:lineRule="atLeast"/>
              <w:ind w:firstLine="210" w:firstLineChars="100"/>
              <w:jc w:val="left"/>
              <w:textAlignment w:val="baseline"/>
              <w:rPr>
                <w:rFonts w:ascii="宋体" w:hAnsi="宋体"/>
                <w:color w:val="auto"/>
                <w:szCs w:val="21"/>
                <w:highlight w:val="none"/>
              </w:rPr>
            </w:pPr>
            <w:r>
              <w:rPr>
                <w:rFonts w:hint="eastAsia" w:ascii="宋体" w:hAnsi="宋体"/>
                <w:color w:val="auto"/>
                <w:szCs w:val="21"/>
                <w:highlight w:val="none"/>
              </w:rPr>
              <w:t>其他等级</w:t>
            </w:r>
            <w:r>
              <w:rPr>
                <w:rFonts w:ascii="宋体" w:hAnsi="宋体"/>
                <w:color w:val="auto"/>
                <w:szCs w:val="21"/>
                <w:highlight w:val="none"/>
              </w:rPr>
              <w:tab/>
            </w:r>
            <w:r>
              <w:rPr>
                <w:rFonts w:ascii="宋体" w:hAnsi="宋体"/>
                <w:color w:val="auto"/>
                <w:szCs w:val="21"/>
                <w:highlight w:val="none"/>
              </w:rPr>
              <w:t>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134" w:hRule="atLeast"/>
        </w:trPr>
        <w:tc>
          <w:tcPr>
            <w:tcW w:w="659" w:type="dxa"/>
            <w:vAlign w:val="center"/>
          </w:tcPr>
          <w:p>
            <w:pPr>
              <w:snapToGrid w:val="0"/>
              <w:jc w:val="left"/>
              <w:rPr>
                <w:rFonts w:ascii="宋体" w:hAnsi="宋体"/>
                <w:color w:val="auto"/>
                <w:szCs w:val="21"/>
                <w:highlight w:val="none"/>
              </w:rPr>
            </w:pPr>
          </w:p>
        </w:tc>
        <w:tc>
          <w:tcPr>
            <w:tcW w:w="346" w:type="dxa"/>
            <w:textDirection w:val="tbLrV"/>
            <w:vAlign w:val="center"/>
          </w:tcPr>
          <w:p>
            <w:pPr>
              <w:snapToGrid w:val="0"/>
              <w:ind w:left="113" w:right="113"/>
              <w:jc w:val="center"/>
              <w:rPr>
                <w:rStyle w:val="93"/>
                <w:color w:val="auto"/>
                <w:sz w:val="21"/>
                <w:szCs w:val="21"/>
                <w:highlight w:val="none"/>
                <w:lang w:eastAsia="zh-CN"/>
              </w:rPr>
            </w:pPr>
          </w:p>
        </w:tc>
        <w:tc>
          <w:tcPr>
            <w:tcW w:w="346" w:type="dxa"/>
            <w:textDirection w:val="tbLrV"/>
            <w:vAlign w:val="center"/>
          </w:tcPr>
          <w:p>
            <w:pPr>
              <w:snapToGrid w:val="0"/>
              <w:ind w:left="113" w:right="113"/>
              <w:jc w:val="center"/>
              <w:rPr>
                <w:rStyle w:val="93"/>
                <w:color w:val="auto"/>
                <w:sz w:val="21"/>
                <w:szCs w:val="21"/>
                <w:highlight w:val="none"/>
                <w:lang w:eastAsia="zh-CN"/>
              </w:rPr>
            </w:pPr>
            <w:r>
              <w:rPr>
                <w:rStyle w:val="93"/>
                <w:rFonts w:hint="eastAsia"/>
                <w:color w:val="auto"/>
                <w:sz w:val="21"/>
                <w:szCs w:val="21"/>
                <w:highlight w:val="none"/>
                <w:lang w:eastAsia="zh-CN"/>
              </w:rPr>
              <w:t>售后服务</w:t>
            </w:r>
          </w:p>
        </w:tc>
        <w:tc>
          <w:tcPr>
            <w:tcW w:w="538" w:type="dxa"/>
            <w:vAlign w:val="center"/>
          </w:tcPr>
          <w:p>
            <w:pPr>
              <w:widowControl/>
              <w:snapToGrid w:val="0"/>
              <w:jc w:val="center"/>
              <w:rPr>
                <w:rFonts w:ascii="宋体" w:hAnsi="宋体"/>
                <w:color w:val="auto"/>
                <w:highlight w:val="none"/>
              </w:rPr>
            </w:pPr>
            <w:r>
              <w:rPr>
                <w:rFonts w:ascii="宋体" w:hAnsi="宋体"/>
                <w:color w:val="auto"/>
                <w:szCs w:val="21"/>
                <w:highlight w:val="none"/>
              </w:rPr>
              <w:t>3</w:t>
            </w:r>
            <w:r>
              <w:rPr>
                <w:rFonts w:hint="eastAsia" w:ascii="宋体" w:hAnsi="宋体"/>
                <w:color w:val="auto"/>
                <w:szCs w:val="21"/>
                <w:highlight w:val="none"/>
              </w:rPr>
              <w:t>分</w:t>
            </w:r>
          </w:p>
        </w:tc>
        <w:tc>
          <w:tcPr>
            <w:tcW w:w="987"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缺陷责任期</w:t>
            </w:r>
          </w:p>
        </w:tc>
        <w:tc>
          <w:tcPr>
            <w:tcW w:w="550" w:type="dxa"/>
            <w:vAlign w:val="center"/>
          </w:tcPr>
          <w:p>
            <w:pPr>
              <w:adjustRightInd w:val="0"/>
              <w:snapToGrid w:val="0"/>
              <w:jc w:val="center"/>
              <w:rPr>
                <w:rFonts w:ascii="宋体" w:hAnsi="宋体"/>
                <w:color w:val="auto"/>
                <w:szCs w:val="21"/>
                <w:highlight w:val="none"/>
              </w:rPr>
            </w:pPr>
            <w:r>
              <w:rPr>
                <w:rFonts w:ascii="宋体" w:hAnsi="宋体"/>
                <w:color w:val="auto"/>
                <w:szCs w:val="21"/>
                <w:highlight w:val="none"/>
              </w:rPr>
              <w:t>3</w:t>
            </w:r>
          </w:p>
          <w:p>
            <w:pPr>
              <w:adjustRightInd w:val="0"/>
              <w:snapToGrid w:val="0"/>
              <w:jc w:val="center"/>
              <w:rPr>
                <w:rFonts w:ascii="宋体" w:hAnsi="宋体"/>
                <w:color w:val="auto"/>
                <w:highlight w:val="none"/>
              </w:rPr>
            </w:pPr>
            <w:r>
              <w:rPr>
                <w:rFonts w:hint="eastAsia" w:ascii="宋体" w:hAnsi="宋体"/>
                <w:color w:val="auto"/>
                <w:szCs w:val="21"/>
                <w:highlight w:val="none"/>
              </w:rPr>
              <w:t>分</w:t>
            </w:r>
          </w:p>
        </w:tc>
        <w:tc>
          <w:tcPr>
            <w:tcW w:w="5628" w:type="dxa"/>
            <w:vAlign w:val="center"/>
          </w:tcPr>
          <w:p>
            <w:pPr>
              <w:adjustRightInd w:val="0"/>
              <w:snapToGrid w:val="0"/>
              <w:spacing w:line="280" w:lineRule="atLeast"/>
              <w:ind w:left="210" w:leftChars="100"/>
              <w:textAlignment w:val="baseline"/>
              <w:rPr>
                <w:rFonts w:ascii="宋体" w:hAnsi="宋体"/>
                <w:color w:val="auto"/>
                <w:szCs w:val="21"/>
                <w:highlight w:val="none"/>
              </w:rPr>
            </w:pPr>
            <w:r>
              <w:rPr>
                <w:rFonts w:hint="eastAsia" w:ascii="宋体" w:hAnsi="宋体"/>
                <w:color w:val="auto"/>
                <w:szCs w:val="21"/>
                <w:highlight w:val="none"/>
              </w:rPr>
              <w:t>满足招标文件规定的缺陷责任期（免费保修与运维期）</w:t>
            </w:r>
            <w:r>
              <w:rPr>
                <w:rFonts w:ascii="宋体" w:hAnsi="宋体"/>
                <w:color w:val="auto"/>
                <w:szCs w:val="21"/>
                <w:highlight w:val="none"/>
              </w:rPr>
              <w:t>2</w:t>
            </w:r>
            <w:r>
              <w:rPr>
                <w:rFonts w:hint="eastAsia" w:ascii="宋体" w:hAnsi="宋体"/>
                <w:color w:val="auto"/>
                <w:szCs w:val="21"/>
                <w:highlight w:val="none"/>
              </w:rPr>
              <w:t>年的，得</w:t>
            </w:r>
            <w:r>
              <w:rPr>
                <w:rFonts w:ascii="宋体" w:hAnsi="宋体"/>
                <w:color w:val="auto"/>
                <w:szCs w:val="21"/>
                <w:highlight w:val="none"/>
              </w:rPr>
              <w:t>1.8</w:t>
            </w:r>
            <w:r>
              <w:rPr>
                <w:rFonts w:hint="eastAsia" w:ascii="宋体" w:hAnsi="宋体"/>
                <w:color w:val="auto"/>
                <w:szCs w:val="21"/>
                <w:highlight w:val="none"/>
              </w:rPr>
              <w:t>分。</w:t>
            </w:r>
          </w:p>
          <w:p>
            <w:pPr>
              <w:adjustRightInd w:val="0"/>
              <w:snapToGrid w:val="0"/>
              <w:spacing w:line="280" w:lineRule="atLeast"/>
              <w:ind w:left="210" w:leftChars="100"/>
              <w:textAlignment w:val="baseline"/>
              <w:rPr>
                <w:rFonts w:ascii="宋体" w:hAnsi="宋体"/>
                <w:color w:val="auto"/>
                <w:szCs w:val="21"/>
                <w:highlight w:val="none"/>
              </w:rPr>
            </w:pPr>
            <w:r>
              <w:rPr>
                <w:rFonts w:hint="eastAsia" w:ascii="宋体" w:hAnsi="宋体"/>
                <w:color w:val="auto"/>
                <w:szCs w:val="21"/>
                <w:highlight w:val="none"/>
              </w:rPr>
              <w:t>在此基础上，投标人承诺缺陷责任期（免费保修与运维期）每延长1年加</w:t>
            </w:r>
            <w:r>
              <w:rPr>
                <w:rFonts w:ascii="宋体" w:hAnsi="宋体"/>
                <w:color w:val="auto"/>
                <w:szCs w:val="21"/>
                <w:highlight w:val="none"/>
              </w:rPr>
              <w:t>0.4</w:t>
            </w:r>
            <w:r>
              <w:rPr>
                <w:rFonts w:hint="eastAsia" w:ascii="宋体" w:hAnsi="宋体"/>
                <w:color w:val="auto"/>
                <w:szCs w:val="21"/>
                <w:highlight w:val="none"/>
              </w:rPr>
              <w:t>分，最多加</w:t>
            </w:r>
            <w:r>
              <w:rPr>
                <w:rFonts w:ascii="宋体" w:hAnsi="宋体"/>
                <w:color w:val="auto"/>
                <w:szCs w:val="21"/>
                <w:highlight w:val="none"/>
              </w:rPr>
              <w:t>1.2</w:t>
            </w:r>
            <w:r>
              <w:rPr>
                <w:rFonts w:hint="eastAsia" w:ascii="宋体" w:hAnsi="宋体"/>
                <w:color w:val="auto"/>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678" w:hRule="atLeast"/>
        </w:trPr>
        <w:tc>
          <w:tcPr>
            <w:tcW w:w="659" w:type="dxa"/>
            <w:vAlign w:val="center"/>
          </w:tcPr>
          <w:p>
            <w:pPr>
              <w:snapToGrid w:val="0"/>
              <w:jc w:val="left"/>
              <w:rPr>
                <w:rFonts w:ascii="宋体" w:hAnsi="宋体"/>
                <w:color w:val="auto"/>
                <w:szCs w:val="21"/>
                <w:highlight w:val="none"/>
              </w:rPr>
            </w:pPr>
          </w:p>
        </w:tc>
        <w:tc>
          <w:tcPr>
            <w:tcW w:w="346" w:type="dxa"/>
            <w:vAlign w:val="center"/>
          </w:tcPr>
          <w:p>
            <w:pPr>
              <w:widowControl/>
              <w:snapToGrid w:val="0"/>
              <w:ind w:left="113"/>
              <w:jc w:val="left"/>
              <w:rPr>
                <w:rFonts w:ascii="宋体" w:hAnsi="宋体"/>
                <w:color w:val="auto"/>
                <w:szCs w:val="21"/>
                <w:highlight w:val="none"/>
              </w:rPr>
            </w:pPr>
          </w:p>
        </w:tc>
        <w:tc>
          <w:tcPr>
            <w:tcW w:w="346" w:type="dxa"/>
            <w:textDirection w:val="tbRlV"/>
            <w:vAlign w:val="center"/>
          </w:tcPr>
          <w:p>
            <w:pPr>
              <w:snapToGrid w:val="0"/>
              <w:ind w:left="113" w:right="113"/>
              <w:jc w:val="center"/>
              <w:rPr>
                <w:rFonts w:ascii="宋体" w:hAnsi="宋体"/>
                <w:color w:val="auto"/>
                <w:highlight w:val="none"/>
              </w:rPr>
            </w:pPr>
            <w:r>
              <w:rPr>
                <w:rStyle w:val="93"/>
                <w:rFonts w:hint="eastAsia"/>
                <w:color w:val="auto"/>
                <w:sz w:val="21"/>
                <w:szCs w:val="21"/>
                <w:highlight w:val="none"/>
                <w:lang w:eastAsia="zh-CN"/>
              </w:rPr>
              <w:t>主要设备</w:t>
            </w:r>
          </w:p>
        </w:tc>
        <w:tc>
          <w:tcPr>
            <w:tcW w:w="538" w:type="dxa"/>
            <w:vAlign w:val="center"/>
          </w:tcPr>
          <w:p>
            <w:pPr>
              <w:widowControl/>
              <w:snapToGrid w:val="0"/>
              <w:jc w:val="center"/>
              <w:rPr>
                <w:rFonts w:ascii="宋体" w:hAnsi="宋体"/>
                <w:color w:val="auto"/>
                <w:highlight w:val="none"/>
              </w:rPr>
            </w:pPr>
            <w:r>
              <w:rPr>
                <w:rFonts w:hint="eastAsia" w:ascii="宋体" w:hAnsi="宋体"/>
                <w:color w:val="auto"/>
                <w:szCs w:val="21"/>
                <w:highlight w:val="none"/>
              </w:rPr>
              <w:t>7分</w:t>
            </w:r>
          </w:p>
        </w:tc>
        <w:tc>
          <w:tcPr>
            <w:tcW w:w="987" w:type="dxa"/>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设备品牌与应用</w:t>
            </w:r>
          </w:p>
        </w:tc>
        <w:tc>
          <w:tcPr>
            <w:tcW w:w="550" w:type="dxa"/>
            <w:vAlign w:val="center"/>
          </w:tcPr>
          <w:p>
            <w:pPr>
              <w:adjustRightInd w:val="0"/>
              <w:snapToGrid w:val="0"/>
              <w:jc w:val="center"/>
              <w:rPr>
                <w:rFonts w:ascii="宋体" w:hAnsi="宋体"/>
                <w:color w:val="auto"/>
                <w:highlight w:val="none"/>
              </w:rPr>
            </w:pPr>
            <w:r>
              <w:rPr>
                <w:rFonts w:hint="eastAsia" w:ascii="宋体" w:hAnsi="宋体"/>
                <w:color w:val="auto"/>
                <w:szCs w:val="21"/>
                <w:highlight w:val="none"/>
              </w:rPr>
              <w:t>7分</w:t>
            </w:r>
          </w:p>
        </w:tc>
        <w:tc>
          <w:tcPr>
            <w:tcW w:w="5628" w:type="dxa"/>
            <w:vAlign w:val="center"/>
          </w:tcPr>
          <w:p>
            <w:pPr>
              <w:adjustRightInd w:val="0"/>
              <w:snapToGrid w:val="0"/>
              <w:spacing w:line="360" w:lineRule="auto"/>
              <w:ind w:firstLine="210"/>
              <w:textAlignment w:val="baseline"/>
              <w:rPr>
                <w:rFonts w:ascii="宋体" w:hAnsi="宋体"/>
                <w:color w:val="auto"/>
                <w:szCs w:val="21"/>
                <w:highlight w:val="none"/>
              </w:rPr>
            </w:pPr>
            <w:r>
              <w:rPr>
                <w:rFonts w:hint="eastAsia" w:ascii="宋体" w:hAnsi="宋体"/>
                <w:color w:val="auto"/>
                <w:szCs w:val="21"/>
                <w:highlight w:val="none"/>
              </w:rPr>
              <w:t>见附件</w:t>
            </w:r>
          </w:p>
        </w:tc>
      </w:tr>
    </w:tbl>
    <w:p>
      <w:pPr>
        <w:widowControl/>
        <w:jc w:val="left"/>
        <w:rPr>
          <w:rFonts w:ascii="黑体" w:hAnsi="黑体" w:eastAsia="黑体"/>
          <w:color w:val="auto"/>
          <w:sz w:val="28"/>
          <w:szCs w:val="28"/>
          <w:highlight w:val="none"/>
        </w:rPr>
      </w:pPr>
      <w:r>
        <w:rPr>
          <w:rFonts w:ascii="黑体" w:hAnsi="黑体" w:eastAsia="黑体"/>
          <w:color w:val="auto"/>
          <w:sz w:val="28"/>
          <w:szCs w:val="28"/>
          <w:highlight w:val="none"/>
        </w:rPr>
        <w:br w:type="page"/>
      </w:r>
    </w:p>
    <w:p>
      <w:pPr>
        <w:spacing w:before="240" w:beforeLines="100" w:after="100" w:afterAutospacing="1" w:line="320" w:lineRule="exact"/>
        <w:jc w:val="left"/>
        <w:rPr>
          <w:rFonts w:ascii="黑体" w:hAnsi="黑体" w:eastAsia="黑体"/>
          <w:bCs/>
          <w:color w:val="auto"/>
          <w:sz w:val="28"/>
          <w:szCs w:val="28"/>
          <w:highlight w:val="none"/>
          <w:lang w:val="zh-CN"/>
        </w:rPr>
      </w:pPr>
      <w:r>
        <w:rPr>
          <w:rFonts w:hint="eastAsia" w:ascii="黑体" w:hAnsi="黑体" w:eastAsia="黑体"/>
          <w:bCs/>
          <w:color w:val="auto"/>
          <w:sz w:val="28"/>
          <w:szCs w:val="28"/>
          <w:highlight w:val="none"/>
          <w:lang w:val="zh-CN"/>
        </w:rPr>
        <w:t>附件：主要机电设备品牌、应用评分标准</w:t>
      </w:r>
    </w:p>
    <w:p>
      <w:pPr>
        <w:rPr>
          <w:rFonts w:ascii="楷体" w:hAnsi="楷体" w:eastAsia="楷体"/>
          <w:color w:val="auto"/>
          <w:highlight w:val="none"/>
        </w:rPr>
      </w:pPr>
      <w:r>
        <w:rPr>
          <w:rFonts w:hint="eastAsia" w:ascii="楷体" w:hAnsi="楷体" w:eastAsia="楷体"/>
          <w:color w:val="auto"/>
          <w:highlight w:val="none"/>
        </w:rPr>
        <w:t>说明：</w:t>
      </w:r>
    </w:p>
    <w:p>
      <w:pPr>
        <w:rPr>
          <w:rFonts w:ascii="楷体" w:hAnsi="楷体" w:eastAsia="楷体"/>
          <w:color w:val="auto"/>
          <w:highlight w:val="none"/>
        </w:rPr>
      </w:pPr>
      <w:r>
        <w:rPr>
          <w:rFonts w:hint="eastAsia" w:ascii="楷体" w:hAnsi="楷体" w:eastAsia="楷体"/>
          <w:color w:val="auto"/>
          <w:highlight w:val="none"/>
        </w:rPr>
        <w:t>1.主要机电设备品牌、应用评分的计算方法：每个设备品牌、应用得分=品牌、应用得分×品牌、应用加权系数；</w:t>
      </w:r>
    </w:p>
    <w:p>
      <w:pPr>
        <w:rPr>
          <w:rFonts w:ascii="楷体" w:hAnsi="楷体" w:eastAsia="楷体"/>
          <w:color w:val="auto"/>
          <w:highlight w:val="none"/>
        </w:rPr>
      </w:pPr>
      <w:r>
        <w:rPr>
          <w:rFonts w:hint="eastAsia" w:ascii="楷体" w:hAnsi="楷体" w:eastAsia="楷体"/>
          <w:color w:val="auto"/>
          <w:highlight w:val="none"/>
        </w:rPr>
        <w:t>2.设备品牌、应用评分标准（见下表）；</w:t>
      </w:r>
    </w:p>
    <w:p>
      <w:pPr>
        <w:rPr>
          <w:rFonts w:ascii="楷体" w:hAnsi="楷体" w:eastAsia="楷体"/>
          <w:color w:val="auto"/>
          <w:highlight w:val="none"/>
        </w:rPr>
      </w:pPr>
      <w:r>
        <w:rPr>
          <w:rFonts w:hint="eastAsia" w:ascii="楷体" w:hAnsi="楷体" w:eastAsia="楷体"/>
          <w:color w:val="auto"/>
          <w:highlight w:val="none"/>
        </w:rPr>
        <w:t>3.得分计算保留两位小数，小数点后第三位“四舍五入”。</w:t>
      </w:r>
    </w:p>
    <w:p>
      <w:pPr>
        <w:rPr>
          <w:rFonts w:ascii="楷体" w:hAnsi="楷体" w:eastAsia="楷体"/>
          <w:color w:val="auto"/>
          <w:highlight w:val="none"/>
        </w:rPr>
      </w:pPr>
    </w:p>
    <w:p>
      <w:pPr>
        <w:rPr>
          <w:rFonts w:hint="eastAsia" w:ascii="楷体" w:hAnsi="楷体" w:eastAsia="楷体"/>
          <w:b/>
          <w:bCs/>
          <w:color w:val="auto"/>
          <w:highlight w:val="none"/>
        </w:rPr>
      </w:pPr>
      <w:r>
        <w:rPr>
          <w:rFonts w:hint="eastAsia" w:ascii="楷体" w:hAnsi="楷体" w:eastAsia="楷体"/>
          <w:b/>
          <w:bCs/>
          <w:color w:val="auto"/>
          <w:highlight w:val="none"/>
        </w:rPr>
        <w:t>JD01标段</w:t>
      </w:r>
    </w:p>
    <w:tbl>
      <w:tblPr>
        <w:tblStyle w:val="43"/>
        <w:tblpPr w:leftFromText="180" w:rightFromText="180" w:vertAnchor="text" w:horzAnchor="margin" w:tblpX="1" w:tblpY="177"/>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39"/>
        <w:gridCol w:w="3851"/>
        <w:gridCol w:w="1134"/>
        <w:gridCol w:w="116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2" w:hRule="atLeast"/>
        </w:trPr>
        <w:tc>
          <w:tcPr>
            <w:tcW w:w="539"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3851"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设备名称</w:t>
            </w:r>
          </w:p>
        </w:tc>
        <w:tc>
          <w:tcPr>
            <w:tcW w:w="1134" w:type="dxa"/>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品牌、应用</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得分</w:t>
            </w:r>
          </w:p>
        </w:tc>
        <w:tc>
          <w:tcPr>
            <w:tcW w:w="1166"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品牌、应用</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加权系数</w:t>
            </w:r>
          </w:p>
        </w:tc>
        <w:tc>
          <w:tcPr>
            <w:tcW w:w="2410"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品牌、应用</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加权系数标准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2" w:hRule="atLeast"/>
        </w:trPr>
        <w:tc>
          <w:tcPr>
            <w:tcW w:w="539"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3851" w:type="dxa"/>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流媒体转发服务器</w:t>
            </w:r>
          </w:p>
        </w:tc>
        <w:tc>
          <w:tcPr>
            <w:tcW w:w="1134" w:type="dxa"/>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1</w:t>
            </w:r>
          </w:p>
        </w:tc>
        <w:tc>
          <w:tcPr>
            <w:tcW w:w="1166" w:type="dxa"/>
            <w:vMerge w:val="restart"/>
            <w:vAlign w:val="center"/>
          </w:tcPr>
          <w:p>
            <w:pPr>
              <w:jc w:val="center"/>
              <w:rPr>
                <w:rFonts w:ascii="宋体" w:hAnsi="宋体" w:cs="宋体"/>
                <w:color w:val="auto"/>
                <w:kern w:val="0"/>
                <w:szCs w:val="21"/>
                <w:highlight w:val="none"/>
              </w:rPr>
            </w:pPr>
            <w:r>
              <w:rPr>
                <w:rFonts w:hint="eastAsia" w:ascii="宋体" w:hAnsi="宋体"/>
                <w:color w:val="auto"/>
                <w:szCs w:val="21"/>
                <w:highlight w:val="none"/>
                <w:lang w:val="en-US" w:eastAsia="zh-CN"/>
              </w:rPr>
              <w:t>0.6</w:t>
            </w:r>
            <w:r>
              <w:rPr>
                <w:rFonts w:hint="eastAsia" w:ascii="宋体" w:hAnsi="宋体"/>
                <w:color w:val="auto"/>
                <w:szCs w:val="21"/>
                <w:highlight w:val="none"/>
              </w:rPr>
              <w:t>～</w:t>
            </w:r>
            <w:r>
              <w:rPr>
                <w:rFonts w:hint="eastAsia" w:ascii="宋体" w:hAnsi="宋体"/>
                <w:color w:val="auto"/>
                <w:szCs w:val="21"/>
                <w:highlight w:val="none"/>
                <w:lang w:val="en-US" w:eastAsia="zh-CN"/>
              </w:rPr>
              <w:t>1</w:t>
            </w:r>
          </w:p>
        </w:tc>
        <w:tc>
          <w:tcPr>
            <w:tcW w:w="2410" w:type="dxa"/>
            <w:vMerge w:val="restart"/>
            <w:vAlign w:val="center"/>
          </w:tcPr>
          <w:p>
            <w:pPr>
              <w:rPr>
                <w:rFonts w:ascii="宋体" w:hAnsi="宋体"/>
                <w:color w:val="auto"/>
                <w:szCs w:val="21"/>
                <w:highlight w:val="none"/>
              </w:rPr>
            </w:pPr>
            <w:r>
              <w:rPr>
                <w:rFonts w:hint="eastAsia" w:ascii="宋体" w:hAnsi="宋体"/>
                <w:color w:val="auto"/>
                <w:szCs w:val="21"/>
                <w:highlight w:val="none"/>
              </w:rPr>
              <w:t>选用知名品牌、在国内行业中大范围使用的取</w:t>
            </w:r>
            <w:r>
              <w:rPr>
                <w:rFonts w:hint="eastAsia" w:ascii="宋体" w:hAnsi="宋体"/>
                <w:color w:val="auto"/>
                <w:szCs w:val="21"/>
                <w:highlight w:val="none"/>
                <w:lang w:val="en-US" w:eastAsia="zh-CN"/>
              </w:rPr>
              <w:t>1</w:t>
            </w:r>
            <w:r>
              <w:rPr>
                <w:rFonts w:hint="eastAsia" w:ascii="宋体" w:hAnsi="宋体"/>
                <w:color w:val="auto"/>
                <w:szCs w:val="21"/>
                <w:highlight w:val="none"/>
              </w:rPr>
              <w:t>；</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选用一般品牌、在国内行业中有一定比例使用的取</w:t>
            </w:r>
            <w:r>
              <w:rPr>
                <w:rFonts w:hint="eastAsia" w:ascii="宋体" w:hAnsi="宋体"/>
                <w:color w:val="auto"/>
                <w:szCs w:val="21"/>
                <w:highlight w:val="none"/>
                <w:lang w:val="en-US" w:eastAsia="zh-CN"/>
              </w:rPr>
              <w:t>0.8</w:t>
            </w:r>
            <w:r>
              <w:rPr>
                <w:rFonts w:hint="eastAsia" w:ascii="宋体" w:hAnsi="宋体"/>
                <w:color w:val="auto"/>
                <w:szCs w:val="21"/>
                <w:highlight w:val="none"/>
              </w:rPr>
              <w:t>；</w:t>
            </w:r>
          </w:p>
          <w:p>
            <w:pPr>
              <w:rPr>
                <w:rFonts w:ascii="宋体" w:hAnsi="宋体"/>
                <w:color w:val="auto"/>
                <w:szCs w:val="21"/>
                <w:highlight w:val="none"/>
              </w:rPr>
            </w:pPr>
          </w:p>
          <w:p>
            <w:pPr>
              <w:jc w:val="left"/>
              <w:rPr>
                <w:rFonts w:ascii="宋体" w:hAnsi="宋体" w:cs="宋体"/>
                <w:color w:val="auto"/>
                <w:kern w:val="0"/>
                <w:szCs w:val="21"/>
                <w:highlight w:val="none"/>
              </w:rPr>
            </w:pPr>
            <w:r>
              <w:rPr>
                <w:rFonts w:hint="eastAsia" w:ascii="宋体" w:hAnsi="宋体"/>
                <w:color w:val="auto"/>
                <w:szCs w:val="21"/>
                <w:highlight w:val="none"/>
              </w:rPr>
              <w:t>选用不知名品牌、在国内行业中有较少比例使用的取</w:t>
            </w:r>
            <w:r>
              <w:rPr>
                <w:rFonts w:hint="eastAsia" w:ascii="宋体" w:hAnsi="宋体"/>
                <w:color w:val="auto"/>
                <w:szCs w:val="21"/>
                <w:highlight w:val="none"/>
                <w:lang w:val="en-US" w:eastAsia="zh-CN"/>
              </w:rPr>
              <w:t>0.6</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2" w:hRule="atLeast"/>
        </w:trPr>
        <w:tc>
          <w:tcPr>
            <w:tcW w:w="539"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3851" w:type="dxa"/>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万兆核心交换机</w:t>
            </w:r>
          </w:p>
        </w:tc>
        <w:tc>
          <w:tcPr>
            <w:tcW w:w="1134"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w:t>
            </w:r>
          </w:p>
        </w:tc>
        <w:tc>
          <w:tcPr>
            <w:tcW w:w="1166" w:type="dxa"/>
            <w:vMerge w:val="continue"/>
            <w:vAlign w:val="center"/>
          </w:tcPr>
          <w:p>
            <w:pPr>
              <w:jc w:val="center"/>
              <w:rPr>
                <w:rFonts w:ascii="宋体" w:hAnsi="宋体" w:cs="宋体"/>
                <w:color w:val="auto"/>
                <w:kern w:val="0"/>
                <w:szCs w:val="21"/>
                <w:highlight w:val="none"/>
              </w:rPr>
            </w:pPr>
          </w:p>
        </w:tc>
        <w:tc>
          <w:tcPr>
            <w:tcW w:w="2410" w:type="dxa"/>
            <w:vMerge w:val="continue"/>
            <w:vAlign w:val="center"/>
          </w:tcPr>
          <w:p>
            <w:pPr>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2" w:hRule="atLeast"/>
        </w:trPr>
        <w:tc>
          <w:tcPr>
            <w:tcW w:w="539"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3851" w:type="dxa"/>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80公里万兆光模块</w:t>
            </w:r>
          </w:p>
        </w:tc>
        <w:tc>
          <w:tcPr>
            <w:tcW w:w="1134"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w:t>
            </w:r>
          </w:p>
        </w:tc>
        <w:tc>
          <w:tcPr>
            <w:tcW w:w="1166" w:type="dxa"/>
            <w:vMerge w:val="continue"/>
            <w:vAlign w:val="center"/>
          </w:tcPr>
          <w:p>
            <w:pPr>
              <w:jc w:val="center"/>
              <w:rPr>
                <w:rFonts w:ascii="宋体" w:hAnsi="宋体" w:cs="宋体"/>
                <w:color w:val="auto"/>
                <w:kern w:val="0"/>
                <w:szCs w:val="21"/>
                <w:highlight w:val="none"/>
              </w:rPr>
            </w:pPr>
          </w:p>
        </w:tc>
        <w:tc>
          <w:tcPr>
            <w:tcW w:w="2410" w:type="dxa"/>
            <w:vMerge w:val="continue"/>
            <w:vAlign w:val="center"/>
          </w:tcPr>
          <w:p>
            <w:pPr>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2" w:hRule="atLeast"/>
        </w:trPr>
        <w:tc>
          <w:tcPr>
            <w:tcW w:w="539"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3851" w:type="dxa"/>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汇聚交换机</w:t>
            </w:r>
          </w:p>
        </w:tc>
        <w:tc>
          <w:tcPr>
            <w:tcW w:w="1134"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w:t>
            </w:r>
          </w:p>
        </w:tc>
        <w:tc>
          <w:tcPr>
            <w:tcW w:w="1166" w:type="dxa"/>
            <w:vMerge w:val="continue"/>
            <w:vAlign w:val="center"/>
          </w:tcPr>
          <w:p>
            <w:pPr>
              <w:widowControl/>
              <w:jc w:val="center"/>
              <w:rPr>
                <w:rFonts w:ascii="宋体" w:hAnsi="宋体" w:cs="宋体"/>
                <w:color w:val="auto"/>
                <w:kern w:val="0"/>
                <w:szCs w:val="21"/>
                <w:highlight w:val="none"/>
              </w:rPr>
            </w:pPr>
          </w:p>
        </w:tc>
        <w:tc>
          <w:tcPr>
            <w:tcW w:w="2410" w:type="dxa"/>
            <w:vMerge w:val="continue"/>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2" w:hRule="atLeast"/>
        </w:trPr>
        <w:tc>
          <w:tcPr>
            <w:tcW w:w="539"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3851" w:type="dxa"/>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接入交换机</w:t>
            </w:r>
          </w:p>
        </w:tc>
        <w:tc>
          <w:tcPr>
            <w:tcW w:w="1134"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w:t>
            </w:r>
          </w:p>
        </w:tc>
        <w:tc>
          <w:tcPr>
            <w:tcW w:w="1166" w:type="dxa"/>
            <w:vMerge w:val="continue"/>
            <w:vAlign w:val="center"/>
          </w:tcPr>
          <w:p>
            <w:pPr>
              <w:widowControl/>
              <w:jc w:val="center"/>
              <w:rPr>
                <w:rFonts w:ascii="宋体" w:hAnsi="宋体" w:cs="宋体"/>
                <w:color w:val="auto"/>
                <w:kern w:val="0"/>
                <w:szCs w:val="21"/>
                <w:highlight w:val="none"/>
              </w:rPr>
            </w:pPr>
          </w:p>
        </w:tc>
        <w:tc>
          <w:tcPr>
            <w:tcW w:w="2410" w:type="dxa"/>
            <w:vMerge w:val="continue"/>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2" w:hRule="atLeast"/>
        </w:trPr>
        <w:tc>
          <w:tcPr>
            <w:tcW w:w="539"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3851" w:type="dxa"/>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环网工业以太网交换机</w:t>
            </w:r>
          </w:p>
        </w:tc>
        <w:tc>
          <w:tcPr>
            <w:tcW w:w="1134"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w:t>
            </w:r>
          </w:p>
        </w:tc>
        <w:tc>
          <w:tcPr>
            <w:tcW w:w="1166" w:type="dxa"/>
            <w:vMerge w:val="continue"/>
            <w:vAlign w:val="center"/>
          </w:tcPr>
          <w:p>
            <w:pPr>
              <w:widowControl/>
              <w:jc w:val="center"/>
              <w:rPr>
                <w:rFonts w:ascii="宋体" w:hAnsi="宋体" w:cs="宋体"/>
                <w:color w:val="auto"/>
                <w:kern w:val="0"/>
                <w:szCs w:val="21"/>
                <w:highlight w:val="none"/>
              </w:rPr>
            </w:pPr>
          </w:p>
        </w:tc>
        <w:tc>
          <w:tcPr>
            <w:tcW w:w="2410" w:type="dxa"/>
            <w:vMerge w:val="continue"/>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2" w:hRule="atLeast"/>
        </w:trPr>
        <w:tc>
          <w:tcPr>
            <w:tcW w:w="539"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3851" w:type="dxa"/>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磁盘阵列</w:t>
            </w:r>
          </w:p>
        </w:tc>
        <w:tc>
          <w:tcPr>
            <w:tcW w:w="1134" w:type="dxa"/>
            <w:vAlign w:val="center"/>
          </w:tcPr>
          <w:p>
            <w:pPr>
              <w:widowControl/>
              <w:jc w:val="center"/>
              <w:rPr>
                <w:rFonts w:hint="default" w:ascii="宋体" w:hAnsi="宋体" w:cs="宋体"/>
                <w:color w:val="auto"/>
                <w:kern w:val="0"/>
                <w:szCs w:val="21"/>
                <w:highlight w:val="none"/>
                <w:lang w:val="en-US"/>
              </w:rPr>
            </w:pPr>
            <w:r>
              <w:rPr>
                <w:rFonts w:hint="eastAsia" w:ascii="宋体" w:hAnsi="宋体" w:cs="宋体"/>
                <w:color w:val="auto"/>
                <w:kern w:val="0"/>
                <w:szCs w:val="21"/>
                <w:highlight w:val="none"/>
                <w:lang w:val="en-US" w:eastAsia="zh-CN"/>
              </w:rPr>
              <w:t>1</w:t>
            </w:r>
          </w:p>
        </w:tc>
        <w:tc>
          <w:tcPr>
            <w:tcW w:w="1166" w:type="dxa"/>
            <w:vMerge w:val="continue"/>
            <w:vAlign w:val="center"/>
          </w:tcPr>
          <w:p>
            <w:pPr>
              <w:widowControl/>
              <w:jc w:val="center"/>
              <w:rPr>
                <w:rFonts w:ascii="宋体" w:hAnsi="宋体" w:cs="宋体"/>
                <w:color w:val="auto"/>
                <w:kern w:val="0"/>
                <w:szCs w:val="21"/>
                <w:highlight w:val="none"/>
              </w:rPr>
            </w:pPr>
          </w:p>
        </w:tc>
        <w:tc>
          <w:tcPr>
            <w:tcW w:w="2410" w:type="dxa"/>
            <w:vMerge w:val="continue"/>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2" w:hRule="atLeast"/>
        </w:trPr>
        <w:tc>
          <w:tcPr>
            <w:tcW w:w="4390" w:type="dxa"/>
            <w:gridSpan w:val="2"/>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合计</w:t>
            </w:r>
          </w:p>
        </w:tc>
        <w:tc>
          <w:tcPr>
            <w:tcW w:w="1134"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7分</w:t>
            </w:r>
          </w:p>
        </w:tc>
        <w:tc>
          <w:tcPr>
            <w:tcW w:w="1166" w:type="dxa"/>
            <w:vMerge w:val="continue"/>
            <w:vAlign w:val="center"/>
          </w:tcPr>
          <w:p>
            <w:pPr>
              <w:widowControl/>
              <w:jc w:val="center"/>
              <w:rPr>
                <w:rFonts w:ascii="宋体" w:hAnsi="宋体" w:cs="宋体"/>
                <w:color w:val="auto"/>
                <w:kern w:val="0"/>
                <w:szCs w:val="21"/>
                <w:highlight w:val="none"/>
              </w:rPr>
            </w:pPr>
          </w:p>
        </w:tc>
        <w:tc>
          <w:tcPr>
            <w:tcW w:w="2410" w:type="dxa"/>
            <w:vMerge w:val="continue"/>
            <w:vAlign w:val="center"/>
          </w:tcPr>
          <w:p>
            <w:pPr>
              <w:widowControl/>
              <w:jc w:val="center"/>
              <w:rPr>
                <w:rFonts w:ascii="宋体" w:hAnsi="宋体" w:cs="宋体"/>
                <w:color w:val="auto"/>
                <w:kern w:val="0"/>
                <w:szCs w:val="21"/>
                <w:highlight w:val="none"/>
              </w:rPr>
            </w:pPr>
          </w:p>
        </w:tc>
      </w:tr>
    </w:tbl>
    <w:p>
      <w:pPr>
        <w:rPr>
          <w:rFonts w:ascii="楷体" w:hAnsi="楷体" w:eastAsia="楷体"/>
          <w:b/>
          <w:bCs/>
          <w:color w:val="auto"/>
          <w:highlight w:val="none"/>
        </w:rPr>
      </w:pPr>
    </w:p>
    <w:p>
      <w:pPr>
        <w:widowControl/>
        <w:jc w:val="left"/>
        <w:rPr>
          <w:rFonts w:ascii="楷体" w:hAnsi="楷体" w:eastAsia="楷体"/>
          <w:b/>
          <w:bCs/>
          <w:color w:val="auto"/>
          <w:highlight w:val="none"/>
        </w:rPr>
      </w:pPr>
      <w:r>
        <w:rPr>
          <w:rFonts w:ascii="楷体" w:hAnsi="楷体" w:eastAsia="楷体"/>
          <w:b/>
          <w:bCs/>
          <w:color w:val="auto"/>
          <w:highlight w:val="none"/>
        </w:rPr>
        <w:br w:type="page"/>
      </w:r>
    </w:p>
    <w:p>
      <w:pPr>
        <w:rPr>
          <w:rFonts w:hint="eastAsia" w:ascii="楷体" w:hAnsi="楷体" w:eastAsia="楷体"/>
          <w:b/>
          <w:bCs/>
          <w:color w:val="auto"/>
          <w:highlight w:val="none"/>
        </w:rPr>
      </w:pPr>
      <w:r>
        <w:rPr>
          <w:rFonts w:hint="eastAsia" w:ascii="楷体" w:hAnsi="楷体" w:eastAsia="楷体"/>
          <w:b/>
          <w:bCs/>
          <w:color w:val="auto"/>
          <w:highlight w:val="none"/>
        </w:rPr>
        <w:t>JD0</w:t>
      </w:r>
      <w:r>
        <w:rPr>
          <w:rFonts w:ascii="楷体" w:hAnsi="楷体" w:eastAsia="楷体"/>
          <w:b/>
          <w:bCs/>
          <w:color w:val="auto"/>
          <w:highlight w:val="none"/>
        </w:rPr>
        <w:t>2</w:t>
      </w:r>
      <w:r>
        <w:rPr>
          <w:rFonts w:hint="eastAsia" w:ascii="楷体" w:hAnsi="楷体" w:eastAsia="楷体"/>
          <w:b/>
          <w:bCs/>
          <w:color w:val="auto"/>
          <w:highlight w:val="none"/>
        </w:rPr>
        <w:t>标段</w:t>
      </w:r>
    </w:p>
    <w:tbl>
      <w:tblPr>
        <w:tblStyle w:val="43"/>
        <w:tblpPr w:leftFromText="180" w:rightFromText="180" w:vertAnchor="text" w:horzAnchor="margin" w:tblpX="1" w:tblpY="177"/>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39"/>
        <w:gridCol w:w="3851"/>
        <w:gridCol w:w="1134"/>
        <w:gridCol w:w="116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2" w:hRule="atLeast"/>
        </w:trPr>
        <w:tc>
          <w:tcPr>
            <w:tcW w:w="539"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3851"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设备名称</w:t>
            </w:r>
          </w:p>
        </w:tc>
        <w:tc>
          <w:tcPr>
            <w:tcW w:w="1134" w:type="dxa"/>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品牌、应用</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得分</w:t>
            </w:r>
          </w:p>
        </w:tc>
        <w:tc>
          <w:tcPr>
            <w:tcW w:w="1166"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品牌、应用</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加权系数</w:t>
            </w:r>
          </w:p>
        </w:tc>
        <w:tc>
          <w:tcPr>
            <w:tcW w:w="2410"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品牌、应用</w:t>
            </w:r>
          </w:p>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加权系数标准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2" w:hRule="atLeast"/>
        </w:trPr>
        <w:tc>
          <w:tcPr>
            <w:tcW w:w="539"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3851" w:type="dxa"/>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视频存储管理服务器</w:t>
            </w:r>
          </w:p>
        </w:tc>
        <w:tc>
          <w:tcPr>
            <w:tcW w:w="1134" w:type="dxa"/>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val="en-US" w:eastAsia="zh-CN"/>
              </w:rPr>
              <w:t>1</w:t>
            </w:r>
          </w:p>
        </w:tc>
        <w:tc>
          <w:tcPr>
            <w:tcW w:w="1166" w:type="dxa"/>
            <w:vMerge w:val="restart"/>
            <w:vAlign w:val="center"/>
          </w:tcPr>
          <w:p>
            <w:pPr>
              <w:jc w:val="center"/>
              <w:rPr>
                <w:rFonts w:ascii="宋体" w:hAnsi="宋体" w:cs="宋体"/>
                <w:color w:val="auto"/>
                <w:kern w:val="0"/>
                <w:szCs w:val="21"/>
                <w:highlight w:val="none"/>
              </w:rPr>
            </w:pPr>
            <w:r>
              <w:rPr>
                <w:rFonts w:hint="eastAsia" w:ascii="宋体" w:hAnsi="宋体"/>
                <w:color w:val="auto"/>
                <w:szCs w:val="21"/>
                <w:highlight w:val="none"/>
                <w:lang w:val="en-US" w:eastAsia="zh-CN"/>
              </w:rPr>
              <w:t>0.6</w:t>
            </w:r>
            <w:r>
              <w:rPr>
                <w:rFonts w:hint="eastAsia" w:ascii="宋体" w:hAnsi="宋体"/>
                <w:color w:val="auto"/>
                <w:szCs w:val="21"/>
                <w:highlight w:val="none"/>
              </w:rPr>
              <w:t>～</w:t>
            </w:r>
            <w:r>
              <w:rPr>
                <w:rFonts w:hint="eastAsia" w:ascii="宋体" w:hAnsi="宋体"/>
                <w:color w:val="auto"/>
                <w:szCs w:val="21"/>
                <w:highlight w:val="none"/>
                <w:lang w:val="en-US" w:eastAsia="zh-CN"/>
              </w:rPr>
              <w:t>1</w:t>
            </w:r>
          </w:p>
        </w:tc>
        <w:tc>
          <w:tcPr>
            <w:tcW w:w="2410" w:type="dxa"/>
            <w:vMerge w:val="restart"/>
            <w:vAlign w:val="center"/>
          </w:tcPr>
          <w:p>
            <w:pPr>
              <w:rPr>
                <w:rFonts w:ascii="宋体" w:hAnsi="宋体"/>
                <w:color w:val="auto"/>
                <w:szCs w:val="21"/>
                <w:highlight w:val="none"/>
              </w:rPr>
            </w:pPr>
            <w:r>
              <w:rPr>
                <w:rFonts w:hint="eastAsia" w:ascii="宋体" w:hAnsi="宋体"/>
                <w:color w:val="auto"/>
                <w:szCs w:val="21"/>
                <w:highlight w:val="none"/>
              </w:rPr>
              <w:t>选用知名品牌、在国内行业中大范围使用的取</w:t>
            </w:r>
            <w:r>
              <w:rPr>
                <w:rFonts w:hint="eastAsia" w:ascii="宋体" w:hAnsi="宋体"/>
                <w:color w:val="auto"/>
                <w:szCs w:val="21"/>
                <w:highlight w:val="none"/>
                <w:lang w:val="en-US" w:eastAsia="zh-CN"/>
              </w:rPr>
              <w:t>1</w:t>
            </w:r>
            <w:r>
              <w:rPr>
                <w:rFonts w:hint="eastAsia" w:ascii="宋体" w:hAnsi="宋体"/>
                <w:color w:val="auto"/>
                <w:szCs w:val="21"/>
                <w:highlight w:val="none"/>
              </w:rPr>
              <w:t>；</w:t>
            </w:r>
          </w:p>
          <w:p>
            <w:pPr>
              <w:rPr>
                <w:rFonts w:ascii="宋体" w:hAnsi="宋体"/>
                <w:color w:val="auto"/>
                <w:szCs w:val="21"/>
                <w:highlight w:val="none"/>
              </w:rPr>
            </w:pPr>
          </w:p>
          <w:p>
            <w:pPr>
              <w:rPr>
                <w:rFonts w:ascii="宋体" w:hAnsi="宋体"/>
                <w:color w:val="auto"/>
                <w:szCs w:val="21"/>
                <w:highlight w:val="none"/>
              </w:rPr>
            </w:pPr>
            <w:r>
              <w:rPr>
                <w:rFonts w:hint="eastAsia" w:ascii="宋体" w:hAnsi="宋体"/>
                <w:color w:val="auto"/>
                <w:szCs w:val="21"/>
                <w:highlight w:val="none"/>
              </w:rPr>
              <w:t>选用一般品牌、在国内行业中有一定比例使用的取</w:t>
            </w:r>
            <w:r>
              <w:rPr>
                <w:rFonts w:hint="eastAsia" w:ascii="宋体" w:hAnsi="宋体"/>
                <w:color w:val="auto"/>
                <w:szCs w:val="21"/>
                <w:highlight w:val="none"/>
                <w:lang w:val="en-US" w:eastAsia="zh-CN"/>
              </w:rPr>
              <w:t>0.8</w:t>
            </w:r>
            <w:r>
              <w:rPr>
                <w:rFonts w:hint="eastAsia" w:ascii="宋体" w:hAnsi="宋体"/>
                <w:color w:val="auto"/>
                <w:szCs w:val="21"/>
                <w:highlight w:val="none"/>
              </w:rPr>
              <w:t>；</w:t>
            </w:r>
          </w:p>
          <w:p>
            <w:pPr>
              <w:rPr>
                <w:rFonts w:ascii="宋体" w:hAnsi="宋体"/>
                <w:color w:val="auto"/>
                <w:szCs w:val="21"/>
                <w:highlight w:val="none"/>
              </w:rPr>
            </w:pPr>
          </w:p>
          <w:p>
            <w:pPr>
              <w:jc w:val="left"/>
              <w:rPr>
                <w:rFonts w:ascii="宋体" w:hAnsi="宋体" w:cs="宋体"/>
                <w:color w:val="auto"/>
                <w:kern w:val="0"/>
                <w:szCs w:val="21"/>
                <w:highlight w:val="none"/>
              </w:rPr>
            </w:pPr>
            <w:r>
              <w:rPr>
                <w:rFonts w:hint="eastAsia" w:ascii="宋体" w:hAnsi="宋体"/>
                <w:color w:val="auto"/>
                <w:szCs w:val="21"/>
                <w:highlight w:val="none"/>
              </w:rPr>
              <w:t>选用不知名品牌、在国内行业中有较少比例使用的取</w:t>
            </w:r>
            <w:r>
              <w:rPr>
                <w:rFonts w:hint="eastAsia" w:ascii="宋体" w:hAnsi="宋体"/>
                <w:color w:val="auto"/>
                <w:szCs w:val="21"/>
                <w:highlight w:val="none"/>
                <w:lang w:val="en-US" w:eastAsia="zh-CN"/>
              </w:rPr>
              <w:t>0.6</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2" w:hRule="atLeast"/>
        </w:trPr>
        <w:tc>
          <w:tcPr>
            <w:tcW w:w="539"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3851" w:type="dxa"/>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汇聚交换机</w:t>
            </w:r>
          </w:p>
        </w:tc>
        <w:tc>
          <w:tcPr>
            <w:tcW w:w="1134"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w:t>
            </w:r>
          </w:p>
        </w:tc>
        <w:tc>
          <w:tcPr>
            <w:tcW w:w="1166" w:type="dxa"/>
            <w:vMerge w:val="continue"/>
            <w:vAlign w:val="center"/>
          </w:tcPr>
          <w:p>
            <w:pPr>
              <w:jc w:val="center"/>
              <w:rPr>
                <w:rFonts w:ascii="宋体" w:hAnsi="宋体" w:cs="宋体"/>
                <w:color w:val="auto"/>
                <w:kern w:val="0"/>
                <w:szCs w:val="21"/>
                <w:highlight w:val="none"/>
              </w:rPr>
            </w:pPr>
          </w:p>
        </w:tc>
        <w:tc>
          <w:tcPr>
            <w:tcW w:w="2410" w:type="dxa"/>
            <w:vMerge w:val="continue"/>
            <w:vAlign w:val="center"/>
          </w:tcPr>
          <w:p>
            <w:pPr>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2" w:hRule="atLeast"/>
        </w:trPr>
        <w:tc>
          <w:tcPr>
            <w:tcW w:w="539"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3851" w:type="dxa"/>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环网工业以太网交换机</w:t>
            </w:r>
          </w:p>
        </w:tc>
        <w:tc>
          <w:tcPr>
            <w:tcW w:w="1134"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w:t>
            </w:r>
          </w:p>
        </w:tc>
        <w:tc>
          <w:tcPr>
            <w:tcW w:w="1166" w:type="dxa"/>
            <w:vMerge w:val="continue"/>
            <w:vAlign w:val="center"/>
          </w:tcPr>
          <w:p>
            <w:pPr>
              <w:jc w:val="center"/>
              <w:rPr>
                <w:rFonts w:ascii="宋体" w:hAnsi="宋体" w:cs="宋体"/>
                <w:color w:val="auto"/>
                <w:kern w:val="0"/>
                <w:szCs w:val="21"/>
                <w:highlight w:val="none"/>
              </w:rPr>
            </w:pPr>
          </w:p>
        </w:tc>
        <w:tc>
          <w:tcPr>
            <w:tcW w:w="2410" w:type="dxa"/>
            <w:vMerge w:val="continue"/>
            <w:vAlign w:val="center"/>
          </w:tcPr>
          <w:p>
            <w:pPr>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2" w:hRule="atLeast"/>
        </w:trPr>
        <w:tc>
          <w:tcPr>
            <w:tcW w:w="539"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3851" w:type="dxa"/>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视频上云网关（100路）</w:t>
            </w:r>
          </w:p>
        </w:tc>
        <w:tc>
          <w:tcPr>
            <w:tcW w:w="1134"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w:t>
            </w:r>
          </w:p>
        </w:tc>
        <w:tc>
          <w:tcPr>
            <w:tcW w:w="1166" w:type="dxa"/>
            <w:vMerge w:val="continue"/>
            <w:vAlign w:val="center"/>
          </w:tcPr>
          <w:p>
            <w:pPr>
              <w:widowControl/>
              <w:jc w:val="center"/>
              <w:rPr>
                <w:rFonts w:ascii="宋体" w:hAnsi="宋体" w:cs="宋体"/>
                <w:color w:val="auto"/>
                <w:kern w:val="0"/>
                <w:szCs w:val="21"/>
                <w:highlight w:val="none"/>
              </w:rPr>
            </w:pPr>
          </w:p>
        </w:tc>
        <w:tc>
          <w:tcPr>
            <w:tcW w:w="2410" w:type="dxa"/>
            <w:vMerge w:val="continue"/>
            <w:vAlign w:val="center"/>
          </w:tcPr>
          <w:p>
            <w:pPr>
              <w:widowControl/>
              <w:jc w:val="left"/>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2" w:hRule="atLeast"/>
        </w:trPr>
        <w:tc>
          <w:tcPr>
            <w:tcW w:w="539"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3851" w:type="dxa"/>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视频上云网关（200路）</w:t>
            </w:r>
          </w:p>
        </w:tc>
        <w:tc>
          <w:tcPr>
            <w:tcW w:w="1134"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w:t>
            </w:r>
          </w:p>
        </w:tc>
        <w:tc>
          <w:tcPr>
            <w:tcW w:w="1166" w:type="dxa"/>
            <w:vMerge w:val="continue"/>
            <w:vAlign w:val="center"/>
          </w:tcPr>
          <w:p>
            <w:pPr>
              <w:widowControl/>
              <w:jc w:val="center"/>
              <w:rPr>
                <w:rFonts w:ascii="宋体" w:hAnsi="宋体" w:cs="宋体"/>
                <w:color w:val="auto"/>
                <w:kern w:val="0"/>
                <w:szCs w:val="21"/>
                <w:highlight w:val="none"/>
              </w:rPr>
            </w:pPr>
          </w:p>
        </w:tc>
        <w:tc>
          <w:tcPr>
            <w:tcW w:w="2410" w:type="dxa"/>
            <w:vMerge w:val="continue"/>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2" w:hRule="atLeast"/>
        </w:trPr>
        <w:tc>
          <w:tcPr>
            <w:tcW w:w="539"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3851" w:type="dxa"/>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磁盘阵列</w:t>
            </w:r>
          </w:p>
        </w:tc>
        <w:tc>
          <w:tcPr>
            <w:tcW w:w="1134"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1</w:t>
            </w:r>
          </w:p>
        </w:tc>
        <w:tc>
          <w:tcPr>
            <w:tcW w:w="1166" w:type="dxa"/>
            <w:vMerge w:val="continue"/>
            <w:vAlign w:val="center"/>
          </w:tcPr>
          <w:p>
            <w:pPr>
              <w:widowControl/>
              <w:jc w:val="center"/>
              <w:rPr>
                <w:rFonts w:ascii="宋体" w:hAnsi="宋体" w:cs="宋体"/>
                <w:color w:val="auto"/>
                <w:kern w:val="0"/>
                <w:szCs w:val="21"/>
                <w:highlight w:val="none"/>
              </w:rPr>
            </w:pPr>
          </w:p>
        </w:tc>
        <w:tc>
          <w:tcPr>
            <w:tcW w:w="2410" w:type="dxa"/>
            <w:vMerge w:val="continue"/>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2" w:hRule="atLeast"/>
        </w:trPr>
        <w:tc>
          <w:tcPr>
            <w:tcW w:w="539"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3851" w:type="dxa"/>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高清网络遥控摄像机</w:t>
            </w:r>
          </w:p>
        </w:tc>
        <w:tc>
          <w:tcPr>
            <w:tcW w:w="1134" w:type="dxa"/>
            <w:vAlign w:val="center"/>
          </w:tcPr>
          <w:p>
            <w:pPr>
              <w:widowControl/>
              <w:jc w:val="center"/>
              <w:rPr>
                <w:rFonts w:hint="default" w:ascii="宋体" w:hAnsi="宋体" w:cs="宋体"/>
                <w:color w:val="auto"/>
                <w:kern w:val="0"/>
                <w:szCs w:val="21"/>
                <w:highlight w:val="none"/>
                <w:lang w:val="en-US"/>
              </w:rPr>
            </w:pPr>
            <w:r>
              <w:rPr>
                <w:rFonts w:hint="eastAsia" w:ascii="宋体" w:hAnsi="宋体" w:cs="宋体"/>
                <w:color w:val="auto"/>
                <w:kern w:val="0"/>
                <w:szCs w:val="21"/>
                <w:highlight w:val="none"/>
                <w:lang w:val="en-US" w:eastAsia="zh-CN"/>
              </w:rPr>
              <w:t>1</w:t>
            </w:r>
          </w:p>
        </w:tc>
        <w:tc>
          <w:tcPr>
            <w:tcW w:w="1166" w:type="dxa"/>
            <w:vMerge w:val="continue"/>
            <w:vAlign w:val="center"/>
          </w:tcPr>
          <w:p>
            <w:pPr>
              <w:widowControl/>
              <w:jc w:val="center"/>
              <w:rPr>
                <w:rFonts w:ascii="宋体" w:hAnsi="宋体" w:cs="宋体"/>
                <w:color w:val="auto"/>
                <w:kern w:val="0"/>
                <w:szCs w:val="21"/>
                <w:highlight w:val="none"/>
              </w:rPr>
            </w:pPr>
          </w:p>
        </w:tc>
        <w:tc>
          <w:tcPr>
            <w:tcW w:w="2410" w:type="dxa"/>
            <w:vMerge w:val="continue"/>
            <w:vAlign w:val="center"/>
          </w:tcPr>
          <w:p>
            <w:pPr>
              <w:widowControl/>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2" w:hRule="atLeast"/>
        </w:trPr>
        <w:tc>
          <w:tcPr>
            <w:tcW w:w="4390" w:type="dxa"/>
            <w:gridSpan w:val="2"/>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合计</w:t>
            </w:r>
          </w:p>
        </w:tc>
        <w:tc>
          <w:tcPr>
            <w:tcW w:w="1134"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7分</w:t>
            </w:r>
          </w:p>
        </w:tc>
        <w:tc>
          <w:tcPr>
            <w:tcW w:w="1166" w:type="dxa"/>
            <w:vMerge w:val="continue"/>
            <w:vAlign w:val="center"/>
          </w:tcPr>
          <w:p>
            <w:pPr>
              <w:widowControl/>
              <w:jc w:val="center"/>
              <w:rPr>
                <w:rFonts w:ascii="宋体" w:hAnsi="宋体" w:cs="宋体"/>
                <w:color w:val="auto"/>
                <w:kern w:val="0"/>
                <w:szCs w:val="21"/>
                <w:highlight w:val="none"/>
              </w:rPr>
            </w:pPr>
          </w:p>
        </w:tc>
        <w:tc>
          <w:tcPr>
            <w:tcW w:w="2410" w:type="dxa"/>
            <w:vMerge w:val="continue"/>
            <w:vAlign w:val="center"/>
          </w:tcPr>
          <w:p>
            <w:pPr>
              <w:widowControl/>
              <w:jc w:val="center"/>
              <w:rPr>
                <w:rFonts w:ascii="宋体" w:hAnsi="宋体" w:cs="宋体"/>
                <w:color w:val="auto"/>
                <w:kern w:val="0"/>
                <w:szCs w:val="21"/>
                <w:highlight w:val="none"/>
              </w:rPr>
            </w:pPr>
          </w:p>
        </w:tc>
      </w:tr>
    </w:tbl>
    <w:p>
      <w:pPr>
        <w:widowControl/>
        <w:jc w:val="left"/>
        <w:rPr>
          <w:rFonts w:ascii="黑体" w:hAnsi="黑体" w:eastAsia="黑体"/>
          <w:color w:val="auto"/>
          <w:sz w:val="28"/>
          <w:szCs w:val="28"/>
          <w:highlight w:val="none"/>
        </w:rPr>
      </w:pPr>
    </w:p>
    <w:p>
      <w:pPr>
        <w:adjustRightInd w:val="0"/>
        <w:snapToGrid w:val="0"/>
        <w:jc w:val="center"/>
        <w:rPr>
          <w:rFonts w:ascii="宋体" w:hAnsi="宋体" w:eastAsia="宋体" w:cs="Times New Roman"/>
          <w:b/>
          <w:sz w:val="28"/>
          <w:szCs w:val="28"/>
        </w:rPr>
      </w:pPr>
      <w:bookmarkStart w:id="20" w:name="_Toc46746196"/>
      <w:r>
        <w:rPr>
          <w:rFonts w:hint="eastAsia" w:ascii="宋体" w:hAnsi="宋体" w:eastAsia="宋体" w:cs="Times New Roman"/>
          <w:b/>
          <w:sz w:val="28"/>
          <w:szCs w:val="28"/>
        </w:rPr>
        <w:t>评标办法正文</w:t>
      </w:r>
      <w:bookmarkEnd w:id="20"/>
    </w:p>
    <w:p>
      <w:pPr>
        <w:snapToGrid w:val="0"/>
        <w:ind w:firstLine="420" w:firstLineChars="200"/>
        <w:rPr>
          <w:rFonts w:ascii="宋体" w:hAnsi="宋体" w:eastAsia="宋体"/>
          <w:szCs w:val="21"/>
        </w:rPr>
      </w:pPr>
    </w:p>
    <w:p>
      <w:pPr>
        <w:snapToGrid w:val="0"/>
        <w:ind w:firstLine="420" w:firstLineChars="200"/>
        <w:rPr>
          <w:rFonts w:ascii="宋体" w:hAnsi="宋体" w:eastAsia="宋体"/>
          <w:szCs w:val="21"/>
        </w:rPr>
      </w:pPr>
      <w:r>
        <w:rPr>
          <w:rFonts w:hint="eastAsia" w:ascii="宋体" w:hAnsi="宋体" w:eastAsia="宋体"/>
          <w:szCs w:val="21"/>
        </w:rPr>
        <w:t>见《公路工程标准文件》（2018年版）</w:t>
      </w:r>
    </w:p>
    <w:p>
      <w:pPr>
        <w:widowControl/>
        <w:snapToGrid w:val="0"/>
        <w:spacing w:line="20" w:lineRule="exact"/>
        <w:jc w:val="left"/>
        <w:rPr>
          <w:rFonts w:ascii="黑体" w:hAnsi="黑体" w:eastAsia="黑体"/>
          <w:color w:val="auto"/>
          <w:sz w:val="28"/>
          <w:szCs w:val="28"/>
          <w:highlight w:val="none"/>
        </w:rPr>
      </w:pPr>
    </w:p>
    <w:p>
      <w:pPr>
        <w:widowControl/>
        <w:snapToGrid w:val="0"/>
        <w:spacing w:line="20" w:lineRule="exact"/>
        <w:jc w:val="left"/>
        <w:rPr>
          <w:rFonts w:ascii="黑体" w:hAnsi="黑体" w:eastAsia="黑体"/>
          <w:color w:val="auto"/>
          <w:sz w:val="28"/>
          <w:szCs w:val="28"/>
          <w:highlight w:val="none"/>
        </w:rPr>
      </w:pPr>
    </w:p>
    <w:p>
      <w:pPr>
        <w:rPr>
          <w:color w:val="auto"/>
          <w:sz w:val="30"/>
          <w:szCs w:val="30"/>
          <w:highlight w:val="none"/>
        </w:rPr>
      </w:pPr>
      <w:bookmarkStart w:id="21" w:name="_Toc11728"/>
      <w:bookmarkStart w:id="22" w:name="_Toc484950609"/>
      <w:r>
        <w:rPr>
          <w:b w:val="0"/>
          <w:bCs w:val="0"/>
          <w:color w:val="auto"/>
          <w:highlight w:val="none"/>
        </w:rPr>
        <w:br w:type="textWrapping"/>
      </w:r>
      <w:bookmarkEnd w:id="18"/>
      <w:bookmarkEnd w:id="21"/>
      <w:bookmarkEnd w:id="22"/>
    </w:p>
    <w:sectPr>
      <w:headerReference r:id="rId4" w:type="default"/>
      <w:footerReference r:id="rId5" w:type="default"/>
      <w:footnotePr>
        <w:numFmt w:val="decimalEnclosedCircleChinese"/>
        <w:numRestart w:val="eachPage"/>
      </w:footnotePr>
      <w:pgSz w:w="11907" w:h="16840"/>
      <w:pgMar w:top="1418" w:right="1418" w:bottom="1418" w:left="1418" w:header="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enlo">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swiss"/>
    <w:pitch w:val="default"/>
    <w:sig w:usb0="80001AFF" w:usb1="0000396B" w:usb2="00000000" w:usb3="00000000" w:csb0="200000BF" w:csb1="D7F70000"/>
  </w:font>
  <w:font w:name="Sylfaen">
    <w:panose1 w:val="010A0502050306030303"/>
    <w:charset w:val="00"/>
    <w:family w:val="roman"/>
    <w:pitch w:val="default"/>
    <w:sig w:usb0="040006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MingLiU">
    <w:altName w:val="PMingLiU-ExtB"/>
    <w:panose1 w:val="02020509000000000000"/>
    <w:charset w:val="88"/>
    <w:family w:val="modern"/>
    <w:pitch w:val="default"/>
    <w:sig w:usb0="00000000" w:usb1="00000000" w:usb2="00000016" w:usb3="00000000" w:csb0="00100001"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方正超粗黑简体">
    <w:altName w:val="黑体"/>
    <w:panose1 w:val="00000000000000000000"/>
    <w:charset w:val="86"/>
    <w:family w:val="script"/>
    <w:pitch w:val="default"/>
    <w:sig w:usb0="00000000" w:usb1="00000000" w:usb2="00000000" w:usb3="00000000" w:csb0="00040000"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大标宋简体">
    <w:altName w:val="微软雅黑"/>
    <w:panose1 w:val="00000000000000000000"/>
    <w:charset w:val="86"/>
    <w:family w:val="script"/>
    <w:pitch w:val="default"/>
    <w:sig w:usb0="00000000" w:usb1="0000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lang w:val="en-US"/>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8"/>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rqpjkUAgAAFw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euqmORQCAAAXBAAADgAAAAAAAAAB&#10;ACAAAAAfAQAAZHJzL2Uyb0RvYy54bWxQSwUGAAAAAAYABgBZAQAApQUAAAAA&#10;">
              <v:fill on="f" focussize="0,0"/>
              <v:stroke on="f" weight="0.5pt"/>
              <v:imagedata o:title=""/>
              <o:lock v:ext="edit" aspectratio="f"/>
              <v:textbox inset="0mm,0mm,0mm,0mm" style="mso-fit-shape-to-text:t;">
                <w:txbxContent>
                  <w:p>
                    <w:pPr>
                      <w:pStyle w:val="28"/>
                    </w:pPr>
                  </w:p>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3"/>
        <w:jc w:val="both"/>
        <w:rPr>
          <w:rFonts w:ascii="宋体" w:hAnsi="宋体"/>
        </w:rPr>
      </w:pPr>
      <w:r>
        <w:rPr>
          <w:rStyle w:val="55"/>
        </w:rPr>
        <w:footnoteRef/>
      </w:r>
      <w:r>
        <w:rPr>
          <w:rFonts w:hint="eastAsia"/>
        </w:rPr>
        <w:t xml:space="preserve"> </w:t>
      </w:r>
      <w:r>
        <w:rPr>
          <w:rFonts w:hint="eastAsia" w:ascii="宋体" w:hAnsi="宋体"/>
        </w:rPr>
        <w:t>a.“投标人须知前附表”用于进一步明确正文中的未尽事宜，凡“投标人须知前附表”对本章正文内容进行补充和细化的，均以“投标人须知前附表”为准；未进行补充和细化的，以本章正文内容为准。</w:t>
      </w:r>
    </w:p>
    <w:p>
      <w:pPr>
        <w:pStyle w:val="33"/>
        <w:ind w:firstLine="180" w:firstLineChars="100"/>
        <w:jc w:val="both"/>
        <w:rPr>
          <w:rFonts w:ascii="宋体" w:hAnsi="宋体"/>
        </w:rPr>
      </w:pPr>
      <w:r>
        <w:rPr>
          <w:rFonts w:hint="eastAsia" w:ascii="宋体" w:hAnsi="宋体"/>
        </w:rPr>
        <w:t>b.“投标人须知前附表”中的附录表格同属“投标人须知前附表”内容，具有同等效力。</w:t>
      </w:r>
    </w:p>
  </w:footnote>
  <w:footnote w:id="1">
    <w:p>
      <w:pPr>
        <w:pStyle w:val="33"/>
      </w:pPr>
      <w:r>
        <w:rPr>
          <w:rStyle w:val="55"/>
        </w:rPr>
        <w:footnoteRef/>
      </w:r>
      <w:r>
        <w:rPr>
          <w:rFonts w:hint="eastAsia"/>
          <w:b/>
          <w:lang w:val="en-US"/>
        </w:rPr>
        <w:t>本表中投标人自有人员</w:t>
      </w:r>
      <w:r>
        <w:rPr>
          <w:rFonts w:hint="eastAsia"/>
          <w:lang w:val="en-US"/>
        </w:rPr>
        <w:t>指投标人为其缴纳社会保险（指养老保险）的人员，</w:t>
      </w:r>
      <w:r>
        <w:rPr>
          <w:lang w:val="en-US"/>
        </w:rPr>
        <w:t>参保截止日期应在申请截止时间前3个月内</w:t>
      </w:r>
      <w:r>
        <w:rPr>
          <w:rFonts w:hint="eastAsia"/>
          <w:lang w:val="en-US"/>
        </w:rPr>
        <w:t>。</w:t>
      </w:r>
    </w:p>
  </w:footnote>
  <w:footnote w:id="2">
    <w:p>
      <w:pPr>
        <w:pStyle w:val="33"/>
        <w:spacing w:line="320" w:lineRule="exact"/>
        <w:jc w:val="both"/>
      </w:pPr>
      <w:r>
        <w:rPr>
          <w:rStyle w:val="55"/>
        </w:rPr>
        <w:footnoteRef/>
      </w:r>
      <w:r>
        <w:t xml:space="preserve"> </w:t>
      </w:r>
      <w:r>
        <w:rPr>
          <w:rFonts w:hint="eastAsia"/>
        </w:rPr>
        <w:t>“评标办法前附表”用于进一步明确正文中的未尽事宜，凡“评标办法前附表”对本章正文内容进行修改、完善和补充的，均以“评标办法前附表”为准；未进行补充、完善、修改和说明的，以本章正文内容为准。</w:t>
      </w:r>
    </w:p>
  </w:footnote>
  <w:footnote w:id="3">
    <w:p>
      <w:pPr>
        <w:pStyle w:val="33"/>
        <w:jc w:val="both"/>
      </w:pPr>
      <w:r>
        <w:rPr>
          <w:rStyle w:val="55"/>
        </w:rPr>
        <w:footnoteRef/>
      </w:r>
      <w:r>
        <w:t xml:space="preserve"> </w:t>
      </w:r>
      <w:r>
        <w:rPr>
          <w:rFonts w:hint="eastAsia"/>
        </w:rPr>
        <w:t>各评分因素（评标价和履约信誉评分项除外）得分一般不得低于其权重分值的 60%，且各评分因素得分应以评标委员会各成员的打分平均值确定，评标委员会成员总数为7人以上时，该平均值以去掉一个最高分和一个最低分后计算。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26185"/>
    <w:multiLevelType w:val="multilevel"/>
    <w:tmpl w:val="34A26185"/>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72C0C1D"/>
    <w:multiLevelType w:val="singleLevel"/>
    <w:tmpl w:val="572C0C1D"/>
    <w:lvl w:ilvl="0" w:tentative="0">
      <w:start w:val="1"/>
      <w:numFmt w:val="decimal"/>
      <w:suff w:val="nothing"/>
      <w:lvlText w:val="（%1）"/>
      <w:lvlJc w:val="left"/>
    </w:lvl>
  </w:abstractNum>
  <w:abstractNum w:abstractNumId="2">
    <w:nsid w:val="7D050ADF"/>
    <w:multiLevelType w:val="multilevel"/>
    <w:tmpl w:val="7D050ADF"/>
    <w:lvl w:ilvl="0" w:tentative="0">
      <w:start w:val="1"/>
      <w:numFmt w:val="decimal"/>
      <w:suff w:val="nothing"/>
      <w:lvlText w:val="（%1）"/>
      <w:lvlJc w:val="left"/>
      <w:pPr>
        <w:ind w:left="142" w:firstLine="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0"/>
  <w:bordersDoNotSurroundFooter w:val="0"/>
  <w:hideSpellingErrors/>
  <w:hideGrammaticalErrors/>
  <w:documentProtection w:enforcement="0"/>
  <w:defaultTabStop w:val="720"/>
  <w:doNotHyphenateCaps/>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doNotValidateAgainstSchema/>
  <w:doNotDemarcateInvalidXml/>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FA0"/>
    <w:rsid w:val="00054061"/>
    <w:rsid w:val="00060264"/>
    <w:rsid w:val="00081969"/>
    <w:rsid w:val="000A6EF0"/>
    <w:rsid w:val="000B302D"/>
    <w:rsid w:val="000B302F"/>
    <w:rsid w:val="000B65DD"/>
    <w:rsid w:val="000C0DD0"/>
    <w:rsid w:val="000E4E91"/>
    <w:rsid w:val="000E4F70"/>
    <w:rsid w:val="000E727F"/>
    <w:rsid w:val="00112EA1"/>
    <w:rsid w:val="001149C9"/>
    <w:rsid w:val="00170DE4"/>
    <w:rsid w:val="00172A27"/>
    <w:rsid w:val="00192C1D"/>
    <w:rsid w:val="0019533C"/>
    <w:rsid w:val="001B446F"/>
    <w:rsid w:val="001B54B6"/>
    <w:rsid w:val="001F1E02"/>
    <w:rsid w:val="0021267C"/>
    <w:rsid w:val="00217563"/>
    <w:rsid w:val="00232CE0"/>
    <w:rsid w:val="002663B3"/>
    <w:rsid w:val="00267976"/>
    <w:rsid w:val="00274177"/>
    <w:rsid w:val="00292772"/>
    <w:rsid w:val="002965D0"/>
    <w:rsid w:val="002E49BB"/>
    <w:rsid w:val="003254AD"/>
    <w:rsid w:val="00327CD7"/>
    <w:rsid w:val="00332494"/>
    <w:rsid w:val="003562A5"/>
    <w:rsid w:val="00356806"/>
    <w:rsid w:val="00366DB5"/>
    <w:rsid w:val="003D02A6"/>
    <w:rsid w:val="003D4B01"/>
    <w:rsid w:val="0040417E"/>
    <w:rsid w:val="00406697"/>
    <w:rsid w:val="00442D45"/>
    <w:rsid w:val="00462880"/>
    <w:rsid w:val="00462B03"/>
    <w:rsid w:val="00463861"/>
    <w:rsid w:val="004A78B7"/>
    <w:rsid w:val="004C1A85"/>
    <w:rsid w:val="004C3BEF"/>
    <w:rsid w:val="004D5FDB"/>
    <w:rsid w:val="004E1F3A"/>
    <w:rsid w:val="00506990"/>
    <w:rsid w:val="00517FD1"/>
    <w:rsid w:val="00521D3C"/>
    <w:rsid w:val="005304C2"/>
    <w:rsid w:val="005402D4"/>
    <w:rsid w:val="00561333"/>
    <w:rsid w:val="00592E4C"/>
    <w:rsid w:val="005A3349"/>
    <w:rsid w:val="005F382F"/>
    <w:rsid w:val="005F6AF0"/>
    <w:rsid w:val="00627E56"/>
    <w:rsid w:val="00652186"/>
    <w:rsid w:val="00673CA8"/>
    <w:rsid w:val="00676472"/>
    <w:rsid w:val="00683E0D"/>
    <w:rsid w:val="006846FF"/>
    <w:rsid w:val="0069365A"/>
    <w:rsid w:val="00721CEE"/>
    <w:rsid w:val="00734609"/>
    <w:rsid w:val="00746DF7"/>
    <w:rsid w:val="0076235F"/>
    <w:rsid w:val="007A7E93"/>
    <w:rsid w:val="007D1521"/>
    <w:rsid w:val="007D19FF"/>
    <w:rsid w:val="007D7F0E"/>
    <w:rsid w:val="007F4F59"/>
    <w:rsid w:val="00801561"/>
    <w:rsid w:val="00815C8D"/>
    <w:rsid w:val="00820735"/>
    <w:rsid w:val="00821B00"/>
    <w:rsid w:val="00826B79"/>
    <w:rsid w:val="008660CD"/>
    <w:rsid w:val="00894C81"/>
    <w:rsid w:val="008A515B"/>
    <w:rsid w:val="008B4365"/>
    <w:rsid w:val="008C4DF1"/>
    <w:rsid w:val="008D739F"/>
    <w:rsid w:val="008E11B5"/>
    <w:rsid w:val="00944FAA"/>
    <w:rsid w:val="00964FD6"/>
    <w:rsid w:val="00983D13"/>
    <w:rsid w:val="00986C3D"/>
    <w:rsid w:val="009A33EB"/>
    <w:rsid w:val="009B00AB"/>
    <w:rsid w:val="009B0FFC"/>
    <w:rsid w:val="009B4E2A"/>
    <w:rsid w:val="009D4C19"/>
    <w:rsid w:val="00A1446F"/>
    <w:rsid w:val="00A26C02"/>
    <w:rsid w:val="00A50A30"/>
    <w:rsid w:val="00A776AA"/>
    <w:rsid w:val="00AA5181"/>
    <w:rsid w:val="00AE4C19"/>
    <w:rsid w:val="00AF1E7F"/>
    <w:rsid w:val="00B01E4E"/>
    <w:rsid w:val="00B1362E"/>
    <w:rsid w:val="00B30370"/>
    <w:rsid w:val="00B309A2"/>
    <w:rsid w:val="00B46BCD"/>
    <w:rsid w:val="00B51A2E"/>
    <w:rsid w:val="00B61C6B"/>
    <w:rsid w:val="00B7372E"/>
    <w:rsid w:val="00B8217D"/>
    <w:rsid w:val="00BA35D7"/>
    <w:rsid w:val="00BB3E32"/>
    <w:rsid w:val="00BC56C3"/>
    <w:rsid w:val="00BD3B6C"/>
    <w:rsid w:val="00BE6544"/>
    <w:rsid w:val="00C01B90"/>
    <w:rsid w:val="00C05EFF"/>
    <w:rsid w:val="00C40648"/>
    <w:rsid w:val="00C61BC6"/>
    <w:rsid w:val="00C632BE"/>
    <w:rsid w:val="00C87C8D"/>
    <w:rsid w:val="00CA2AAE"/>
    <w:rsid w:val="00CA6200"/>
    <w:rsid w:val="00CB5A12"/>
    <w:rsid w:val="00CD12C2"/>
    <w:rsid w:val="00D22E9D"/>
    <w:rsid w:val="00D35232"/>
    <w:rsid w:val="00D4239C"/>
    <w:rsid w:val="00D54D3D"/>
    <w:rsid w:val="00D567EA"/>
    <w:rsid w:val="00D67163"/>
    <w:rsid w:val="00D73326"/>
    <w:rsid w:val="00D83488"/>
    <w:rsid w:val="00D90E6F"/>
    <w:rsid w:val="00DA2619"/>
    <w:rsid w:val="00DA5D07"/>
    <w:rsid w:val="00DA78F6"/>
    <w:rsid w:val="00DD0B45"/>
    <w:rsid w:val="00DE15A2"/>
    <w:rsid w:val="00DE4942"/>
    <w:rsid w:val="00E045AC"/>
    <w:rsid w:val="00E21020"/>
    <w:rsid w:val="00E27C14"/>
    <w:rsid w:val="00E27CF1"/>
    <w:rsid w:val="00E334F0"/>
    <w:rsid w:val="00E46375"/>
    <w:rsid w:val="00E73689"/>
    <w:rsid w:val="00EA3B37"/>
    <w:rsid w:val="00EB1FB4"/>
    <w:rsid w:val="00EB3743"/>
    <w:rsid w:val="00ED59C8"/>
    <w:rsid w:val="00ED5AD6"/>
    <w:rsid w:val="00EE1A7B"/>
    <w:rsid w:val="00EF09EC"/>
    <w:rsid w:val="00EF6E3F"/>
    <w:rsid w:val="00F1187B"/>
    <w:rsid w:val="00F11F1C"/>
    <w:rsid w:val="00F20F34"/>
    <w:rsid w:val="00F22CF0"/>
    <w:rsid w:val="00F23AFF"/>
    <w:rsid w:val="00F62932"/>
    <w:rsid w:val="00F83E33"/>
    <w:rsid w:val="00F853A7"/>
    <w:rsid w:val="00FB2A51"/>
    <w:rsid w:val="00FB5E8A"/>
    <w:rsid w:val="00FB7204"/>
    <w:rsid w:val="00FD48E0"/>
    <w:rsid w:val="00FE2F31"/>
    <w:rsid w:val="00FF3BDB"/>
    <w:rsid w:val="02AC456A"/>
    <w:rsid w:val="03B52F6C"/>
    <w:rsid w:val="03D7050A"/>
    <w:rsid w:val="03E2643E"/>
    <w:rsid w:val="04025E52"/>
    <w:rsid w:val="041D3CB7"/>
    <w:rsid w:val="044D73EB"/>
    <w:rsid w:val="0450794D"/>
    <w:rsid w:val="064E0D3E"/>
    <w:rsid w:val="06961542"/>
    <w:rsid w:val="06B745E1"/>
    <w:rsid w:val="07056E4B"/>
    <w:rsid w:val="078F5860"/>
    <w:rsid w:val="07B52D65"/>
    <w:rsid w:val="07CB1FED"/>
    <w:rsid w:val="085D4240"/>
    <w:rsid w:val="08A57DDC"/>
    <w:rsid w:val="08F00E52"/>
    <w:rsid w:val="09610B54"/>
    <w:rsid w:val="09975AB0"/>
    <w:rsid w:val="09E65EA4"/>
    <w:rsid w:val="0A1D7A82"/>
    <w:rsid w:val="0A373100"/>
    <w:rsid w:val="0A497D0E"/>
    <w:rsid w:val="0B2F597E"/>
    <w:rsid w:val="0BF03850"/>
    <w:rsid w:val="0BFC0DB5"/>
    <w:rsid w:val="0C5771C0"/>
    <w:rsid w:val="0C905810"/>
    <w:rsid w:val="0CE00A0A"/>
    <w:rsid w:val="0D5C72B8"/>
    <w:rsid w:val="0D7F6920"/>
    <w:rsid w:val="0DBB53F8"/>
    <w:rsid w:val="0E392C60"/>
    <w:rsid w:val="0E9F5F23"/>
    <w:rsid w:val="0EE10099"/>
    <w:rsid w:val="0FF010AB"/>
    <w:rsid w:val="11293D61"/>
    <w:rsid w:val="1179594D"/>
    <w:rsid w:val="12765EA0"/>
    <w:rsid w:val="135551A4"/>
    <w:rsid w:val="13AD571F"/>
    <w:rsid w:val="15511F64"/>
    <w:rsid w:val="17D85AF1"/>
    <w:rsid w:val="19456466"/>
    <w:rsid w:val="19704F26"/>
    <w:rsid w:val="19CA46B0"/>
    <w:rsid w:val="19E42E80"/>
    <w:rsid w:val="1A0D1083"/>
    <w:rsid w:val="1AD16136"/>
    <w:rsid w:val="1AE3280D"/>
    <w:rsid w:val="1B4A0E76"/>
    <w:rsid w:val="1BB47718"/>
    <w:rsid w:val="1C242655"/>
    <w:rsid w:val="1C426521"/>
    <w:rsid w:val="1C431FA2"/>
    <w:rsid w:val="1C665164"/>
    <w:rsid w:val="1D9D18FA"/>
    <w:rsid w:val="1E674533"/>
    <w:rsid w:val="1EB65281"/>
    <w:rsid w:val="1F894FA0"/>
    <w:rsid w:val="215C60FD"/>
    <w:rsid w:val="218369FA"/>
    <w:rsid w:val="22794501"/>
    <w:rsid w:val="22B8272E"/>
    <w:rsid w:val="234555D4"/>
    <w:rsid w:val="23B31757"/>
    <w:rsid w:val="23EE03B9"/>
    <w:rsid w:val="242F53C1"/>
    <w:rsid w:val="251D4CA6"/>
    <w:rsid w:val="25A62DC0"/>
    <w:rsid w:val="26266A91"/>
    <w:rsid w:val="262F1AF6"/>
    <w:rsid w:val="2680114E"/>
    <w:rsid w:val="28384247"/>
    <w:rsid w:val="2AC9694E"/>
    <w:rsid w:val="2AD461B2"/>
    <w:rsid w:val="2B993F6B"/>
    <w:rsid w:val="2C117B63"/>
    <w:rsid w:val="2C1F4A94"/>
    <w:rsid w:val="2C973AF5"/>
    <w:rsid w:val="2CC242DB"/>
    <w:rsid w:val="2CCE7CBC"/>
    <w:rsid w:val="2D421C9E"/>
    <w:rsid w:val="31300C6A"/>
    <w:rsid w:val="336121A5"/>
    <w:rsid w:val="33FF4EA6"/>
    <w:rsid w:val="353B4AF6"/>
    <w:rsid w:val="357A0B61"/>
    <w:rsid w:val="36720A6A"/>
    <w:rsid w:val="36781576"/>
    <w:rsid w:val="3692222C"/>
    <w:rsid w:val="369505CD"/>
    <w:rsid w:val="376A7060"/>
    <w:rsid w:val="392C74FD"/>
    <w:rsid w:val="39A802B0"/>
    <w:rsid w:val="39E84B38"/>
    <w:rsid w:val="3A340D03"/>
    <w:rsid w:val="3A751015"/>
    <w:rsid w:val="3B657BE8"/>
    <w:rsid w:val="3C1E6017"/>
    <w:rsid w:val="3E20672A"/>
    <w:rsid w:val="3E9215DE"/>
    <w:rsid w:val="3F0B37DA"/>
    <w:rsid w:val="3FA26379"/>
    <w:rsid w:val="417A6199"/>
    <w:rsid w:val="42AE6C80"/>
    <w:rsid w:val="43305E2C"/>
    <w:rsid w:val="43AF0602"/>
    <w:rsid w:val="43D911A9"/>
    <w:rsid w:val="44F30128"/>
    <w:rsid w:val="452071D3"/>
    <w:rsid w:val="4558050F"/>
    <w:rsid w:val="457B17C6"/>
    <w:rsid w:val="45E93184"/>
    <w:rsid w:val="46892E8E"/>
    <w:rsid w:val="46D804E5"/>
    <w:rsid w:val="47D172A2"/>
    <w:rsid w:val="47D6457B"/>
    <w:rsid w:val="4836783E"/>
    <w:rsid w:val="49B978AA"/>
    <w:rsid w:val="4B1E7ED9"/>
    <w:rsid w:val="4B970A4B"/>
    <w:rsid w:val="4BA35C0F"/>
    <w:rsid w:val="4C5F6B80"/>
    <w:rsid w:val="4CF82206"/>
    <w:rsid w:val="4E1168B8"/>
    <w:rsid w:val="4ED628AE"/>
    <w:rsid w:val="4F4367FE"/>
    <w:rsid w:val="4F861FCE"/>
    <w:rsid w:val="4F9D0689"/>
    <w:rsid w:val="504A4F5E"/>
    <w:rsid w:val="50694670"/>
    <w:rsid w:val="50A1633F"/>
    <w:rsid w:val="51007C40"/>
    <w:rsid w:val="52111746"/>
    <w:rsid w:val="5352050A"/>
    <w:rsid w:val="54011CE8"/>
    <w:rsid w:val="546376CB"/>
    <w:rsid w:val="549E4136"/>
    <w:rsid w:val="55DE7AB4"/>
    <w:rsid w:val="5649343A"/>
    <w:rsid w:val="586C4264"/>
    <w:rsid w:val="59C04BEF"/>
    <w:rsid w:val="59FC6598"/>
    <w:rsid w:val="5A625397"/>
    <w:rsid w:val="5B512B7C"/>
    <w:rsid w:val="5BC41816"/>
    <w:rsid w:val="5BD46115"/>
    <w:rsid w:val="5C51279C"/>
    <w:rsid w:val="5CAA2C7D"/>
    <w:rsid w:val="5CBD654B"/>
    <w:rsid w:val="5D867C50"/>
    <w:rsid w:val="5DE80038"/>
    <w:rsid w:val="5E8D0A5D"/>
    <w:rsid w:val="5EBE4469"/>
    <w:rsid w:val="60A02C60"/>
    <w:rsid w:val="610D21DD"/>
    <w:rsid w:val="61A80C8E"/>
    <w:rsid w:val="626F0D5C"/>
    <w:rsid w:val="62B45365"/>
    <w:rsid w:val="633C1DBF"/>
    <w:rsid w:val="63471111"/>
    <w:rsid w:val="636661D5"/>
    <w:rsid w:val="644C135F"/>
    <w:rsid w:val="64E86B08"/>
    <w:rsid w:val="64FE1C86"/>
    <w:rsid w:val="6544028E"/>
    <w:rsid w:val="66040F89"/>
    <w:rsid w:val="69150844"/>
    <w:rsid w:val="6A2A442B"/>
    <w:rsid w:val="6A910A01"/>
    <w:rsid w:val="6A9513E0"/>
    <w:rsid w:val="6D933050"/>
    <w:rsid w:val="6F050FD5"/>
    <w:rsid w:val="6F1A0B49"/>
    <w:rsid w:val="6F43798C"/>
    <w:rsid w:val="6FA850B1"/>
    <w:rsid w:val="6FC56470"/>
    <w:rsid w:val="7001347D"/>
    <w:rsid w:val="70410DCF"/>
    <w:rsid w:val="71671512"/>
    <w:rsid w:val="733E06F8"/>
    <w:rsid w:val="739113DD"/>
    <w:rsid w:val="73B039BD"/>
    <w:rsid w:val="75B23840"/>
    <w:rsid w:val="76C5551A"/>
    <w:rsid w:val="781E7F8C"/>
    <w:rsid w:val="798D39D6"/>
    <w:rsid w:val="7A7E1788"/>
    <w:rsid w:val="7B7B3E89"/>
    <w:rsid w:val="7B8A64E5"/>
    <w:rsid w:val="7C211249"/>
    <w:rsid w:val="7C994722"/>
    <w:rsid w:val="7C9D4BC8"/>
    <w:rsid w:val="7D036659"/>
    <w:rsid w:val="7D701C53"/>
    <w:rsid w:val="7D8F1EF7"/>
    <w:rsid w:val="7EBC324B"/>
    <w:rsid w:val="7EE251ED"/>
    <w:rsid w:val="7F9A03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qFormat="1"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semiHidden="0" w:name="annotation reference"/>
    <w:lsdException w:qFormat="1" w:uiPriority="99"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8"/>
    <w:qFormat/>
    <w:uiPriority w:val="0"/>
    <w:pPr>
      <w:keepNext/>
      <w:keepLines/>
      <w:snapToGrid w:val="0"/>
      <w:jc w:val="center"/>
      <w:outlineLvl w:val="0"/>
    </w:pPr>
    <w:rPr>
      <w:rFonts w:ascii="黑体" w:hAnsi="黑体" w:eastAsia="黑体"/>
      <w:b/>
      <w:bCs/>
      <w:kern w:val="44"/>
      <w:sz w:val="52"/>
      <w:szCs w:val="52"/>
      <w:lang w:val="zh-CN"/>
    </w:rPr>
  </w:style>
  <w:style w:type="paragraph" w:styleId="3">
    <w:name w:val="heading 2"/>
    <w:basedOn w:val="1"/>
    <w:next w:val="4"/>
    <w:link w:val="59"/>
    <w:qFormat/>
    <w:uiPriority w:val="9"/>
    <w:pPr>
      <w:keepNext/>
      <w:keepLines/>
      <w:snapToGrid w:val="0"/>
      <w:outlineLvl w:val="1"/>
    </w:pPr>
    <w:rPr>
      <w:rFonts w:ascii="黑体" w:hAnsi="黑体" w:eastAsia="黑体"/>
      <w:b/>
      <w:bCs/>
      <w:sz w:val="36"/>
      <w:szCs w:val="36"/>
      <w:lang w:val="zh-CN"/>
    </w:rPr>
  </w:style>
  <w:style w:type="paragraph" w:styleId="5">
    <w:name w:val="heading 3"/>
    <w:basedOn w:val="1"/>
    <w:next w:val="1"/>
    <w:link w:val="60"/>
    <w:qFormat/>
    <w:uiPriority w:val="0"/>
    <w:pPr>
      <w:keepNext/>
      <w:keepLines/>
      <w:spacing w:before="260" w:after="260" w:line="416" w:lineRule="auto"/>
      <w:outlineLvl w:val="2"/>
    </w:pPr>
    <w:rPr>
      <w:b/>
      <w:bCs/>
      <w:sz w:val="32"/>
      <w:szCs w:val="32"/>
      <w:lang w:val="zh-CN"/>
    </w:rPr>
  </w:style>
  <w:style w:type="paragraph" w:styleId="6">
    <w:name w:val="heading 4"/>
    <w:basedOn w:val="1"/>
    <w:next w:val="1"/>
    <w:link w:val="61"/>
    <w:qFormat/>
    <w:uiPriority w:val="0"/>
    <w:pPr>
      <w:keepNext/>
      <w:keepLines/>
      <w:spacing w:before="280" w:after="290" w:line="376" w:lineRule="auto"/>
      <w:outlineLvl w:val="3"/>
    </w:pPr>
    <w:rPr>
      <w:rFonts w:ascii="Arial" w:hAnsi="Arial" w:eastAsia="黑体"/>
      <w:b/>
      <w:bCs/>
      <w:sz w:val="28"/>
      <w:szCs w:val="28"/>
      <w:lang w:val="zh-CN"/>
    </w:rPr>
  </w:style>
  <w:style w:type="paragraph" w:styleId="7">
    <w:name w:val="heading 5"/>
    <w:basedOn w:val="1"/>
    <w:next w:val="1"/>
    <w:link w:val="62"/>
    <w:qFormat/>
    <w:uiPriority w:val="0"/>
    <w:pPr>
      <w:keepNext/>
      <w:keepLines/>
      <w:spacing w:before="280" w:after="290" w:line="376" w:lineRule="auto"/>
      <w:outlineLvl w:val="4"/>
    </w:pPr>
    <w:rPr>
      <w:b/>
      <w:bCs/>
      <w:sz w:val="28"/>
      <w:szCs w:val="28"/>
      <w:lang w:val="zh-CN"/>
    </w:rPr>
  </w:style>
  <w:style w:type="paragraph" w:styleId="8">
    <w:name w:val="heading 6"/>
    <w:basedOn w:val="1"/>
    <w:next w:val="1"/>
    <w:link w:val="63"/>
    <w:qFormat/>
    <w:uiPriority w:val="9"/>
    <w:pPr>
      <w:keepNext/>
      <w:keepLines/>
      <w:widowControl/>
      <w:tabs>
        <w:tab w:val="left" w:pos="1440"/>
      </w:tabs>
      <w:spacing w:before="240" w:after="64" w:line="320" w:lineRule="auto"/>
      <w:ind w:left="1152" w:hanging="1152"/>
      <w:jc w:val="left"/>
      <w:outlineLvl w:val="5"/>
    </w:pPr>
    <w:rPr>
      <w:rFonts w:ascii="Arial" w:hAnsi="Arial" w:eastAsia="黑体"/>
      <w:b/>
      <w:bCs/>
      <w:kern w:val="0"/>
      <w:sz w:val="24"/>
      <w:lang w:val="zh-CN"/>
    </w:rPr>
  </w:style>
  <w:style w:type="paragraph" w:styleId="9">
    <w:name w:val="heading 7"/>
    <w:basedOn w:val="1"/>
    <w:next w:val="1"/>
    <w:link w:val="64"/>
    <w:qFormat/>
    <w:uiPriority w:val="0"/>
    <w:pPr>
      <w:keepNext/>
      <w:keepLines/>
      <w:widowControl/>
      <w:tabs>
        <w:tab w:val="left" w:pos="2520"/>
      </w:tabs>
      <w:spacing w:before="240" w:after="64" w:line="320" w:lineRule="auto"/>
      <w:ind w:left="1296" w:hanging="1296"/>
      <w:jc w:val="left"/>
      <w:outlineLvl w:val="6"/>
    </w:pPr>
    <w:rPr>
      <w:b/>
      <w:bCs/>
      <w:kern w:val="0"/>
      <w:sz w:val="24"/>
      <w:lang w:val="zh-CN"/>
    </w:rPr>
  </w:style>
  <w:style w:type="paragraph" w:styleId="10">
    <w:name w:val="heading 8"/>
    <w:basedOn w:val="1"/>
    <w:next w:val="1"/>
    <w:link w:val="65"/>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lang w:val="zh-CN"/>
    </w:rPr>
  </w:style>
  <w:style w:type="paragraph" w:styleId="11">
    <w:name w:val="heading 9"/>
    <w:basedOn w:val="1"/>
    <w:next w:val="1"/>
    <w:link w:val="66"/>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lang w:val="zh-CN"/>
    </w:rPr>
  </w:style>
  <w:style w:type="character" w:default="1" w:styleId="45">
    <w:name w:val="Default Paragraph Font"/>
    <w:semiHidden/>
    <w:unhideWhenUsed/>
    <w:qFormat/>
    <w:uiPriority w:val="1"/>
  </w:style>
  <w:style w:type="table" w:default="1" w:styleId="43">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12">
    <w:name w:val="toc 7"/>
    <w:basedOn w:val="1"/>
    <w:next w:val="1"/>
    <w:unhideWhenUsed/>
    <w:qFormat/>
    <w:uiPriority w:val="39"/>
    <w:pPr>
      <w:ind w:left="1260"/>
      <w:jc w:val="left"/>
    </w:pPr>
    <w:rPr>
      <w:rFonts w:asciiTheme="minorHAnsi" w:eastAsiaTheme="minorHAnsi"/>
      <w:sz w:val="18"/>
      <w:szCs w:val="18"/>
    </w:rPr>
  </w:style>
  <w:style w:type="paragraph" w:styleId="13">
    <w:name w:val="caption"/>
    <w:basedOn w:val="1"/>
    <w:next w:val="1"/>
    <w:qFormat/>
    <w:uiPriority w:val="0"/>
    <w:rPr>
      <w:rFonts w:ascii="Arial" w:hAnsi="Arial" w:eastAsia="黑体" w:cs="Arial"/>
      <w:sz w:val="20"/>
      <w:szCs w:val="20"/>
    </w:rPr>
  </w:style>
  <w:style w:type="paragraph" w:styleId="14">
    <w:name w:val="Document Map"/>
    <w:basedOn w:val="1"/>
    <w:link w:val="165"/>
    <w:qFormat/>
    <w:uiPriority w:val="0"/>
    <w:pPr>
      <w:shd w:val="clear" w:color="auto" w:fill="000080"/>
    </w:pPr>
    <w:rPr>
      <w:lang w:val="zh-CN"/>
    </w:rPr>
  </w:style>
  <w:style w:type="paragraph" w:styleId="15">
    <w:name w:val="annotation text"/>
    <w:basedOn w:val="1"/>
    <w:link w:val="96"/>
    <w:qFormat/>
    <w:uiPriority w:val="99"/>
    <w:pPr>
      <w:jc w:val="left"/>
    </w:pPr>
    <w:rPr>
      <w:lang w:val="zh-CN"/>
    </w:rPr>
  </w:style>
  <w:style w:type="paragraph" w:styleId="16">
    <w:name w:val="Body Text 3"/>
    <w:basedOn w:val="1"/>
    <w:link w:val="146"/>
    <w:qFormat/>
    <w:uiPriority w:val="0"/>
    <w:rPr>
      <w:rFonts w:ascii="宋体"/>
      <w:sz w:val="24"/>
      <w:szCs w:val="20"/>
      <w:lang w:val="zh-CN"/>
    </w:rPr>
  </w:style>
  <w:style w:type="paragraph" w:styleId="17">
    <w:name w:val="Body Text"/>
    <w:basedOn w:val="1"/>
    <w:link w:val="143"/>
    <w:qFormat/>
    <w:uiPriority w:val="0"/>
    <w:pPr>
      <w:spacing w:after="120"/>
    </w:pPr>
    <w:rPr>
      <w:lang w:val="zh-CN"/>
    </w:rPr>
  </w:style>
  <w:style w:type="paragraph" w:styleId="18">
    <w:name w:val="Body Text Indent"/>
    <w:basedOn w:val="1"/>
    <w:link w:val="97"/>
    <w:qFormat/>
    <w:uiPriority w:val="0"/>
    <w:pPr>
      <w:spacing w:after="120"/>
      <w:ind w:left="420" w:leftChars="200"/>
    </w:pPr>
    <w:rPr>
      <w:lang w:val="zh-CN"/>
    </w:rPr>
  </w:style>
  <w:style w:type="paragraph" w:styleId="19">
    <w:name w:val="index 4"/>
    <w:basedOn w:val="1"/>
    <w:next w:val="1"/>
    <w:unhideWhenUsed/>
    <w:qFormat/>
    <w:uiPriority w:val="0"/>
    <w:pPr>
      <w:ind w:left="600" w:leftChars="600"/>
    </w:pPr>
  </w:style>
  <w:style w:type="paragraph" w:styleId="20">
    <w:name w:val="toc 5"/>
    <w:basedOn w:val="1"/>
    <w:next w:val="1"/>
    <w:unhideWhenUsed/>
    <w:qFormat/>
    <w:uiPriority w:val="39"/>
    <w:pPr>
      <w:ind w:left="840"/>
      <w:jc w:val="left"/>
    </w:pPr>
    <w:rPr>
      <w:rFonts w:asciiTheme="minorHAnsi" w:eastAsiaTheme="minorHAnsi"/>
      <w:sz w:val="18"/>
      <w:szCs w:val="18"/>
    </w:rPr>
  </w:style>
  <w:style w:type="paragraph" w:styleId="21">
    <w:name w:val="toc 3"/>
    <w:basedOn w:val="1"/>
    <w:next w:val="1"/>
    <w:qFormat/>
    <w:uiPriority w:val="39"/>
    <w:pPr>
      <w:ind w:left="420"/>
      <w:jc w:val="left"/>
    </w:pPr>
    <w:rPr>
      <w:rFonts w:asciiTheme="minorHAnsi" w:eastAsiaTheme="minorHAnsi"/>
      <w:i/>
      <w:iCs/>
      <w:sz w:val="20"/>
      <w:szCs w:val="20"/>
    </w:rPr>
  </w:style>
  <w:style w:type="paragraph" w:styleId="22">
    <w:name w:val="Plain Text"/>
    <w:basedOn w:val="1"/>
    <w:link w:val="111"/>
    <w:qFormat/>
    <w:uiPriority w:val="0"/>
    <w:rPr>
      <w:rFonts w:ascii="宋体" w:hAnsi="Courier New"/>
      <w:color w:val="000000"/>
      <w:szCs w:val="20"/>
      <w:lang w:val="zh-CN"/>
    </w:rPr>
  </w:style>
  <w:style w:type="paragraph" w:styleId="23">
    <w:name w:val="toc 8"/>
    <w:basedOn w:val="1"/>
    <w:next w:val="1"/>
    <w:unhideWhenUsed/>
    <w:qFormat/>
    <w:uiPriority w:val="39"/>
    <w:pPr>
      <w:ind w:left="1470"/>
      <w:jc w:val="left"/>
    </w:pPr>
    <w:rPr>
      <w:rFonts w:asciiTheme="minorHAnsi" w:eastAsiaTheme="minorHAnsi"/>
      <w:sz w:val="18"/>
      <w:szCs w:val="18"/>
    </w:rPr>
  </w:style>
  <w:style w:type="paragraph" w:styleId="24">
    <w:name w:val="Date"/>
    <w:basedOn w:val="1"/>
    <w:next w:val="1"/>
    <w:link w:val="161"/>
    <w:qFormat/>
    <w:uiPriority w:val="0"/>
    <w:pPr>
      <w:ind w:left="100" w:leftChars="2500"/>
    </w:pPr>
    <w:rPr>
      <w:lang w:val="zh-CN"/>
    </w:rPr>
  </w:style>
  <w:style w:type="paragraph" w:styleId="25">
    <w:name w:val="Body Text Indent 2"/>
    <w:basedOn w:val="1"/>
    <w:link w:val="140"/>
    <w:qFormat/>
    <w:uiPriority w:val="0"/>
    <w:pPr>
      <w:ind w:firstLine="624"/>
    </w:pPr>
    <w:rPr>
      <w:rFonts w:ascii="仿宋_GB2312" w:eastAsia="仿宋_GB2312"/>
      <w:sz w:val="28"/>
      <w:lang w:val="zh-CN"/>
    </w:rPr>
  </w:style>
  <w:style w:type="paragraph" w:styleId="26">
    <w:name w:val="endnote text"/>
    <w:basedOn w:val="1"/>
    <w:link w:val="120"/>
    <w:qFormat/>
    <w:uiPriority w:val="0"/>
    <w:pPr>
      <w:snapToGrid w:val="0"/>
      <w:jc w:val="left"/>
    </w:pPr>
    <w:rPr>
      <w:lang w:val="zh-CN"/>
    </w:rPr>
  </w:style>
  <w:style w:type="paragraph" w:styleId="27">
    <w:name w:val="Balloon Text"/>
    <w:basedOn w:val="1"/>
    <w:link w:val="160"/>
    <w:qFormat/>
    <w:uiPriority w:val="0"/>
    <w:rPr>
      <w:sz w:val="18"/>
      <w:szCs w:val="18"/>
      <w:lang w:val="zh-CN"/>
    </w:rPr>
  </w:style>
  <w:style w:type="paragraph" w:styleId="28">
    <w:name w:val="footer"/>
    <w:basedOn w:val="1"/>
    <w:link w:val="138"/>
    <w:qFormat/>
    <w:uiPriority w:val="0"/>
    <w:pPr>
      <w:tabs>
        <w:tab w:val="center" w:pos="4153"/>
        <w:tab w:val="right" w:pos="8306"/>
      </w:tabs>
      <w:snapToGrid w:val="0"/>
      <w:jc w:val="left"/>
    </w:pPr>
    <w:rPr>
      <w:sz w:val="18"/>
      <w:szCs w:val="18"/>
      <w:lang w:val="zh-CN"/>
    </w:rPr>
  </w:style>
  <w:style w:type="paragraph" w:styleId="29">
    <w:name w:val="header"/>
    <w:basedOn w:val="1"/>
    <w:link w:val="103"/>
    <w:qFormat/>
    <w:uiPriority w:val="0"/>
    <w:pPr>
      <w:pBdr>
        <w:bottom w:val="single" w:color="auto" w:sz="6" w:space="1"/>
      </w:pBdr>
      <w:tabs>
        <w:tab w:val="center" w:pos="4153"/>
        <w:tab w:val="right" w:pos="8306"/>
      </w:tabs>
      <w:snapToGrid w:val="0"/>
      <w:jc w:val="center"/>
    </w:pPr>
    <w:rPr>
      <w:sz w:val="18"/>
      <w:szCs w:val="18"/>
      <w:lang w:val="zh-CN"/>
    </w:rPr>
  </w:style>
  <w:style w:type="paragraph" w:styleId="30">
    <w:name w:val="toc 1"/>
    <w:basedOn w:val="1"/>
    <w:next w:val="1"/>
    <w:qFormat/>
    <w:uiPriority w:val="39"/>
    <w:pPr>
      <w:spacing w:before="120" w:after="120"/>
      <w:jc w:val="left"/>
    </w:pPr>
    <w:rPr>
      <w:rFonts w:asciiTheme="minorHAnsi" w:eastAsiaTheme="minorHAnsi"/>
      <w:b/>
      <w:bCs/>
      <w:caps/>
      <w:sz w:val="20"/>
      <w:szCs w:val="20"/>
    </w:rPr>
  </w:style>
  <w:style w:type="paragraph" w:styleId="31">
    <w:name w:val="toc 4"/>
    <w:basedOn w:val="1"/>
    <w:next w:val="1"/>
    <w:qFormat/>
    <w:uiPriority w:val="39"/>
    <w:pPr>
      <w:ind w:left="630"/>
      <w:jc w:val="left"/>
    </w:pPr>
    <w:rPr>
      <w:rFonts w:asciiTheme="minorHAnsi" w:eastAsiaTheme="minorHAnsi"/>
      <w:sz w:val="18"/>
      <w:szCs w:val="18"/>
    </w:rPr>
  </w:style>
  <w:style w:type="paragraph" w:styleId="32">
    <w:name w:val="Subtitle"/>
    <w:basedOn w:val="1"/>
    <w:next w:val="1"/>
    <w:link w:val="91"/>
    <w:qFormat/>
    <w:uiPriority w:val="0"/>
    <w:pPr>
      <w:spacing w:before="240" w:after="60" w:line="312" w:lineRule="auto"/>
      <w:jc w:val="center"/>
      <w:outlineLvl w:val="1"/>
    </w:pPr>
    <w:rPr>
      <w:rFonts w:ascii="Cambria" w:hAnsi="Cambria"/>
      <w:b/>
      <w:bCs/>
      <w:kern w:val="28"/>
      <w:sz w:val="32"/>
      <w:szCs w:val="32"/>
      <w:lang w:val="zh-CN"/>
    </w:rPr>
  </w:style>
  <w:style w:type="paragraph" w:styleId="33">
    <w:name w:val="footnote text"/>
    <w:basedOn w:val="1"/>
    <w:link w:val="163"/>
    <w:qFormat/>
    <w:uiPriority w:val="0"/>
    <w:pPr>
      <w:snapToGrid w:val="0"/>
      <w:jc w:val="left"/>
    </w:pPr>
    <w:rPr>
      <w:sz w:val="18"/>
      <w:szCs w:val="18"/>
      <w:lang w:val="zh-CN"/>
    </w:rPr>
  </w:style>
  <w:style w:type="paragraph" w:styleId="34">
    <w:name w:val="toc 6"/>
    <w:basedOn w:val="1"/>
    <w:next w:val="1"/>
    <w:unhideWhenUsed/>
    <w:qFormat/>
    <w:uiPriority w:val="39"/>
    <w:pPr>
      <w:ind w:left="1050"/>
      <w:jc w:val="left"/>
    </w:pPr>
    <w:rPr>
      <w:rFonts w:asciiTheme="minorHAnsi" w:eastAsiaTheme="minorHAnsi"/>
      <w:sz w:val="18"/>
      <w:szCs w:val="18"/>
    </w:rPr>
  </w:style>
  <w:style w:type="paragraph" w:styleId="35">
    <w:name w:val="Body Text Indent 3"/>
    <w:basedOn w:val="1"/>
    <w:link w:val="154"/>
    <w:qFormat/>
    <w:uiPriority w:val="0"/>
    <w:pPr>
      <w:spacing w:after="120"/>
      <w:ind w:left="420" w:leftChars="200"/>
    </w:pPr>
    <w:rPr>
      <w:sz w:val="16"/>
      <w:szCs w:val="16"/>
      <w:lang w:val="zh-CN"/>
    </w:rPr>
  </w:style>
  <w:style w:type="paragraph" w:styleId="36">
    <w:name w:val="toc 2"/>
    <w:basedOn w:val="1"/>
    <w:next w:val="1"/>
    <w:qFormat/>
    <w:uiPriority w:val="39"/>
    <w:pPr>
      <w:ind w:left="210"/>
      <w:jc w:val="left"/>
    </w:pPr>
    <w:rPr>
      <w:rFonts w:asciiTheme="minorHAnsi" w:eastAsiaTheme="minorHAnsi"/>
      <w:smallCaps/>
      <w:sz w:val="20"/>
      <w:szCs w:val="20"/>
    </w:rPr>
  </w:style>
  <w:style w:type="paragraph" w:styleId="37">
    <w:name w:val="toc 9"/>
    <w:basedOn w:val="1"/>
    <w:next w:val="1"/>
    <w:unhideWhenUsed/>
    <w:qFormat/>
    <w:uiPriority w:val="39"/>
    <w:pPr>
      <w:ind w:left="1680"/>
      <w:jc w:val="left"/>
    </w:pPr>
    <w:rPr>
      <w:rFonts w:asciiTheme="minorHAnsi" w:eastAsiaTheme="minorHAnsi"/>
      <w:sz w:val="18"/>
      <w:szCs w:val="18"/>
    </w:rPr>
  </w:style>
  <w:style w:type="paragraph" w:styleId="38">
    <w:name w:val="Body Text 2"/>
    <w:basedOn w:val="1"/>
    <w:link w:val="151"/>
    <w:qFormat/>
    <w:uiPriority w:val="0"/>
    <w:rPr>
      <w:rFonts w:ascii="宋体" w:hAnsi="宋体"/>
      <w:sz w:val="28"/>
      <w:lang w:val="zh-CN"/>
    </w:rPr>
  </w:style>
  <w:style w:type="paragraph" w:styleId="39">
    <w:name w:val="Normal (Web)"/>
    <w:basedOn w:val="1"/>
    <w:unhideWhenUsed/>
    <w:qFormat/>
    <w:uiPriority w:val="0"/>
    <w:pPr>
      <w:widowControl/>
      <w:spacing w:before="100" w:beforeAutospacing="1" w:after="100" w:afterAutospacing="1" w:line="320" w:lineRule="atLeast"/>
      <w:jc w:val="left"/>
    </w:pPr>
    <w:rPr>
      <w:rFonts w:ascii="宋体" w:hAnsi="宋体"/>
      <w:kern w:val="0"/>
      <w:sz w:val="18"/>
      <w:szCs w:val="18"/>
    </w:rPr>
  </w:style>
  <w:style w:type="paragraph" w:styleId="40">
    <w:name w:val="index 1"/>
    <w:basedOn w:val="1"/>
    <w:next w:val="1"/>
    <w:qFormat/>
    <w:uiPriority w:val="0"/>
    <w:pPr>
      <w:spacing w:line="220" w:lineRule="exact"/>
      <w:jc w:val="center"/>
    </w:pPr>
    <w:rPr>
      <w:rFonts w:ascii="仿宋_GB2312" w:eastAsia="仿宋_GB2312"/>
      <w:szCs w:val="21"/>
    </w:rPr>
  </w:style>
  <w:style w:type="paragraph" w:styleId="41">
    <w:name w:val="Title"/>
    <w:basedOn w:val="1"/>
    <w:link w:val="135"/>
    <w:qFormat/>
    <w:uiPriority w:val="0"/>
    <w:pPr>
      <w:adjustRightInd w:val="0"/>
      <w:spacing w:before="240" w:after="60" w:line="420" w:lineRule="atLeast"/>
      <w:jc w:val="center"/>
      <w:textAlignment w:val="baseline"/>
      <w:outlineLvl w:val="0"/>
    </w:pPr>
    <w:rPr>
      <w:rFonts w:ascii="Arial" w:hAnsi="Arial"/>
      <w:b/>
      <w:kern w:val="0"/>
      <w:sz w:val="32"/>
      <w:szCs w:val="20"/>
      <w:lang w:val="zh-CN"/>
    </w:rPr>
  </w:style>
  <w:style w:type="paragraph" w:styleId="42">
    <w:name w:val="annotation subject"/>
    <w:basedOn w:val="15"/>
    <w:next w:val="15"/>
    <w:link w:val="158"/>
    <w:qFormat/>
    <w:uiPriority w:val="0"/>
    <w:rPr>
      <w:b/>
      <w:bCs/>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endnote reference"/>
    <w:qFormat/>
    <w:uiPriority w:val="0"/>
    <w:rPr>
      <w:vertAlign w:val="superscript"/>
    </w:rPr>
  </w:style>
  <w:style w:type="character" w:styleId="48">
    <w:name w:val="page number"/>
    <w:basedOn w:val="45"/>
    <w:qFormat/>
    <w:uiPriority w:val="0"/>
  </w:style>
  <w:style w:type="character" w:styleId="49">
    <w:name w:val="FollowedHyperlink"/>
    <w:qFormat/>
    <w:uiPriority w:val="99"/>
    <w:rPr>
      <w:color w:val="800080"/>
      <w:u w:val="single"/>
    </w:rPr>
  </w:style>
  <w:style w:type="character" w:styleId="50">
    <w:name w:val="Emphasis"/>
    <w:qFormat/>
    <w:uiPriority w:val="0"/>
    <w:rPr>
      <w:i/>
      <w:iCs/>
    </w:rPr>
  </w:style>
  <w:style w:type="character" w:styleId="51">
    <w:name w:val="line number"/>
    <w:unhideWhenUsed/>
    <w:qFormat/>
    <w:uiPriority w:val="99"/>
  </w:style>
  <w:style w:type="character" w:styleId="52">
    <w:name w:val="Hyperlink"/>
    <w:qFormat/>
    <w:uiPriority w:val="99"/>
    <w:rPr>
      <w:color w:val="0000FF"/>
      <w:u w:val="single"/>
    </w:rPr>
  </w:style>
  <w:style w:type="character" w:styleId="53">
    <w:name w:val="HTML Code"/>
    <w:basedOn w:val="45"/>
    <w:qFormat/>
    <w:uiPriority w:val="0"/>
    <w:rPr>
      <w:rFonts w:hint="default" w:ascii="Menlo" w:hAnsi="Menlo" w:eastAsia="Menlo" w:cs="Menlo"/>
      <w:color w:val="C7254E"/>
      <w:sz w:val="21"/>
      <w:szCs w:val="21"/>
      <w:shd w:val="clear" w:color="auto" w:fill="F9F2F4"/>
    </w:rPr>
  </w:style>
  <w:style w:type="character" w:styleId="54">
    <w:name w:val="annotation reference"/>
    <w:qFormat/>
    <w:uiPriority w:val="99"/>
    <w:rPr>
      <w:sz w:val="21"/>
      <w:szCs w:val="21"/>
    </w:rPr>
  </w:style>
  <w:style w:type="character" w:styleId="55">
    <w:name w:val="footnote reference"/>
    <w:qFormat/>
    <w:uiPriority w:val="0"/>
    <w:rPr>
      <w:vertAlign w:val="superscript"/>
    </w:rPr>
  </w:style>
  <w:style w:type="character" w:styleId="56">
    <w:name w:val="HTML Keyboard"/>
    <w:basedOn w:val="45"/>
    <w:qFormat/>
    <w:uiPriority w:val="0"/>
    <w:rPr>
      <w:rFonts w:ascii="Menlo" w:hAnsi="Menlo" w:eastAsia="Menlo" w:cs="Menlo"/>
      <w:color w:val="FFFFFF"/>
      <w:sz w:val="21"/>
      <w:szCs w:val="21"/>
      <w:shd w:val="clear" w:color="auto" w:fill="333333"/>
    </w:rPr>
  </w:style>
  <w:style w:type="character" w:styleId="57">
    <w:name w:val="HTML Sample"/>
    <w:basedOn w:val="45"/>
    <w:qFormat/>
    <w:uiPriority w:val="0"/>
    <w:rPr>
      <w:rFonts w:hint="default" w:ascii="Menlo" w:hAnsi="Menlo" w:eastAsia="Menlo" w:cs="Menlo"/>
    </w:rPr>
  </w:style>
  <w:style w:type="character" w:customStyle="1" w:styleId="58">
    <w:name w:val="标题 1 字符"/>
    <w:link w:val="2"/>
    <w:qFormat/>
    <w:uiPriority w:val="0"/>
    <w:rPr>
      <w:rFonts w:ascii="黑体" w:hAnsi="黑体" w:eastAsia="黑体"/>
      <w:b/>
      <w:bCs/>
      <w:kern w:val="44"/>
      <w:sz w:val="52"/>
      <w:szCs w:val="52"/>
      <w:lang w:val="zh-CN" w:eastAsia="zh-CN"/>
    </w:rPr>
  </w:style>
  <w:style w:type="character" w:customStyle="1" w:styleId="59">
    <w:name w:val="标题 2 字符"/>
    <w:link w:val="3"/>
    <w:qFormat/>
    <w:uiPriority w:val="9"/>
    <w:rPr>
      <w:rFonts w:ascii="黑体" w:hAnsi="黑体" w:eastAsia="黑体"/>
      <w:b/>
      <w:bCs/>
      <w:kern w:val="2"/>
      <w:sz w:val="36"/>
      <w:szCs w:val="36"/>
      <w:lang w:val="zh-CN" w:eastAsia="zh-CN"/>
    </w:rPr>
  </w:style>
  <w:style w:type="character" w:customStyle="1" w:styleId="60">
    <w:name w:val="标题 3 字符"/>
    <w:link w:val="5"/>
    <w:qFormat/>
    <w:uiPriority w:val="0"/>
    <w:rPr>
      <w:b/>
      <w:bCs/>
      <w:kern w:val="2"/>
      <w:sz w:val="32"/>
      <w:szCs w:val="32"/>
    </w:rPr>
  </w:style>
  <w:style w:type="character" w:customStyle="1" w:styleId="61">
    <w:name w:val="标题 4 字符"/>
    <w:link w:val="6"/>
    <w:qFormat/>
    <w:uiPriority w:val="0"/>
    <w:rPr>
      <w:rFonts w:ascii="Arial" w:hAnsi="Arial" w:eastAsia="黑体"/>
      <w:b/>
      <w:bCs/>
      <w:kern w:val="2"/>
      <w:sz w:val="28"/>
      <w:szCs w:val="28"/>
    </w:rPr>
  </w:style>
  <w:style w:type="character" w:customStyle="1" w:styleId="62">
    <w:name w:val="标题 5 字符"/>
    <w:link w:val="7"/>
    <w:qFormat/>
    <w:uiPriority w:val="0"/>
    <w:rPr>
      <w:b/>
      <w:bCs/>
      <w:kern w:val="2"/>
      <w:sz w:val="28"/>
      <w:szCs w:val="28"/>
    </w:rPr>
  </w:style>
  <w:style w:type="character" w:customStyle="1" w:styleId="63">
    <w:name w:val="标题 6 字符"/>
    <w:link w:val="8"/>
    <w:qFormat/>
    <w:uiPriority w:val="0"/>
    <w:rPr>
      <w:rFonts w:ascii="Arial" w:hAnsi="Arial" w:eastAsia="黑体"/>
      <w:b/>
      <w:bCs/>
      <w:sz w:val="24"/>
      <w:szCs w:val="24"/>
    </w:rPr>
  </w:style>
  <w:style w:type="character" w:customStyle="1" w:styleId="64">
    <w:name w:val="标题 7 字符"/>
    <w:link w:val="9"/>
    <w:qFormat/>
    <w:uiPriority w:val="0"/>
    <w:rPr>
      <w:b/>
      <w:bCs/>
      <w:sz w:val="24"/>
      <w:szCs w:val="24"/>
    </w:rPr>
  </w:style>
  <w:style w:type="character" w:customStyle="1" w:styleId="65">
    <w:name w:val="标题 8 字符"/>
    <w:link w:val="10"/>
    <w:qFormat/>
    <w:uiPriority w:val="0"/>
    <w:rPr>
      <w:rFonts w:ascii="Arial" w:hAnsi="Arial" w:eastAsia="黑体"/>
      <w:sz w:val="24"/>
      <w:szCs w:val="24"/>
    </w:rPr>
  </w:style>
  <w:style w:type="character" w:customStyle="1" w:styleId="66">
    <w:name w:val="标题 9 字符"/>
    <w:link w:val="11"/>
    <w:qFormat/>
    <w:uiPriority w:val="0"/>
    <w:rPr>
      <w:rFonts w:ascii="Arial" w:hAnsi="Arial" w:eastAsia="黑体"/>
      <w:sz w:val="21"/>
      <w:szCs w:val="21"/>
    </w:rPr>
  </w:style>
  <w:style w:type="character" w:customStyle="1" w:styleId="67">
    <w:name w:val="副标题 Char1"/>
    <w:qFormat/>
    <w:uiPriority w:val="11"/>
    <w:rPr>
      <w:rFonts w:hint="default" w:ascii="Cambria" w:hAnsi="Cambria" w:cs="Times New Roman"/>
      <w:b/>
      <w:bCs/>
      <w:kern w:val="28"/>
      <w:sz w:val="32"/>
      <w:szCs w:val="32"/>
    </w:rPr>
  </w:style>
  <w:style w:type="character" w:customStyle="1" w:styleId="68">
    <w:name w:val="文档结构图 Char1"/>
    <w:qFormat/>
    <w:uiPriority w:val="0"/>
    <w:rPr>
      <w:rFonts w:hint="eastAsia" w:ascii="宋体" w:hAnsi="宋体" w:eastAsia="宋体"/>
      <w:kern w:val="2"/>
      <w:sz w:val="18"/>
      <w:szCs w:val="18"/>
    </w:rPr>
  </w:style>
  <w:style w:type="character" w:customStyle="1" w:styleId="69">
    <w:name w:val="正文文本 (2) + Times New Roman"/>
    <w:qFormat/>
    <w:uiPriority w:val="0"/>
    <w:rPr>
      <w:rFonts w:ascii="Times New Roman" w:hAnsi="Times New Roman" w:eastAsia="Times New Roman" w:cs="Times New Roman"/>
      <w:color w:val="000000"/>
      <w:spacing w:val="0"/>
      <w:w w:val="100"/>
      <w:position w:val="0"/>
      <w:sz w:val="24"/>
      <w:szCs w:val="24"/>
      <w:u w:val="none"/>
      <w:shd w:val="clear" w:color="auto" w:fill="FFFFFF"/>
      <w:lang w:val="en-US" w:eastAsia="en-US" w:bidi="en-US"/>
    </w:rPr>
  </w:style>
  <w:style w:type="character" w:customStyle="1" w:styleId="70">
    <w:name w:val="批注文字 Char Char"/>
    <w:qFormat/>
    <w:uiPriority w:val="0"/>
    <w:rPr>
      <w:rFonts w:hint="eastAsia" w:ascii="宋体" w:hAnsi="Times New Roman" w:eastAsia="宋体" w:cs="Times New Roman"/>
      <w:sz w:val="28"/>
      <w:szCs w:val="20"/>
    </w:rPr>
  </w:style>
  <w:style w:type="character" w:customStyle="1" w:styleId="71">
    <w:name w:val="正文文本 (2) + Lucida Sans Unicode"/>
    <w:qFormat/>
    <w:uiPriority w:val="0"/>
    <w:rPr>
      <w:rFonts w:ascii="Lucida Sans Unicode" w:hAnsi="Lucida Sans Unicode" w:eastAsia="Lucida Sans Unicode" w:cs="Lucida Sans Unicode"/>
      <w:b/>
      <w:bCs/>
      <w:color w:val="000000"/>
      <w:spacing w:val="0"/>
      <w:w w:val="100"/>
      <w:position w:val="0"/>
      <w:sz w:val="20"/>
      <w:szCs w:val="20"/>
      <w:u w:val="none"/>
      <w:shd w:val="clear" w:color="auto" w:fill="FFFFFF"/>
      <w:lang w:val="en-US" w:eastAsia="en-US" w:bidi="en-US"/>
    </w:rPr>
  </w:style>
  <w:style w:type="character" w:customStyle="1" w:styleId="72">
    <w:name w:val="引用 字符"/>
    <w:link w:val="73"/>
    <w:qFormat/>
    <w:uiPriority w:val="0"/>
    <w:rPr>
      <w:rFonts w:ascii="Calibri" w:hAnsi="Calibri"/>
      <w:i/>
      <w:iCs/>
      <w:color w:val="000000"/>
      <w:kern w:val="2"/>
      <w:sz w:val="21"/>
      <w:szCs w:val="22"/>
    </w:rPr>
  </w:style>
  <w:style w:type="paragraph" w:customStyle="1" w:styleId="73">
    <w:name w:val="引用1"/>
    <w:basedOn w:val="1"/>
    <w:next w:val="1"/>
    <w:link w:val="72"/>
    <w:qFormat/>
    <w:uiPriority w:val="0"/>
    <w:rPr>
      <w:rFonts w:ascii="Calibri" w:hAnsi="Calibri"/>
      <w:i/>
      <w:iCs/>
      <w:color w:val="000000"/>
      <w:szCs w:val="22"/>
      <w:lang w:val="zh-CN"/>
    </w:rPr>
  </w:style>
  <w:style w:type="character" w:customStyle="1" w:styleId="74">
    <w:name w:val="引用 Char1"/>
    <w:qFormat/>
    <w:uiPriority w:val="29"/>
    <w:rPr>
      <w:i/>
      <w:iCs/>
      <w:color w:val="000000"/>
      <w:kern w:val="2"/>
      <w:sz w:val="21"/>
      <w:szCs w:val="22"/>
    </w:rPr>
  </w:style>
  <w:style w:type="character" w:customStyle="1" w:styleId="75">
    <w:name w:val="标题 #6 + 间距 0 pt"/>
    <w:qFormat/>
    <w:uiPriority w:val="0"/>
    <w:rPr>
      <w:rFonts w:ascii="宋体" w:hAnsi="宋体" w:eastAsia="宋体" w:cs="宋体"/>
      <w:color w:val="000000"/>
      <w:spacing w:val="0"/>
      <w:w w:val="100"/>
      <w:position w:val="0"/>
      <w:sz w:val="26"/>
      <w:szCs w:val="26"/>
      <w:u w:val="none"/>
      <w:shd w:val="clear" w:color="auto" w:fill="FFFFFF"/>
      <w:lang w:val="zh-TW" w:eastAsia="zh-TW" w:bidi="zh-TW"/>
    </w:rPr>
  </w:style>
  <w:style w:type="character" w:customStyle="1" w:styleId="76">
    <w:name w:val="正文文本 (34)_"/>
    <w:link w:val="77"/>
    <w:qFormat/>
    <w:uiPriority w:val="0"/>
    <w:rPr>
      <w:rFonts w:eastAsia="Times New Roman"/>
      <w:shd w:val="clear" w:color="auto" w:fill="FFFFFF"/>
      <w:lang w:eastAsia="en-US" w:bidi="en-US"/>
    </w:rPr>
  </w:style>
  <w:style w:type="paragraph" w:customStyle="1" w:styleId="77">
    <w:name w:val="正文文本 (34)"/>
    <w:basedOn w:val="1"/>
    <w:link w:val="76"/>
    <w:qFormat/>
    <w:uiPriority w:val="0"/>
    <w:pPr>
      <w:shd w:val="clear" w:color="auto" w:fill="FFFFFF"/>
      <w:spacing w:line="401" w:lineRule="exact"/>
      <w:ind w:firstLine="500"/>
    </w:pPr>
    <w:rPr>
      <w:rFonts w:eastAsia="Times New Roman"/>
      <w:kern w:val="0"/>
      <w:sz w:val="20"/>
      <w:szCs w:val="20"/>
      <w:lang w:val="zh-CN" w:eastAsia="en-US" w:bidi="en-US"/>
    </w:rPr>
  </w:style>
  <w:style w:type="character" w:customStyle="1" w:styleId="78">
    <w:name w:val="正文文本 Char1"/>
    <w:qFormat/>
    <w:uiPriority w:val="0"/>
    <w:rPr>
      <w:kern w:val="2"/>
      <w:sz w:val="21"/>
      <w:szCs w:val="22"/>
    </w:rPr>
  </w:style>
  <w:style w:type="character" w:customStyle="1" w:styleId="79">
    <w:name w:val="正文文本 (2) + 10 pt"/>
    <w:qFormat/>
    <w:uiPriority w:val="0"/>
    <w:rPr>
      <w:rFonts w:ascii="宋体" w:hAnsi="宋体" w:eastAsia="宋体" w:cs="宋体"/>
      <w:color w:val="000000"/>
      <w:spacing w:val="0"/>
      <w:w w:val="100"/>
      <w:position w:val="0"/>
      <w:sz w:val="20"/>
      <w:szCs w:val="20"/>
      <w:u w:val="none"/>
      <w:lang w:val="zh-TW" w:eastAsia="zh-TW" w:bidi="zh-TW"/>
    </w:rPr>
  </w:style>
  <w:style w:type="character" w:customStyle="1" w:styleId="80">
    <w:name w:val="书籍标题1"/>
    <w:qFormat/>
    <w:uiPriority w:val="0"/>
    <w:rPr>
      <w:b/>
      <w:bCs/>
      <w:smallCaps/>
      <w:spacing w:val="5"/>
    </w:rPr>
  </w:style>
  <w:style w:type="character" w:customStyle="1" w:styleId="81">
    <w:name w:val="正文文本 (10) + 间距 0 pt"/>
    <w:qFormat/>
    <w:uiPriority w:val="0"/>
    <w:rPr>
      <w:rFonts w:ascii="宋体" w:hAnsi="宋体" w:eastAsia="宋体" w:cs="宋体"/>
      <w:color w:val="000000"/>
      <w:spacing w:val="0"/>
      <w:w w:val="100"/>
      <w:position w:val="0"/>
      <w:sz w:val="26"/>
      <w:szCs w:val="26"/>
      <w:u w:val="none"/>
      <w:lang w:val="zh-TW" w:eastAsia="zh-TW" w:bidi="zh-TW"/>
    </w:rPr>
  </w:style>
  <w:style w:type="character" w:customStyle="1" w:styleId="82">
    <w:name w:val="正文文本 (7)_"/>
    <w:link w:val="83"/>
    <w:qFormat/>
    <w:uiPriority w:val="0"/>
    <w:rPr>
      <w:rFonts w:ascii="宋体" w:hAnsi="宋体" w:cs="宋体"/>
      <w:spacing w:val="10"/>
      <w:sz w:val="22"/>
      <w:szCs w:val="22"/>
      <w:shd w:val="clear" w:color="auto" w:fill="FFFFFF"/>
    </w:rPr>
  </w:style>
  <w:style w:type="paragraph" w:customStyle="1" w:styleId="83">
    <w:name w:val="正文文本 (7)"/>
    <w:basedOn w:val="1"/>
    <w:link w:val="82"/>
    <w:qFormat/>
    <w:uiPriority w:val="0"/>
    <w:pPr>
      <w:shd w:val="clear" w:color="auto" w:fill="FFFFFF"/>
      <w:spacing w:before="120" w:after="300" w:line="0" w:lineRule="atLeast"/>
      <w:jc w:val="center"/>
    </w:pPr>
    <w:rPr>
      <w:rFonts w:ascii="宋体" w:hAnsi="宋体"/>
      <w:spacing w:val="10"/>
      <w:kern w:val="0"/>
      <w:sz w:val="22"/>
      <w:szCs w:val="22"/>
      <w:lang w:val="zh-CN"/>
    </w:rPr>
  </w:style>
  <w:style w:type="character" w:customStyle="1" w:styleId="84">
    <w:name w:val="批注主题 Char1"/>
    <w:qFormat/>
    <w:uiPriority w:val="0"/>
    <w:rPr>
      <w:b/>
      <w:bCs/>
      <w:kern w:val="2"/>
      <w:sz w:val="21"/>
      <w:szCs w:val="22"/>
    </w:rPr>
  </w:style>
  <w:style w:type="character" w:customStyle="1" w:styleId="85">
    <w:name w:val="正文文本 (19) + 11 pt"/>
    <w:qFormat/>
    <w:uiPriority w:val="0"/>
    <w:rPr>
      <w:rFonts w:ascii="宋体" w:hAnsi="宋体" w:eastAsia="宋体" w:cs="宋体"/>
      <w:b/>
      <w:bCs/>
      <w:color w:val="000000"/>
      <w:spacing w:val="0"/>
      <w:w w:val="100"/>
      <w:position w:val="0"/>
      <w:sz w:val="22"/>
      <w:szCs w:val="22"/>
      <w:u w:val="none"/>
      <w:lang w:val="en-US" w:eastAsia="en-US" w:bidi="en-US"/>
    </w:rPr>
  </w:style>
  <w:style w:type="character" w:customStyle="1" w:styleId="86">
    <w:name w:val="正文文本 (2) + 间距 -1 pt"/>
    <w:qFormat/>
    <w:uiPriority w:val="0"/>
    <w:rPr>
      <w:rFonts w:ascii="宋体" w:hAnsi="宋体" w:eastAsia="宋体" w:cs="宋体"/>
      <w:color w:val="000000"/>
      <w:spacing w:val="-20"/>
      <w:w w:val="100"/>
      <w:position w:val="0"/>
      <w:sz w:val="22"/>
      <w:szCs w:val="22"/>
      <w:u w:val="none"/>
      <w:shd w:val="clear" w:color="auto" w:fill="FFFFFF"/>
      <w:lang w:val="en-US" w:eastAsia="en-US" w:bidi="en-US"/>
    </w:rPr>
  </w:style>
  <w:style w:type="character" w:customStyle="1" w:styleId="87">
    <w:name w:val="正文文本 (46)_"/>
    <w:link w:val="88"/>
    <w:qFormat/>
    <w:uiPriority w:val="0"/>
    <w:rPr>
      <w:rFonts w:ascii="宋体" w:hAnsi="宋体" w:cs="宋体"/>
      <w:shd w:val="clear" w:color="auto" w:fill="FFFFFF"/>
    </w:rPr>
  </w:style>
  <w:style w:type="paragraph" w:customStyle="1" w:styleId="88">
    <w:name w:val="正文文本 (46)"/>
    <w:basedOn w:val="1"/>
    <w:link w:val="87"/>
    <w:qFormat/>
    <w:uiPriority w:val="0"/>
    <w:pPr>
      <w:shd w:val="clear" w:color="auto" w:fill="FFFFFF"/>
      <w:spacing w:before="660" w:line="341" w:lineRule="exact"/>
      <w:ind w:hanging="280"/>
      <w:jc w:val="left"/>
    </w:pPr>
    <w:rPr>
      <w:rFonts w:ascii="宋体" w:hAnsi="宋体"/>
      <w:kern w:val="0"/>
      <w:sz w:val="20"/>
      <w:szCs w:val="20"/>
      <w:lang w:val="zh-CN"/>
    </w:rPr>
  </w:style>
  <w:style w:type="character" w:customStyle="1" w:styleId="89">
    <w:name w:val="文档结构图 Char2"/>
    <w:semiHidden/>
    <w:qFormat/>
    <w:uiPriority w:val="99"/>
    <w:rPr>
      <w:rFonts w:hint="eastAsia" w:ascii="宋体" w:hAnsi="宋体" w:eastAsia="宋体"/>
      <w:kern w:val="2"/>
      <w:sz w:val="18"/>
      <w:szCs w:val="18"/>
    </w:rPr>
  </w:style>
  <w:style w:type="character" w:customStyle="1" w:styleId="90">
    <w:name w:val="标题 Char1"/>
    <w:qFormat/>
    <w:uiPriority w:val="10"/>
    <w:rPr>
      <w:rFonts w:hint="default" w:ascii="Cambria" w:hAnsi="Cambria" w:cs="Times New Roman"/>
      <w:b/>
      <w:bCs/>
      <w:kern w:val="2"/>
      <w:sz w:val="32"/>
      <w:szCs w:val="32"/>
    </w:rPr>
  </w:style>
  <w:style w:type="character" w:customStyle="1" w:styleId="91">
    <w:name w:val="副标题 字符"/>
    <w:link w:val="32"/>
    <w:qFormat/>
    <w:uiPriority w:val="0"/>
    <w:rPr>
      <w:rFonts w:ascii="Cambria" w:hAnsi="Cambria"/>
      <w:b/>
      <w:bCs/>
      <w:kern w:val="28"/>
      <w:sz w:val="32"/>
      <w:szCs w:val="32"/>
    </w:rPr>
  </w:style>
  <w:style w:type="character" w:customStyle="1" w:styleId="92">
    <w:name w:val="正文文本 (2) + 间距 2 pt"/>
    <w:qFormat/>
    <w:uiPriority w:val="0"/>
    <w:rPr>
      <w:rFonts w:ascii="宋体" w:hAnsi="宋体" w:eastAsia="宋体" w:cs="宋体"/>
      <w:color w:val="000000"/>
      <w:spacing w:val="40"/>
      <w:w w:val="100"/>
      <w:position w:val="0"/>
      <w:sz w:val="22"/>
      <w:szCs w:val="22"/>
      <w:u w:val="none"/>
      <w:shd w:val="clear" w:color="auto" w:fill="FFFFFF"/>
      <w:lang w:val="zh-TW" w:eastAsia="zh-TW" w:bidi="zh-TW"/>
    </w:rPr>
  </w:style>
  <w:style w:type="character" w:customStyle="1" w:styleId="93">
    <w:name w:val="正文文本 (7) + 间距 0 pt Exact"/>
    <w:qFormat/>
    <w:uiPriority w:val="0"/>
    <w:rPr>
      <w:rFonts w:ascii="宋体" w:hAnsi="宋体" w:eastAsia="宋体" w:cs="宋体"/>
      <w:color w:val="000000"/>
      <w:spacing w:val="0"/>
      <w:w w:val="100"/>
      <w:position w:val="0"/>
      <w:sz w:val="22"/>
      <w:szCs w:val="22"/>
      <w:u w:val="none"/>
      <w:lang w:val="zh-TW" w:eastAsia="zh-TW" w:bidi="zh-TW"/>
    </w:rPr>
  </w:style>
  <w:style w:type="character" w:customStyle="1" w:styleId="94">
    <w:name w:val="正文文本 (14)_"/>
    <w:link w:val="95"/>
    <w:qFormat/>
    <w:uiPriority w:val="0"/>
    <w:rPr>
      <w:rFonts w:ascii="宋体" w:hAnsi="宋体" w:cs="宋体"/>
      <w:sz w:val="18"/>
      <w:szCs w:val="18"/>
      <w:shd w:val="clear" w:color="auto" w:fill="FFFFFF"/>
    </w:rPr>
  </w:style>
  <w:style w:type="paragraph" w:customStyle="1" w:styleId="95">
    <w:name w:val="正文文本 (14)"/>
    <w:basedOn w:val="1"/>
    <w:link w:val="94"/>
    <w:qFormat/>
    <w:uiPriority w:val="0"/>
    <w:pPr>
      <w:shd w:val="clear" w:color="auto" w:fill="FFFFFF"/>
      <w:spacing w:before="300" w:line="300" w:lineRule="exact"/>
      <w:jc w:val="distribute"/>
    </w:pPr>
    <w:rPr>
      <w:rFonts w:ascii="宋体" w:hAnsi="宋体"/>
      <w:kern w:val="0"/>
      <w:sz w:val="18"/>
      <w:szCs w:val="18"/>
      <w:lang w:val="zh-CN"/>
    </w:rPr>
  </w:style>
  <w:style w:type="character" w:customStyle="1" w:styleId="96">
    <w:name w:val="批注文字 字符"/>
    <w:link w:val="15"/>
    <w:qFormat/>
    <w:uiPriority w:val="99"/>
    <w:rPr>
      <w:kern w:val="2"/>
      <w:sz w:val="21"/>
      <w:szCs w:val="24"/>
    </w:rPr>
  </w:style>
  <w:style w:type="character" w:customStyle="1" w:styleId="97">
    <w:name w:val="正文文本缩进 字符"/>
    <w:link w:val="18"/>
    <w:qFormat/>
    <w:uiPriority w:val="0"/>
    <w:rPr>
      <w:kern w:val="2"/>
      <w:sz w:val="21"/>
      <w:szCs w:val="24"/>
    </w:rPr>
  </w:style>
  <w:style w:type="character" w:customStyle="1" w:styleId="98">
    <w:name w:val="明显引用 字符"/>
    <w:link w:val="99"/>
    <w:qFormat/>
    <w:uiPriority w:val="0"/>
    <w:rPr>
      <w:rFonts w:ascii="Calibri" w:hAnsi="Calibri"/>
      <w:b/>
      <w:bCs/>
      <w:i/>
      <w:iCs/>
      <w:color w:val="4F81BD"/>
      <w:kern w:val="2"/>
      <w:sz w:val="21"/>
      <w:szCs w:val="22"/>
    </w:rPr>
  </w:style>
  <w:style w:type="paragraph" w:customStyle="1" w:styleId="99">
    <w:name w:val="明显引用1"/>
    <w:basedOn w:val="1"/>
    <w:next w:val="1"/>
    <w:link w:val="98"/>
    <w:qFormat/>
    <w:uiPriority w:val="0"/>
    <w:pPr>
      <w:pBdr>
        <w:bottom w:val="single" w:color="4F81BD" w:sz="4" w:space="4"/>
      </w:pBdr>
      <w:spacing w:before="200" w:after="280"/>
      <w:ind w:left="936" w:right="936"/>
    </w:pPr>
    <w:rPr>
      <w:rFonts w:ascii="Calibri" w:hAnsi="Calibri"/>
      <w:b/>
      <w:bCs/>
      <w:i/>
      <w:iCs/>
      <w:color w:val="4F81BD"/>
      <w:szCs w:val="22"/>
      <w:lang w:val="zh-CN"/>
    </w:rPr>
  </w:style>
  <w:style w:type="character" w:customStyle="1" w:styleId="100">
    <w:name w:val="不明显参考1"/>
    <w:qFormat/>
    <w:uiPriority w:val="0"/>
    <w:rPr>
      <w:smallCaps/>
      <w:color w:val="C0504D"/>
      <w:u w:val="single"/>
    </w:rPr>
  </w:style>
  <w:style w:type="character" w:customStyle="1" w:styleId="101">
    <w:name w:val="标题 #6 + 间距 5 pt"/>
    <w:qFormat/>
    <w:uiPriority w:val="0"/>
    <w:rPr>
      <w:rFonts w:ascii="宋体" w:hAnsi="宋体" w:eastAsia="宋体" w:cs="宋体"/>
      <w:color w:val="000000"/>
      <w:spacing w:val="100"/>
      <w:w w:val="100"/>
      <w:position w:val="0"/>
      <w:sz w:val="26"/>
      <w:szCs w:val="26"/>
      <w:u w:val="none"/>
      <w:shd w:val="clear" w:color="auto" w:fill="FFFFFF"/>
      <w:lang w:val="zh-TW" w:eastAsia="zh-TW" w:bidi="zh-TW"/>
    </w:rPr>
  </w:style>
  <w:style w:type="character" w:customStyle="1" w:styleId="102">
    <w:name w:val="正文文本 (46) Exact"/>
    <w:qFormat/>
    <w:uiPriority w:val="0"/>
    <w:rPr>
      <w:rFonts w:ascii="宋体" w:hAnsi="宋体" w:eastAsia="宋体" w:cs="宋体"/>
      <w:sz w:val="20"/>
      <w:szCs w:val="20"/>
      <w:u w:val="none"/>
    </w:rPr>
  </w:style>
  <w:style w:type="character" w:customStyle="1" w:styleId="103">
    <w:name w:val="页眉 字符"/>
    <w:link w:val="29"/>
    <w:qFormat/>
    <w:uiPriority w:val="99"/>
    <w:rPr>
      <w:kern w:val="2"/>
      <w:sz w:val="18"/>
      <w:szCs w:val="18"/>
    </w:rPr>
  </w:style>
  <w:style w:type="character" w:customStyle="1" w:styleId="104">
    <w:name w:val="日期 Char2"/>
    <w:semiHidden/>
    <w:qFormat/>
    <w:uiPriority w:val="99"/>
    <w:rPr>
      <w:kern w:val="2"/>
      <w:sz w:val="21"/>
      <w:szCs w:val="22"/>
    </w:rPr>
  </w:style>
  <w:style w:type="character" w:customStyle="1" w:styleId="105">
    <w:name w:val="正文文本 (2) + 间距 4 pt"/>
    <w:qFormat/>
    <w:uiPriority w:val="0"/>
    <w:rPr>
      <w:rFonts w:ascii="宋体" w:hAnsi="宋体" w:eastAsia="宋体" w:cs="宋体"/>
      <w:color w:val="000000"/>
      <w:spacing w:val="80"/>
      <w:w w:val="100"/>
      <w:position w:val="0"/>
      <w:sz w:val="22"/>
      <w:szCs w:val="22"/>
      <w:u w:val="none"/>
      <w:shd w:val="clear" w:color="auto" w:fill="FFFFFF"/>
      <w:lang w:val="zh-TW" w:eastAsia="zh-TW" w:bidi="zh-TW"/>
    </w:rPr>
  </w:style>
  <w:style w:type="character" w:customStyle="1" w:styleId="106">
    <w:name w:val="正文文本 (21)_"/>
    <w:link w:val="107"/>
    <w:qFormat/>
    <w:uiPriority w:val="0"/>
    <w:rPr>
      <w:rFonts w:eastAsia="Times New Roman"/>
      <w:shd w:val="clear" w:color="auto" w:fill="FFFFFF"/>
      <w:lang w:eastAsia="en-US" w:bidi="en-US"/>
    </w:rPr>
  </w:style>
  <w:style w:type="paragraph" w:customStyle="1" w:styleId="107">
    <w:name w:val="正文文本 (21)"/>
    <w:basedOn w:val="1"/>
    <w:link w:val="106"/>
    <w:qFormat/>
    <w:uiPriority w:val="0"/>
    <w:pPr>
      <w:shd w:val="clear" w:color="auto" w:fill="FFFFFF"/>
      <w:spacing w:before="420" w:line="401" w:lineRule="exact"/>
      <w:ind w:firstLine="520"/>
    </w:pPr>
    <w:rPr>
      <w:rFonts w:eastAsia="Times New Roman"/>
      <w:kern w:val="0"/>
      <w:sz w:val="20"/>
      <w:szCs w:val="20"/>
      <w:lang w:val="zh-CN" w:eastAsia="en-US" w:bidi="en-US"/>
    </w:rPr>
  </w:style>
  <w:style w:type="character" w:customStyle="1" w:styleId="108">
    <w:name w:val="标题4 Char Char"/>
    <w:link w:val="109"/>
    <w:qFormat/>
    <w:locked/>
    <w:uiPriority w:val="0"/>
    <w:rPr>
      <w:rFonts w:ascii="Arial" w:hAnsi="Arial" w:cs="Arial"/>
      <w:b/>
      <w:bCs/>
      <w:sz w:val="24"/>
      <w:szCs w:val="32"/>
    </w:rPr>
  </w:style>
  <w:style w:type="paragraph" w:customStyle="1" w:styleId="109">
    <w:name w:val="标题4"/>
    <w:basedOn w:val="3"/>
    <w:next w:val="19"/>
    <w:link w:val="108"/>
    <w:qFormat/>
    <w:uiPriority w:val="0"/>
    <w:pPr>
      <w:spacing w:line="412" w:lineRule="auto"/>
    </w:pPr>
    <w:rPr>
      <w:rFonts w:eastAsia="宋体"/>
      <w:kern w:val="0"/>
      <w:sz w:val="24"/>
    </w:rPr>
  </w:style>
  <w:style w:type="character" w:customStyle="1" w:styleId="110">
    <w:name w:val="Char2 Char"/>
    <w:qFormat/>
    <w:uiPriority w:val="0"/>
    <w:rPr>
      <w:sz w:val="18"/>
      <w:szCs w:val="18"/>
    </w:rPr>
  </w:style>
  <w:style w:type="character" w:customStyle="1" w:styleId="111">
    <w:name w:val="纯文本 字符"/>
    <w:link w:val="22"/>
    <w:qFormat/>
    <w:uiPriority w:val="0"/>
    <w:rPr>
      <w:rFonts w:ascii="宋体" w:hAnsi="Courier New"/>
      <w:color w:val="000000"/>
      <w:kern w:val="2"/>
      <w:sz w:val="21"/>
    </w:rPr>
  </w:style>
  <w:style w:type="character" w:customStyle="1" w:styleId="112">
    <w:name w:val="标题 #6 (5)_"/>
    <w:link w:val="113"/>
    <w:qFormat/>
    <w:uiPriority w:val="0"/>
    <w:rPr>
      <w:rFonts w:ascii="宋体" w:hAnsi="宋体" w:cs="宋体"/>
      <w:spacing w:val="50"/>
      <w:sz w:val="30"/>
      <w:szCs w:val="30"/>
      <w:shd w:val="clear" w:color="auto" w:fill="FFFFFF"/>
    </w:rPr>
  </w:style>
  <w:style w:type="paragraph" w:customStyle="1" w:styleId="113">
    <w:name w:val="标题 #6 (5)"/>
    <w:basedOn w:val="1"/>
    <w:link w:val="112"/>
    <w:qFormat/>
    <w:uiPriority w:val="0"/>
    <w:pPr>
      <w:shd w:val="clear" w:color="auto" w:fill="FFFFFF"/>
      <w:spacing w:line="559" w:lineRule="exact"/>
      <w:jc w:val="left"/>
      <w:outlineLvl w:val="5"/>
    </w:pPr>
    <w:rPr>
      <w:rFonts w:ascii="宋体" w:hAnsi="宋体"/>
      <w:spacing w:val="50"/>
      <w:kern w:val="0"/>
      <w:sz w:val="30"/>
      <w:szCs w:val="30"/>
      <w:lang w:val="zh-CN"/>
    </w:rPr>
  </w:style>
  <w:style w:type="character" w:customStyle="1" w:styleId="114">
    <w:name w:val="明显参考1"/>
    <w:qFormat/>
    <w:uiPriority w:val="0"/>
    <w:rPr>
      <w:b/>
      <w:bCs/>
      <w:smallCaps/>
      <w:color w:val="C0504D"/>
      <w:spacing w:val="5"/>
      <w:u w:val="single"/>
    </w:rPr>
  </w:style>
  <w:style w:type="character" w:customStyle="1" w:styleId="115">
    <w:name w:val="正文文本 (2) + 间距 1 pt"/>
    <w:qFormat/>
    <w:uiPriority w:val="0"/>
    <w:rPr>
      <w:rFonts w:ascii="宋体" w:hAnsi="宋体" w:eastAsia="宋体" w:cs="宋体"/>
      <w:color w:val="000000"/>
      <w:spacing w:val="30"/>
      <w:w w:val="100"/>
      <w:position w:val="0"/>
      <w:sz w:val="22"/>
      <w:szCs w:val="22"/>
      <w:u w:val="none"/>
      <w:shd w:val="clear" w:color="auto" w:fill="FFFFFF"/>
      <w:lang w:val="zh-TW" w:eastAsia="zh-TW" w:bidi="zh-TW"/>
    </w:rPr>
  </w:style>
  <w:style w:type="character" w:customStyle="1" w:styleId="116">
    <w:name w:val="正文文本 (14) + Sylfaen"/>
    <w:qFormat/>
    <w:uiPriority w:val="0"/>
    <w:rPr>
      <w:rFonts w:ascii="Sylfaen" w:hAnsi="Sylfaen" w:eastAsia="Sylfaen" w:cs="Sylfaen"/>
      <w:color w:val="000000"/>
      <w:spacing w:val="0"/>
      <w:w w:val="100"/>
      <w:position w:val="0"/>
      <w:sz w:val="18"/>
      <w:szCs w:val="18"/>
      <w:u w:val="none"/>
      <w:shd w:val="clear" w:color="auto" w:fill="FFFFFF"/>
      <w:lang w:val="en-US" w:eastAsia="en-US" w:bidi="en-US"/>
    </w:rPr>
  </w:style>
  <w:style w:type="character" w:customStyle="1" w:styleId="117">
    <w:name w:val="正文文本 (7) + 10 pt"/>
    <w:qFormat/>
    <w:uiPriority w:val="0"/>
    <w:rPr>
      <w:rFonts w:ascii="宋体" w:hAnsi="宋体" w:eastAsia="宋体" w:cs="宋体"/>
      <w:color w:val="000000"/>
      <w:spacing w:val="0"/>
      <w:w w:val="100"/>
      <w:position w:val="0"/>
      <w:sz w:val="20"/>
      <w:szCs w:val="20"/>
      <w:u w:val="none"/>
      <w:lang w:val="en-US" w:eastAsia="en-US" w:bidi="en-US"/>
    </w:rPr>
  </w:style>
  <w:style w:type="character" w:customStyle="1" w:styleId="118">
    <w:name w:val="批注框文本 Char1"/>
    <w:qFormat/>
    <w:uiPriority w:val="0"/>
    <w:rPr>
      <w:kern w:val="2"/>
      <w:sz w:val="18"/>
      <w:szCs w:val="18"/>
    </w:rPr>
  </w:style>
  <w:style w:type="character" w:customStyle="1" w:styleId="119">
    <w:name w:val="批注文字 Char1"/>
    <w:semiHidden/>
    <w:qFormat/>
    <w:uiPriority w:val="99"/>
    <w:rPr>
      <w:kern w:val="2"/>
      <w:sz w:val="21"/>
      <w:szCs w:val="22"/>
    </w:rPr>
  </w:style>
  <w:style w:type="character" w:customStyle="1" w:styleId="120">
    <w:name w:val="尾注文本 字符"/>
    <w:link w:val="26"/>
    <w:qFormat/>
    <w:uiPriority w:val="0"/>
    <w:rPr>
      <w:kern w:val="2"/>
      <w:sz w:val="21"/>
      <w:szCs w:val="24"/>
    </w:rPr>
  </w:style>
  <w:style w:type="character" w:customStyle="1" w:styleId="121">
    <w:name w:val="正文文本 (33)_"/>
    <w:link w:val="122"/>
    <w:qFormat/>
    <w:uiPriority w:val="0"/>
    <w:rPr>
      <w:rFonts w:eastAsia="Times New Roman"/>
      <w:shd w:val="clear" w:color="auto" w:fill="FFFFFF"/>
      <w:lang w:eastAsia="en-US" w:bidi="en-US"/>
    </w:rPr>
  </w:style>
  <w:style w:type="paragraph" w:customStyle="1" w:styleId="122">
    <w:name w:val="正文文本 (33)"/>
    <w:basedOn w:val="1"/>
    <w:link w:val="121"/>
    <w:qFormat/>
    <w:uiPriority w:val="0"/>
    <w:pPr>
      <w:shd w:val="clear" w:color="auto" w:fill="FFFFFF"/>
      <w:spacing w:before="360" w:line="401" w:lineRule="exact"/>
      <w:ind w:firstLine="500"/>
    </w:pPr>
    <w:rPr>
      <w:rFonts w:eastAsia="Times New Roman"/>
      <w:kern w:val="0"/>
      <w:sz w:val="20"/>
      <w:szCs w:val="20"/>
      <w:lang w:val="zh-CN" w:eastAsia="en-US" w:bidi="en-US"/>
    </w:rPr>
  </w:style>
  <w:style w:type="character" w:customStyle="1" w:styleId="123">
    <w:name w:val="正文文本 (2)_"/>
    <w:link w:val="124"/>
    <w:qFormat/>
    <w:uiPriority w:val="0"/>
    <w:rPr>
      <w:rFonts w:ascii="宋体" w:hAnsi="宋体" w:cs="宋体"/>
      <w:sz w:val="22"/>
      <w:szCs w:val="22"/>
      <w:shd w:val="clear" w:color="auto" w:fill="FFFFFF"/>
    </w:rPr>
  </w:style>
  <w:style w:type="paragraph" w:customStyle="1" w:styleId="124">
    <w:name w:val="正文文本 (2)"/>
    <w:basedOn w:val="1"/>
    <w:link w:val="123"/>
    <w:qFormat/>
    <w:uiPriority w:val="0"/>
    <w:pPr>
      <w:shd w:val="clear" w:color="auto" w:fill="FFFFFF"/>
      <w:spacing w:before="300" w:line="439" w:lineRule="exact"/>
      <w:jc w:val="distribute"/>
    </w:pPr>
    <w:rPr>
      <w:rFonts w:ascii="宋体" w:hAnsi="宋体"/>
      <w:kern w:val="0"/>
      <w:sz w:val="22"/>
      <w:szCs w:val="22"/>
      <w:lang w:val="zh-CN"/>
    </w:rPr>
  </w:style>
  <w:style w:type="character" w:customStyle="1" w:styleId="125">
    <w:name w:val="正文文本 (2) + Sylfaen"/>
    <w:qFormat/>
    <w:uiPriority w:val="0"/>
    <w:rPr>
      <w:rFonts w:ascii="Sylfaen" w:hAnsi="Sylfaen" w:eastAsia="Sylfaen" w:cs="Sylfaen"/>
      <w:color w:val="000000"/>
      <w:spacing w:val="0"/>
      <w:w w:val="100"/>
      <w:position w:val="0"/>
      <w:sz w:val="22"/>
      <w:szCs w:val="22"/>
      <w:u w:val="none"/>
      <w:lang w:val="en-US" w:eastAsia="en-US" w:bidi="en-US"/>
    </w:rPr>
  </w:style>
  <w:style w:type="character" w:customStyle="1" w:styleId="126">
    <w:name w:val="不明显强调1"/>
    <w:qFormat/>
    <w:uiPriority w:val="0"/>
    <w:rPr>
      <w:i/>
      <w:iCs/>
      <w:color w:val="808080"/>
    </w:rPr>
  </w:style>
  <w:style w:type="character" w:customStyle="1" w:styleId="127">
    <w:name w:val="正文文本 (2) + 11.5 pt"/>
    <w:qFormat/>
    <w:uiPriority w:val="0"/>
    <w:rPr>
      <w:rFonts w:ascii="宋体" w:hAnsi="宋体" w:eastAsia="宋体" w:cs="宋体"/>
      <w:b/>
      <w:bCs/>
      <w:color w:val="000000"/>
      <w:spacing w:val="0"/>
      <w:w w:val="100"/>
      <w:position w:val="0"/>
      <w:sz w:val="23"/>
      <w:szCs w:val="23"/>
      <w:u w:val="none"/>
      <w:shd w:val="clear" w:color="auto" w:fill="FFFFFF"/>
      <w:lang w:val="zh-TW" w:eastAsia="zh-TW" w:bidi="zh-TW"/>
    </w:rPr>
  </w:style>
  <w:style w:type="character" w:customStyle="1" w:styleId="128">
    <w:name w:val="标题 #6 (3) + 间距 1 pt"/>
    <w:qFormat/>
    <w:uiPriority w:val="0"/>
    <w:rPr>
      <w:rFonts w:ascii="宋体" w:hAnsi="宋体" w:eastAsia="宋体" w:cs="宋体"/>
      <w:color w:val="000000"/>
      <w:spacing w:val="30"/>
      <w:w w:val="100"/>
      <w:position w:val="0"/>
      <w:sz w:val="26"/>
      <w:szCs w:val="26"/>
      <w:u w:val="none"/>
      <w:lang w:val="zh-TW" w:eastAsia="zh-TW" w:bidi="zh-TW"/>
    </w:rPr>
  </w:style>
  <w:style w:type="character" w:customStyle="1" w:styleId="129">
    <w:name w:val="标题 #7_"/>
    <w:link w:val="130"/>
    <w:qFormat/>
    <w:uiPriority w:val="0"/>
    <w:rPr>
      <w:rFonts w:ascii="宋体" w:hAnsi="宋体" w:cs="宋体"/>
      <w:b/>
      <w:bCs/>
      <w:sz w:val="23"/>
      <w:szCs w:val="23"/>
      <w:shd w:val="clear" w:color="auto" w:fill="FFFFFF"/>
    </w:rPr>
  </w:style>
  <w:style w:type="paragraph" w:customStyle="1" w:styleId="130">
    <w:name w:val="标题 #7"/>
    <w:basedOn w:val="1"/>
    <w:link w:val="129"/>
    <w:qFormat/>
    <w:uiPriority w:val="0"/>
    <w:pPr>
      <w:shd w:val="clear" w:color="auto" w:fill="FFFFFF"/>
      <w:spacing w:before="120" w:after="420" w:line="0" w:lineRule="atLeast"/>
      <w:jc w:val="left"/>
      <w:outlineLvl w:val="6"/>
    </w:pPr>
    <w:rPr>
      <w:rFonts w:ascii="宋体" w:hAnsi="宋体"/>
      <w:b/>
      <w:bCs/>
      <w:kern w:val="0"/>
      <w:sz w:val="23"/>
      <w:szCs w:val="23"/>
      <w:lang w:val="zh-CN"/>
    </w:rPr>
  </w:style>
  <w:style w:type="character" w:customStyle="1" w:styleId="131">
    <w:name w:val="标题 #6 + 间距 1 pt"/>
    <w:qFormat/>
    <w:uiPriority w:val="0"/>
    <w:rPr>
      <w:rFonts w:ascii="宋体" w:hAnsi="宋体" w:eastAsia="宋体" w:cs="宋体"/>
      <w:color w:val="000000"/>
      <w:spacing w:val="20"/>
      <w:w w:val="100"/>
      <w:position w:val="0"/>
      <w:sz w:val="26"/>
      <w:szCs w:val="26"/>
      <w:u w:val="none"/>
      <w:lang w:val="zh-TW" w:eastAsia="zh-TW" w:bidi="zh-TW"/>
    </w:rPr>
  </w:style>
  <w:style w:type="character" w:customStyle="1" w:styleId="132">
    <w:name w:val="标题 #6 (3)_"/>
    <w:link w:val="133"/>
    <w:qFormat/>
    <w:uiPriority w:val="0"/>
    <w:rPr>
      <w:rFonts w:ascii="宋体" w:hAnsi="宋体" w:cs="宋体"/>
      <w:sz w:val="26"/>
      <w:szCs w:val="26"/>
      <w:shd w:val="clear" w:color="auto" w:fill="FFFFFF"/>
    </w:rPr>
  </w:style>
  <w:style w:type="paragraph" w:customStyle="1" w:styleId="133">
    <w:name w:val="标题 #6 (3)"/>
    <w:basedOn w:val="1"/>
    <w:link w:val="132"/>
    <w:qFormat/>
    <w:uiPriority w:val="0"/>
    <w:pPr>
      <w:shd w:val="clear" w:color="auto" w:fill="FFFFFF"/>
      <w:spacing w:after="960" w:line="0" w:lineRule="atLeast"/>
      <w:jc w:val="left"/>
      <w:outlineLvl w:val="5"/>
    </w:pPr>
    <w:rPr>
      <w:rFonts w:ascii="宋体" w:hAnsi="宋体"/>
      <w:kern w:val="0"/>
      <w:sz w:val="26"/>
      <w:szCs w:val="26"/>
      <w:lang w:val="zh-CN"/>
    </w:rPr>
  </w:style>
  <w:style w:type="character" w:customStyle="1" w:styleId="134">
    <w:name w:val="批注主题 Char2"/>
    <w:semiHidden/>
    <w:qFormat/>
    <w:uiPriority w:val="99"/>
    <w:rPr>
      <w:b/>
      <w:bCs/>
      <w:kern w:val="2"/>
      <w:sz w:val="21"/>
      <w:szCs w:val="22"/>
    </w:rPr>
  </w:style>
  <w:style w:type="character" w:customStyle="1" w:styleId="135">
    <w:name w:val="标题 字符"/>
    <w:link w:val="41"/>
    <w:qFormat/>
    <w:uiPriority w:val="0"/>
    <w:rPr>
      <w:rFonts w:ascii="Arial" w:hAnsi="Arial"/>
      <w:b/>
      <w:sz w:val="32"/>
    </w:rPr>
  </w:style>
  <w:style w:type="character" w:customStyle="1" w:styleId="136">
    <w:name w:val="正文文本 (5)_"/>
    <w:link w:val="137"/>
    <w:qFormat/>
    <w:uiPriority w:val="0"/>
    <w:rPr>
      <w:rFonts w:ascii="宋体" w:hAnsi="宋体" w:cs="宋体"/>
      <w:shd w:val="clear" w:color="auto" w:fill="FFFFFF"/>
    </w:rPr>
  </w:style>
  <w:style w:type="paragraph" w:customStyle="1" w:styleId="137">
    <w:name w:val="正文文本 (5)"/>
    <w:basedOn w:val="1"/>
    <w:link w:val="136"/>
    <w:qFormat/>
    <w:uiPriority w:val="0"/>
    <w:pPr>
      <w:shd w:val="clear" w:color="auto" w:fill="FFFFFF"/>
      <w:spacing w:before="5100" w:line="0" w:lineRule="atLeast"/>
      <w:jc w:val="left"/>
    </w:pPr>
    <w:rPr>
      <w:rFonts w:ascii="宋体" w:hAnsi="宋体"/>
      <w:kern w:val="0"/>
      <w:sz w:val="20"/>
      <w:szCs w:val="20"/>
      <w:lang w:val="zh-CN"/>
    </w:rPr>
  </w:style>
  <w:style w:type="character" w:customStyle="1" w:styleId="138">
    <w:name w:val="页脚 字符"/>
    <w:link w:val="28"/>
    <w:qFormat/>
    <w:uiPriority w:val="99"/>
    <w:rPr>
      <w:kern w:val="2"/>
      <w:sz w:val="18"/>
      <w:szCs w:val="18"/>
    </w:rPr>
  </w:style>
  <w:style w:type="character" w:customStyle="1" w:styleId="139">
    <w:name w:val="font161"/>
    <w:qFormat/>
    <w:uiPriority w:val="0"/>
    <w:rPr>
      <w:b/>
      <w:bCs/>
      <w:sz w:val="32"/>
      <w:szCs w:val="32"/>
    </w:rPr>
  </w:style>
  <w:style w:type="character" w:customStyle="1" w:styleId="140">
    <w:name w:val="正文文本缩进 2 字符"/>
    <w:link w:val="25"/>
    <w:qFormat/>
    <w:uiPriority w:val="0"/>
    <w:rPr>
      <w:rFonts w:ascii="仿宋_GB2312" w:eastAsia="仿宋_GB2312"/>
      <w:kern w:val="2"/>
      <w:sz w:val="28"/>
      <w:szCs w:val="24"/>
    </w:rPr>
  </w:style>
  <w:style w:type="character" w:customStyle="1" w:styleId="141">
    <w:name w:val="标题 #6 (5) + 间距 0 pt"/>
    <w:qFormat/>
    <w:uiPriority w:val="0"/>
    <w:rPr>
      <w:rFonts w:ascii="宋体" w:hAnsi="宋体" w:eastAsia="宋体" w:cs="宋体"/>
      <w:color w:val="000000"/>
      <w:spacing w:val="0"/>
      <w:w w:val="100"/>
      <w:position w:val="0"/>
      <w:sz w:val="30"/>
      <w:szCs w:val="30"/>
      <w:u w:val="none"/>
      <w:lang w:val="zh-TW" w:eastAsia="zh-TW" w:bidi="zh-TW"/>
    </w:rPr>
  </w:style>
  <w:style w:type="character" w:customStyle="1" w:styleId="142">
    <w:name w:val="页脚 Char1"/>
    <w:semiHidden/>
    <w:qFormat/>
    <w:uiPriority w:val="99"/>
    <w:rPr>
      <w:kern w:val="2"/>
      <w:sz w:val="18"/>
      <w:szCs w:val="18"/>
    </w:rPr>
  </w:style>
  <w:style w:type="character" w:customStyle="1" w:styleId="143">
    <w:name w:val="正文文本 字符"/>
    <w:link w:val="17"/>
    <w:qFormat/>
    <w:uiPriority w:val="0"/>
    <w:rPr>
      <w:kern w:val="2"/>
      <w:sz w:val="21"/>
      <w:szCs w:val="24"/>
    </w:rPr>
  </w:style>
  <w:style w:type="character" w:customStyle="1" w:styleId="144">
    <w:name w:val="正文文本 (10)_"/>
    <w:link w:val="145"/>
    <w:qFormat/>
    <w:uiPriority w:val="0"/>
    <w:rPr>
      <w:rFonts w:ascii="宋体" w:hAnsi="宋体" w:cs="宋体"/>
      <w:spacing w:val="30"/>
      <w:sz w:val="26"/>
      <w:szCs w:val="26"/>
      <w:shd w:val="clear" w:color="auto" w:fill="FFFFFF"/>
    </w:rPr>
  </w:style>
  <w:style w:type="paragraph" w:customStyle="1" w:styleId="145">
    <w:name w:val="正文文本 (10)"/>
    <w:basedOn w:val="1"/>
    <w:link w:val="144"/>
    <w:qFormat/>
    <w:uiPriority w:val="0"/>
    <w:pPr>
      <w:shd w:val="clear" w:color="auto" w:fill="FFFFFF"/>
      <w:spacing w:line="602" w:lineRule="exact"/>
      <w:jc w:val="distribute"/>
    </w:pPr>
    <w:rPr>
      <w:rFonts w:ascii="宋体" w:hAnsi="宋体"/>
      <w:spacing w:val="30"/>
      <w:kern w:val="0"/>
      <w:sz w:val="26"/>
      <w:szCs w:val="26"/>
      <w:lang w:val="zh-CN"/>
    </w:rPr>
  </w:style>
  <w:style w:type="character" w:customStyle="1" w:styleId="146">
    <w:name w:val="正文文本 3 字符"/>
    <w:link w:val="16"/>
    <w:qFormat/>
    <w:uiPriority w:val="0"/>
    <w:rPr>
      <w:rFonts w:ascii="宋体"/>
      <w:kern w:val="2"/>
      <w:sz w:val="24"/>
    </w:rPr>
  </w:style>
  <w:style w:type="character" w:customStyle="1" w:styleId="147">
    <w:name w:val="表格标题 (12)_"/>
    <w:link w:val="148"/>
    <w:qFormat/>
    <w:uiPriority w:val="0"/>
    <w:rPr>
      <w:rFonts w:ascii="宋体" w:hAnsi="宋体" w:cs="宋体"/>
      <w:shd w:val="clear" w:color="auto" w:fill="FFFFFF"/>
    </w:rPr>
  </w:style>
  <w:style w:type="paragraph" w:customStyle="1" w:styleId="148">
    <w:name w:val="表格标题 (12)"/>
    <w:basedOn w:val="1"/>
    <w:link w:val="147"/>
    <w:qFormat/>
    <w:uiPriority w:val="0"/>
    <w:pPr>
      <w:shd w:val="clear" w:color="auto" w:fill="FFFFFF"/>
      <w:spacing w:line="0" w:lineRule="atLeast"/>
      <w:jc w:val="left"/>
    </w:pPr>
    <w:rPr>
      <w:rFonts w:ascii="宋体" w:hAnsi="宋体"/>
      <w:kern w:val="0"/>
      <w:sz w:val="20"/>
      <w:szCs w:val="20"/>
      <w:lang w:val="zh-CN"/>
    </w:rPr>
  </w:style>
  <w:style w:type="character" w:customStyle="1" w:styleId="149">
    <w:name w:val="标题 #6 (4)_"/>
    <w:link w:val="150"/>
    <w:qFormat/>
    <w:uiPriority w:val="0"/>
    <w:rPr>
      <w:rFonts w:ascii="宋体" w:hAnsi="宋体" w:cs="宋体"/>
      <w:sz w:val="26"/>
      <w:szCs w:val="26"/>
      <w:shd w:val="clear" w:color="auto" w:fill="FFFFFF"/>
    </w:rPr>
  </w:style>
  <w:style w:type="paragraph" w:customStyle="1" w:styleId="150">
    <w:name w:val="标题 #6 (4)"/>
    <w:basedOn w:val="1"/>
    <w:link w:val="149"/>
    <w:qFormat/>
    <w:uiPriority w:val="0"/>
    <w:pPr>
      <w:shd w:val="clear" w:color="auto" w:fill="FFFFFF"/>
      <w:spacing w:after="1020" w:line="0" w:lineRule="atLeast"/>
      <w:jc w:val="left"/>
      <w:outlineLvl w:val="5"/>
    </w:pPr>
    <w:rPr>
      <w:rFonts w:ascii="宋体" w:hAnsi="宋体"/>
      <w:kern w:val="0"/>
      <w:sz w:val="26"/>
      <w:szCs w:val="26"/>
      <w:lang w:val="zh-CN"/>
    </w:rPr>
  </w:style>
  <w:style w:type="character" w:customStyle="1" w:styleId="151">
    <w:name w:val="正文文本 2 字符"/>
    <w:link w:val="38"/>
    <w:qFormat/>
    <w:uiPriority w:val="0"/>
    <w:rPr>
      <w:rFonts w:ascii="宋体" w:hAnsi="宋体"/>
      <w:kern w:val="2"/>
      <w:sz w:val="28"/>
      <w:szCs w:val="24"/>
    </w:rPr>
  </w:style>
  <w:style w:type="character" w:customStyle="1" w:styleId="152">
    <w:name w:val="页眉 Char1"/>
    <w:semiHidden/>
    <w:qFormat/>
    <w:uiPriority w:val="99"/>
    <w:rPr>
      <w:kern w:val="2"/>
      <w:sz w:val="18"/>
      <w:szCs w:val="18"/>
    </w:rPr>
  </w:style>
  <w:style w:type="character" w:customStyle="1" w:styleId="153">
    <w:name w:val="明显引用 Char1"/>
    <w:qFormat/>
    <w:uiPriority w:val="30"/>
    <w:rPr>
      <w:b/>
      <w:bCs/>
      <w:i/>
      <w:iCs/>
      <w:color w:val="4F81BD"/>
      <w:kern w:val="2"/>
      <w:sz w:val="21"/>
      <w:szCs w:val="22"/>
    </w:rPr>
  </w:style>
  <w:style w:type="character" w:customStyle="1" w:styleId="154">
    <w:name w:val="正文文本缩进 3 字符"/>
    <w:link w:val="35"/>
    <w:qFormat/>
    <w:uiPriority w:val="0"/>
    <w:rPr>
      <w:kern w:val="2"/>
      <w:sz w:val="16"/>
      <w:szCs w:val="16"/>
    </w:rPr>
  </w:style>
  <w:style w:type="character" w:customStyle="1" w:styleId="155">
    <w:name w:val="textcontents"/>
    <w:qFormat/>
    <w:uiPriority w:val="0"/>
    <w:rPr>
      <w:rFonts w:hint="default" w:ascii="Times New Roman" w:hAnsi="Times New Roman" w:cs="Times New Roman"/>
    </w:rPr>
  </w:style>
  <w:style w:type="character" w:customStyle="1" w:styleId="156">
    <w:name w:val="标题5 Char Char"/>
    <w:link w:val="157"/>
    <w:qFormat/>
    <w:locked/>
    <w:uiPriority w:val="0"/>
    <w:rPr>
      <w:rFonts w:ascii="Arial" w:hAnsi="Arial" w:cs="Arial"/>
      <w:b/>
      <w:bCs/>
      <w:sz w:val="24"/>
      <w:szCs w:val="32"/>
    </w:rPr>
  </w:style>
  <w:style w:type="paragraph" w:customStyle="1" w:styleId="157">
    <w:name w:val="标题5"/>
    <w:basedOn w:val="5"/>
    <w:link w:val="156"/>
    <w:qFormat/>
    <w:uiPriority w:val="0"/>
    <w:pPr>
      <w:spacing w:line="412" w:lineRule="auto"/>
    </w:pPr>
    <w:rPr>
      <w:rFonts w:ascii="Arial" w:hAnsi="Arial"/>
      <w:kern w:val="0"/>
      <w:sz w:val="24"/>
    </w:rPr>
  </w:style>
  <w:style w:type="character" w:customStyle="1" w:styleId="158">
    <w:name w:val="批注主题 字符"/>
    <w:link w:val="42"/>
    <w:qFormat/>
    <w:uiPriority w:val="0"/>
    <w:rPr>
      <w:b/>
      <w:bCs/>
      <w:kern w:val="2"/>
      <w:sz w:val="21"/>
      <w:szCs w:val="24"/>
    </w:rPr>
  </w:style>
  <w:style w:type="character" w:customStyle="1" w:styleId="159">
    <w:name w:val="标题 #6 + 11.5 pt"/>
    <w:qFormat/>
    <w:uiPriority w:val="0"/>
    <w:rPr>
      <w:rFonts w:ascii="宋体" w:hAnsi="宋体" w:eastAsia="宋体" w:cs="宋体"/>
      <w:color w:val="000000"/>
      <w:spacing w:val="20"/>
      <w:w w:val="100"/>
      <w:position w:val="0"/>
      <w:sz w:val="23"/>
      <w:szCs w:val="23"/>
      <w:u w:val="none"/>
      <w:shd w:val="clear" w:color="auto" w:fill="FFFFFF"/>
      <w:lang w:val="zh-TW" w:eastAsia="zh-TW" w:bidi="zh-TW"/>
    </w:rPr>
  </w:style>
  <w:style w:type="character" w:customStyle="1" w:styleId="160">
    <w:name w:val="批注框文本 字符"/>
    <w:link w:val="27"/>
    <w:qFormat/>
    <w:uiPriority w:val="0"/>
    <w:rPr>
      <w:kern w:val="2"/>
      <w:sz w:val="18"/>
      <w:szCs w:val="18"/>
    </w:rPr>
  </w:style>
  <w:style w:type="character" w:customStyle="1" w:styleId="161">
    <w:name w:val="日期 字符"/>
    <w:link w:val="24"/>
    <w:qFormat/>
    <w:uiPriority w:val="0"/>
    <w:rPr>
      <w:kern w:val="2"/>
      <w:sz w:val="21"/>
      <w:szCs w:val="24"/>
    </w:rPr>
  </w:style>
  <w:style w:type="character" w:customStyle="1" w:styleId="162">
    <w:name w:val="明显强调1"/>
    <w:qFormat/>
    <w:uiPriority w:val="0"/>
    <w:rPr>
      <w:b/>
      <w:bCs/>
      <w:i/>
      <w:iCs/>
      <w:color w:val="4F81BD"/>
    </w:rPr>
  </w:style>
  <w:style w:type="character" w:customStyle="1" w:styleId="163">
    <w:name w:val="脚注文本 字符"/>
    <w:link w:val="33"/>
    <w:qFormat/>
    <w:uiPriority w:val="0"/>
    <w:rPr>
      <w:kern w:val="2"/>
      <w:sz w:val="18"/>
      <w:szCs w:val="18"/>
    </w:rPr>
  </w:style>
  <w:style w:type="character" w:customStyle="1" w:styleId="164">
    <w:name w:val="Comment Text Char"/>
    <w:qFormat/>
    <w:locked/>
    <w:uiPriority w:val="0"/>
    <w:rPr>
      <w:rFonts w:ascii="Times New Roman" w:hAnsi="Times New Roman" w:eastAsia="宋体" w:cs="Times New Roman"/>
      <w:sz w:val="24"/>
      <w:szCs w:val="24"/>
    </w:rPr>
  </w:style>
  <w:style w:type="character" w:customStyle="1" w:styleId="165">
    <w:name w:val="文档结构图 字符"/>
    <w:link w:val="14"/>
    <w:qFormat/>
    <w:uiPriority w:val="0"/>
    <w:rPr>
      <w:kern w:val="2"/>
      <w:sz w:val="21"/>
      <w:szCs w:val="24"/>
      <w:shd w:val="clear" w:color="auto" w:fill="000080"/>
    </w:rPr>
  </w:style>
  <w:style w:type="character" w:customStyle="1" w:styleId="166">
    <w:name w:val="批注框文本 Char2"/>
    <w:semiHidden/>
    <w:qFormat/>
    <w:uiPriority w:val="99"/>
    <w:rPr>
      <w:kern w:val="2"/>
      <w:sz w:val="18"/>
      <w:szCs w:val="18"/>
    </w:rPr>
  </w:style>
  <w:style w:type="character" w:customStyle="1" w:styleId="167">
    <w:name w:val="正文文本 Char2"/>
    <w:semiHidden/>
    <w:qFormat/>
    <w:uiPriority w:val="99"/>
    <w:rPr>
      <w:kern w:val="2"/>
      <w:sz w:val="21"/>
      <w:szCs w:val="22"/>
    </w:rPr>
  </w:style>
  <w:style w:type="character" w:customStyle="1" w:styleId="168">
    <w:name w:val="Heading 3 Char"/>
    <w:qFormat/>
    <w:locked/>
    <w:uiPriority w:val="0"/>
    <w:rPr>
      <w:rFonts w:ascii="Times New Roman" w:hAnsi="Times New Roman" w:eastAsia="宋体" w:cs="Times New Roman"/>
      <w:b/>
      <w:bCs/>
      <w:sz w:val="32"/>
      <w:szCs w:val="32"/>
    </w:rPr>
  </w:style>
  <w:style w:type="character" w:customStyle="1" w:styleId="169">
    <w:name w:val="日期 Char1"/>
    <w:qFormat/>
    <w:uiPriority w:val="0"/>
    <w:rPr>
      <w:kern w:val="2"/>
      <w:sz w:val="21"/>
      <w:szCs w:val="22"/>
    </w:rPr>
  </w:style>
  <w:style w:type="character" w:customStyle="1" w:styleId="170">
    <w:name w:val="标题 #6_"/>
    <w:link w:val="171"/>
    <w:qFormat/>
    <w:uiPriority w:val="0"/>
    <w:rPr>
      <w:rFonts w:ascii="宋体" w:hAnsi="宋体" w:cs="宋体"/>
      <w:spacing w:val="30"/>
      <w:sz w:val="26"/>
      <w:szCs w:val="26"/>
      <w:shd w:val="clear" w:color="auto" w:fill="FFFFFF"/>
    </w:rPr>
  </w:style>
  <w:style w:type="paragraph" w:customStyle="1" w:styleId="171">
    <w:name w:val="标题 #6"/>
    <w:basedOn w:val="1"/>
    <w:link w:val="170"/>
    <w:qFormat/>
    <w:uiPriority w:val="0"/>
    <w:pPr>
      <w:shd w:val="clear" w:color="auto" w:fill="FFFFFF"/>
      <w:spacing w:before="540" w:after="540" w:line="0" w:lineRule="atLeast"/>
      <w:jc w:val="center"/>
      <w:outlineLvl w:val="5"/>
    </w:pPr>
    <w:rPr>
      <w:rFonts w:ascii="宋体" w:hAnsi="宋体"/>
      <w:spacing w:val="30"/>
      <w:kern w:val="0"/>
      <w:sz w:val="26"/>
      <w:szCs w:val="26"/>
      <w:lang w:val="zh-CN"/>
    </w:rPr>
  </w:style>
  <w:style w:type="character" w:customStyle="1" w:styleId="172">
    <w:name w:val="正文文本 (19)_"/>
    <w:link w:val="173"/>
    <w:qFormat/>
    <w:uiPriority w:val="0"/>
    <w:rPr>
      <w:rFonts w:ascii="宋体" w:hAnsi="宋体" w:cs="宋体"/>
      <w:b/>
      <w:bCs/>
      <w:sz w:val="23"/>
      <w:szCs w:val="23"/>
      <w:shd w:val="clear" w:color="auto" w:fill="FFFFFF"/>
    </w:rPr>
  </w:style>
  <w:style w:type="paragraph" w:customStyle="1" w:styleId="173">
    <w:name w:val="正文文本 (19)"/>
    <w:basedOn w:val="1"/>
    <w:link w:val="172"/>
    <w:qFormat/>
    <w:uiPriority w:val="0"/>
    <w:pPr>
      <w:shd w:val="clear" w:color="auto" w:fill="FFFFFF"/>
      <w:spacing w:line="559" w:lineRule="exact"/>
      <w:jc w:val="left"/>
    </w:pPr>
    <w:rPr>
      <w:rFonts w:ascii="宋体" w:hAnsi="宋体"/>
      <w:b/>
      <w:bCs/>
      <w:kern w:val="0"/>
      <w:sz w:val="23"/>
      <w:szCs w:val="23"/>
      <w:lang w:val="zh-CN"/>
    </w:rPr>
  </w:style>
  <w:style w:type="character" w:customStyle="1" w:styleId="174">
    <w:name w:val="正文文本 (2) Exact"/>
    <w:qFormat/>
    <w:uiPriority w:val="0"/>
    <w:rPr>
      <w:rFonts w:ascii="宋体" w:hAnsi="宋体" w:eastAsia="宋体" w:cs="宋体"/>
      <w:sz w:val="22"/>
      <w:szCs w:val="22"/>
      <w:u w:val="none"/>
    </w:rPr>
  </w:style>
  <w:style w:type="paragraph" w:customStyle="1" w:styleId="175">
    <w:name w:val="目录 71"/>
    <w:basedOn w:val="1"/>
    <w:next w:val="1"/>
    <w:qFormat/>
    <w:uiPriority w:val="39"/>
    <w:pPr>
      <w:ind w:left="1260"/>
      <w:jc w:val="left"/>
    </w:pPr>
    <w:rPr>
      <w:sz w:val="18"/>
      <w:szCs w:val="18"/>
    </w:rPr>
  </w:style>
  <w:style w:type="paragraph" w:customStyle="1" w:styleId="176">
    <w:name w:val="目录 51"/>
    <w:basedOn w:val="1"/>
    <w:next w:val="1"/>
    <w:qFormat/>
    <w:uiPriority w:val="39"/>
    <w:pPr>
      <w:ind w:left="840"/>
      <w:jc w:val="left"/>
    </w:pPr>
    <w:rPr>
      <w:sz w:val="18"/>
      <w:szCs w:val="18"/>
    </w:rPr>
  </w:style>
  <w:style w:type="paragraph" w:customStyle="1" w:styleId="177">
    <w:name w:val="目录 91"/>
    <w:basedOn w:val="1"/>
    <w:next w:val="1"/>
    <w:qFormat/>
    <w:uiPriority w:val="39"/>
    <w:pPr>
      <w:ind w:left="1680"/>
      <w:jc w:val="left"/>
    </w:pPr>
    <w:rPr>
      <w:sz w:val="18"/>
      <w:szCs w:val="18"/>
    </w:rPr>
  </w:style>
  <w:style w:type="paragraph" w:customStyle="1" w:styleId="178">
    <w:name w:val="目录 21"/>
    <w:basedOn w:val="1"/>
    <w:next w:val="1"/>
    <w:qFormat/>
    <w:uiPriority w:val="39"/>
    <w:pPr>
      <w:ind w:left="210"/>
      <w:jc w:val="left"/>
    </w:pPr>
    <w:rPr>
      <w:smallCaps/>
      <w:sz w:val="20"/>
      <w:szCs w:val="20"/>
    </w:rPr>
  </w:style>
  <w:style w:type="paragraph" w:customStyle="1" w:styleId="179">
    <w:name w:val="目录 41"/>
    <w:basedOn w:val="1"/>
    <w:next w:val="1"/>
    <w:qFormat/>
    <w:uiPriority w:val="39"/>
    <w:pPr>
      <w:ind w:left="630"/>
      <w:jc w:val="left"/>
    </w:pPr>
    <w:rPr>
      <w:sz w:val="18"/>
      <w:szCs w:val="18"/>
    </w:rPr>
  </w:style>
  <w:style w:type="paragraph" w:customStyle="1" w:styleId="180">
    <w:name w:val="目录 31"/>
    <w:basedOn w:val="1"/>
    <w:next w:val="1"/>
    <w:qFormat/>
    <w:uiPriority w:val="39"/>
    <w:pPr>
      <w:tabs>
        <w:tab w:val="right" w:leader="dot" w:pos="9629"/>
      </w:tabs>
      <w:ind w:left="420"/>
      <w:jc w:val="left"/>
    </w:pPr>
    <w:rPr>
      <w:rFonts w:ascii="宋体" w:hAnsi="宋体"/>
      <w:iCs/>
      <w:sz w:val="20"/>
      <w:szCs w:val="20"/>
    </w:rPr>
  </w:style>
  <w:style w:type="paragraph" w:customStyle="1" w:styleId="181">
    <w:name w:val="目录 61"/>
    <w:basedOn w:val="1"/>
    <w:next w:val="1"/>
    <w:qFormat/>
    <w:uiPriority w:val="39"/>
    <w:pPr>
      <w:ind w:left="1050"/>
      <w:jc w:val="left"/>
    </w:pPr>
    <w:rPr>
      <w:sz w:val="18"/>
      <w:szCs w:val="18"/>
    </w:rPr>
  </w:style>
  <w:style w:type="paragraph" w:customStyle="1" w:styleId="182">
    <w:name w:val="目录 11"/>
    <w:basedOn w:val="1"/>
    <w:next w:val="1"/>
    <w:qFormat/>
    <w:uiPriority w:val="39"/>
    <w:pPr>
      <w:spacing w:before="120" w:after="120"/>
      <w:jc w:val="left"/>
    </w:pPr>
    <w:rPr>
      <w:b/>
      <w:bCs/>
      <w:caps/>
      <w:sz w:val="20"/>
      <w:szCs w:val="20"/>
    </w:rPr>
  </w:style>
  <w:style w:type="paragraph" w:customStyle="1" w:styleId="183">
    <w:name w:val="目录 81"/>
    <w:basedOn w:val="1"/>
    <w:next w:val="1"/>
    <w:qFormat/>
    <w:uiPriority w:val="39"/>
    <w:pPr>
      <w:ind w:left="1470"/>
      <w:jc w:val="left"/>
    </w:pPr>
    <w:rPr>
      <w:sz w:val="18"/>
      <w:szCs w:val="18"/>
    </w:rPr>
  </w:style>
  <w:style w:type="paragraph" w:customStyle="1" w:styleId="184">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85">
    <w:name w:val="样式 标题 1 + 黑体 三号 非加粗 居中 段前: 6 磅 段后: 6 磅 行距: 固定值 20 磅"/>
    <w:basedOn w:val="2"/>
    <w:qFormat/>
    <w:uiPriority w:val="0"/>
    <w:pPr>
      <w:spacing w:before="120" w:after="120" w:line="400" w:lineRule="exact"/>
    </w:pPr>
    <w:rPr>
      <w:rFonts w:cs="宋体"/>
      <w:b w:val="0"/>
      <w:bCs w:val="0"/>
      <w:sz w:val="32"/>
      <w:szCs w:val="20"/>
    </w:rPr>
  </w:style>
  <w:style w:type="paragraph" w:customStyle="1" w:styleId="186">
    <w:name w:val="Char Char"/>
    <w:basedOn w:val="1"/>
    <w:qFormat/>
    <w:uiPriority w:val="0"/>
    <w:rPr>
      <w:rFonts w:ascii="Tahoma" w:hAnsi="Tahoma"/>
      <w:sz w:val="24"/>
      <w:szCs w:val="20"/>
    </w:rPr>
  </w:style>
  <w:style w:type="paragraph" w:customStyle="1" w:styleId="187">
    <w:name w:val="TOC 标题1"/>
    <w:basedOn w:val="2"/>
    <w:next w:val="1"/>
    <w:qFormat/>
    <w:uiPriority w:val="39"/>
    <w:pPr>
      <w:widowControl/>
      <w:spacing w:before="480" w:line="276" w:lineRule="auto"/>
      <w:jc w:val="left"/>
      <w:outlineLvl w:val="9"/>
    </w:pPr>
    <w:rPr>
      <w:rFonts w:ascii="Cambria" w:hAnsi="Cambria"/>
      <w:color w:val="365F91"/>
      <w:kern w:val="0"/>
      <w:sz w:val="28"/>
      <w:szCs w:val="28"/>
    </w:rPr>
  </w:style>
  <w:style w:type="paragraph" w:customStyle="1" w:styleId="188">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89">
    <w:name w:val="样式 标题 2 + Times New Roman 四号 非加粗 段前: 5 磅 段后: 0 磅 行距: 固定值 20..."/>
    <w:basedOn w:val="3"/>
    <w:qFormat/>
    <w:uiPriority w:val="0"/>
    <w:pPr>
      <w:spacing w:before="100" w:line="400" w:lineRule="exact"/>
    </w:pPr>
    <w:rPr>
      <w:rFonts w:ascii="Times New Roman" w:hAnsi="Times New Roman" w:cs="宋体"/>
      <w:b w:val="0"/>
      <w:bCs w:val="0"/>
      <w:sz w:val="28"/>
      <w:szCs w:val="20"/>
    </w:rPr>
  </w:style>
  <w:style w:type="paragraph" w:customStyle="1" w:styleId="190">
    <w:name w:val="1"/>
    <w:basedOn w:val="1"/>
    <w:next w:val="1"/>
    <w:qFormat/>
    <w:uiPriority w:val="0"/>
  </w:style>
  <w:style w:type="paragraph" w:customStyle="1" w:styleId="191">
    <w:name w:val="表格"/>
    <w:basedOn w:val="1"/>
    <w:qFormat/>
    <w:uiPriority w:val="0"/>
    <w:pPr>
      <w:jc w:val="center"/>
      <w:textAlignment w:val="center"/>
    </w:pPr>
    <w:rPr>
      <w:rFonts w:ascii="华文细黑" w:hAnsi="华文细黑"/>
      <w:kern w:val="0"/>
      <w:szCs w:val="20"/>
    </w:rPr>
  </w:style>
  <w:style w:type="paragraph" w:customStyle="1" w:styleId="192">
    <w:name w:val="列出段落1"/>
    <w:basedOn w:val="1"/>
    <w:qFormat/>
    <w:uiPriority w:val="1"/>
    <w:pPr>
      <w:ind w:firstLine="420" w:firstLineChars="200"/>
    </w:pPr>
    <w:rPr>
      <w:rFonts w:ascii="Calibri" w:hAnsi="Calibri"/>
      <w:szCs w:val="22"/>
    </w:rPr>
  </w:style>
  <w:style w:type="paragraph" w:customStyle="1" w:styleId="193">
    <w:name w:val="表格文字"/>
    <w:basedOn w:val="1"/>
    <w:qFormat/>
    <w:uiPriority w:val="0"/>
    <w:pPr>
      <w:adjustRightInd w:val="0"/>
      <w:spacing w:line="420" w:lineRule="atLeast"/>
      <w:jc w:val="left"/>
      <w:textAlignment w:val="baseline"/>
    </w:pPr>
    <w:rPr>
      <w:kern w:val="0"/>
      <w:szCs w:val="20"/>
    </w:rPr>
  </w:style>
  <w:style w:type="paragraph" w:customStyle="1" w:styleId="194">
    <w:name w:val="表格文字居中"/>
    <w:basedOn w:val="1"/>
    <w:next w:val="1"/>
    <w:qFormat/>
    <w:uiPriority w:val="0"/>
    <w:pPr>
      <w:tabs>
        <w:tab w:val="left" w:pos="720"/>
        <w:tab w:val="left" w:pos="900"/>
      </w:tabs>
      <w:adjustRightInd w:val="0"/>
      <w:snapToGrid w:val="0"/>
      <w:spacing w:beforeLines="20" w:afterLines="20" w:line="360" w:lineRule="auto"/>
      <w:jc w:val="center"/>
    </w:pPr>
    <w:rPr>
      <w:rFonts w:ascii="宋体" w:hAnsi="Arial"/>
      <w:kern w:val="0"/>
      <w:sz w:val="18"/>
      <w:szCs w:val="20"/>
    </w:rPr>
  </w:style>
  <w:style w:type="paragraph" w:customStyle="1" w:styleId="195">
    <w:name w:val="Char Char Char Char"/>
    <w:basedOn w:val="1"/>
    <w:qFormat/>
    <w:uiPriority w:val="0"/>
    <w:pPr>
      <w:spacing w:line="360" w:lineRule="auto"/>
      <w:ind w:firstLine="200" w:firstLineChars="200"/>
    </w:pPr>
    <w:rPr>
      <w:rFonts w:ascii="宋体" w:hAnsi="宋体" w:cs="宋体"/>
      <w:sz w:val="24"/>
    </w:rPr>
  </w:style>
  <w:style w:type="paragraph" w:customStyle="1" w:styleId="19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7">
    <w:name w:val="修订1"/>
    <w:qFormat/>
    <w:uiPriority w:val="0"/>
    <w:rPr>
      <w:rFonts w:ascii="Times New Roman" w:hAnsi="Times New Roman" w:eastAsia="宋体" w:cs="Times New Roman"/>
      <w:kern w:val="2"/>
      <w:sz w:val="21"/>
      <w:szCs w:val="24"/>
      <w:lang w:val="en-US" w:eastAsia="zh-CN" w:bidi="ar-SA"/>
    </w:rPr>
  </w:style>
  <w:style w:type="paragraph" w:customStyle="1" w:styleId="198">
    <w:name w:val="flNote"/>
    <w:basedOn w:val="1"/>
    <w:qFormat/>
    <w:uiPriority w:val="0"/>
    <w:pPr>
      <w:adjustRightInd w:val="0"/>
      <w:spacing w:before="320" w:after="160" w:line="360" w:lineRule="atLeast"/>
      <w:jc w:val="center"/>
    </w:pPr>
    <w:rPr>
      <w:rFonts w:ascii="Arial" w:eastAsia="黑体"/>
      <w:kern w:val="0"/>
      <w:sz w:val="30"/>
      <w:szCs w:val="20"/>
    </w:rPr>
  </w:style>
  <w:style w:type="paragraph" w:customStyle="1" w:styleId="199">
    <w:name w:val="空半行"/>
    <w:basedOn w:val="1"/>
    <w:qFormat/>
    <w:uiPriority w:val="0"/>
    <w:pPr>
      <w:adjustRightInd w:val="0"/>
      <w:spacing w:line="120" w:lineRule="exact"/>
    </w:pPr>
    <w:rPr>
      <w:rFonts w:eastAsia="仿宋_GB2312"/>
      <w:color w:val="FFFFFF"/>
      <w:kern w:val="0"/>
      <w:sz w:val="30"/>
      <w:szCs w:val="20"/>
    </w:rPr>
  </w:style>
  <w:style w:type="paragraph" w:customStyle="1" w:styleId="200">
    <w:name w:val="样式3"/>
    <w:basedOn w:val="1"/>
    <w:qFormat/>
    <w:uiPriority w:val="0"/>
    <w:pPr>
      <w:keepNext/>
      <w:keepLines/>
      <w:spacing w:line="400" w:lineRule="exact"/>
      <w:outlineLvl w:val="0"/>
    </w:pPr>
    <w:rPr>
      <w:b/>
      <w:bCs/>
      <w:kern w:val="44"/>
      <w:sz w:val="28"/>
      <w:szCs w:val="44"/>
    </w:rPr>
  </w:style>
  <w:style w:type="paragraph" w:customStyle="1" w:styleId="201">
    <w:name w:val="Char Char1"/>
    <w:basedOn w:val="1"/>
    <w:qFormat/>
    <w:uiPriority w:val="0"/>
  </w:style>
  <w:style w:type="paragraph" w:customStyle="1" w:styleId="202">
    <w:name w:val="Char Char Char Char Char Char Char"/>
    <w:basedOn w:val="14"/>
    <w:qFormat/>
    <w:uiPriority w:val="0"/>
    <w:rPr>
      <w:rFonts w:ascii="Tahoma" w:hAnsi="Tahoma"/>
      <w:sz w:val="24"/>
      <w:szCs w:val="22"/>
    </w:rPr>
  </w:style>
  <w:style w:type="character" w:customStyle="1" w:styleId="203">
    <w:name w:val="页脚 字符1"/>
    <w:qFormat/>
    <w:uiPriority w:val="99"/>
    <w:rPr>
      <w:sz w:val="18"/>
      <w:szCs w:val="18"/>
    </w:rPr>
  </w:style>
  <w:style w:type="paragraph" w:customStyle="1" w:styleId="20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5">
    <w:name w:val="列出段落2"/>
    <w:basedOn w:val="1"/>
    <w:qFormat/>
    <w:uiPriority w:val="34"/>
    <w:pPr>
      <w:ind w:firstLine="420" w:firstLineChars="200"/>
    </w:pPr>
  </w:style>
  <w:style w:type="character" w:customStyle="1" w:styleId="206">
    <w:name w:val="脚注文本 Char"/>
    <w:qFormat/>
    <w:uiPriority w:val="0"/>
    <w:rPr>
      <w:kern w:val="2"/>
      <w:sz w:val="18"/>
      <w:szCs w:val="18"/>
    </w:rPr>
  </w:style>
  <w:style w:type="character" w:customStyle="1" w:styleId="207">
    <w:name w:val="未处理的提及1"/>
    <w:basedOn w:val="45"/>
    <w:unhideWhenUsed/>
    <w:qFormat/>
    <w:uiPriority w:val="99"/>
    <w:rPr>
      <w:color w:val="605E5C"/>
      <w:shd w:val="clear" w:color="auto" w:fill="E1DFDD"/>
    </w:rPr>
  </w:style>
  <w:style w:type="character" w:customStyle="1" w:styleId="208">
    <w:name w:val="页脚 Char"/>
    <w:qFormat/>
    <w:locked/>
    <w:uiPriority w:val="0"/>
    <w:rPr>
      <w:rFonts w:eastAsia="宋体"/>
      <w:kern w:val="2"/>
      <w:sz w:val="18"/>
      <w:szCs w:val="18"/>
      <w:lang w:val="en-US" w:eastAsia="zh-CN" w:bidi="ar-SA"/>
    </w:rPr>
  </w:style>
  <w:style w:type="character" w:customStyle="1" w:styleId="209">
    <w:name w:val="页眉 Char"/>
    <w:qFormat/>
    <w:locked/>
    <w:uiPriority w:val="0"/>
    <w:rPr>
      <w:rFonts w:eastAsia="宋体"/>
      <w:kern w:val="2"/>
      <w:sz w:val="18"/>
      <w:szCs w:val="18"/>
      <w:lang w:val="en-US" w:eastAsia="zh-CN" w:bidi="ar-SA"/>
    </w:rPr>
  </w:style>
  <w:style w:type="character" w:customStyle="1" w:styleId="210">
    <w:name w:val="标题 4 Char"/>
    <w:qFormat/>
    <w:uiPriority w:val="0"/>
    <w:rPr>
      <w:rFonts w:ascii="Arial" w:hAnsi="Arial" w:eastAsia="黑体"/>
      <w:b/>
      <w:bCs/>
      <w:kern w:val="2"/>
      <w:sz w:val="28"/>
      <w:szCs w:val="28"/>
    </w:rPr>
  </w:style>
  <w:style w:type="character" w:customStyle="1" w:styleId="211">
    <w:name w:val="标题 5 Char"/>
    <w:qFormat/>
    <w:uiPriority w:val="0"/>
    <w:rPr>
      <w:b/>
      <w:bCs/>
      <w:kern w:val="2"/>
      <w:sz w:val="28"/>
      <w:szCs w:val="28"/>
      <w:lang w:val="zh-CN" w:eastAsia="zh-CN"/>
    </w:rPr>
  </w:style>
  <w:style w:type="paragraph" w:customStyle="1" w:styleId="212">
    <w:name w:val="正文_2"/>
    <w:qFormat/>
    <w:uiPriority w:val="0"/>
    <w:pPr>
      <w:widowControl w:val="0"/>
      <w:jc w:val="both"/>
    </w:pPr>
    <w:rPr>
      <w:rFonts w:ascii="Times New Roman" w:hAnsi="Times New Roman" w:eastAsia="等线" w:cs="Times New Roman"/>
      <w:kern w:val="2"/>
      <w:sz w:val="21"/>
      <w:szCs w:val="24"/>
      <w:lang w:val="en-US" w:eastAsia="zh-CN" w:bidi="ar-SA"/>
    </w:rPr>
  </w:style>
  <w:style w:type="character" w:customStyle="1" w:styleId="213">
    <w:name w:val="hover35"/>
    <w:basedOn w:val="45"/>
    <w:qFormat/>
    <w:uiPriority w:val="0"/>
    <w:rPr>
      <w:color w:val="FFFFFF"/>
      <w:shd w:val="clear" w:color="auto" w:fill="FFA800"/>
    </w:rPr>
  </w:style>
  <w:style w:type="character" w:customStyle="1" w:styleId="214">
    <w:name w:val="hover36"/>
    <w:basedOn w:val="45"/>
    <w:qFormat/>
    <w:uiPriority w:val="0"/>
    <w:rPr>
      <w:color w:val="999999"/>
      <w:bdr w:val="single" w:color="CCCCCC" w:sz="6" w:space="0"/>
      <w:shd w:val="clear" w:color="auto" w:fill="FFFFFF"/>
    </w:rPr>
  </w:style>
  <w:style w:type="character" w:customStyle="1" w:styleId="215">
    <w:name w:val="hover37"/>
    <w:basedOn w:val="45"/>
    <w:qFormat/>
    <w:uiPriority w:val="0"/>
    <w:rPr>
      <w:color w:val="999999"/>
      <w:bdr w:val="single" w:color="CCCCCC" w:sz="6" w:space="0"/>
      <w:shd w:val="clear" w:color="auto" w:fill="FFFFFF"/>
    </w:rPr>
  </w:style>
  <w:style w:type="character" w:customStyle="1" w:styleId="216">
    <w:name w:val="last-child1"/>
    <w:basedOn w:val="45"/>
    <w:qFormat/>
    <w:uiPriority w:val="0"/>
  </w:style>
  <w:style w:type="character" w:customStyle="1" w:styleId="217">
    <w:name w:val="last-child2"/>
    <w:basedOn w:val="45"/>
    <w:qFormat/>
    <w:uiPriority w:val="0"/>
  </w:style>
  <w:style w:type="paragraph" w:customStyle="1" w:styleId="218">
    <w:name w:val="列出段落11"/>
    <w:basedOn w:val="1"/>
    <w:qFormat/>
    <w:uiPriority w:val="34"/>
    <w:pPr>
      <w:ind w:firstLine="420" w:firstLineChars="200"/>
    </w:pPr>
    <w:rPr>
      <w:rFonts w:ascii="等线" w:hAnsi="等线" w:eastAsia="等线"/>
    </w:rPr>
  </w:style>
  <w:style w:type="character" w:customStyle="1" w:styleId="219">
    <w:name w:val="layui-laypage-curr"/>
    <w:basedOn w:val="45"/>
    <w:qFormat/>
    <w:uiPriority w:val="0"/>
  </w:style>
  <w:style w:type="character" w:customStyle="1" w:styleId="220">
    <w:name w:val="bsharetext"/>
    <w:basedOn w:val="45"/>
    <w:qFormat/>
    <w:uiPriority w:val="0"/>
  </w:style>
  <w:style w:type="paragraph" w:customStyle="1" w:styleId="221">
    <w:name w:val="列出段落3"/>
    <w:basedOn w:val="1"/>
    <w:qFormat/>
    <w:uiPriority w:val="1"/>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68FE7B-C5FB-49CA-880D-C4B2A9369D59}">
  <ds:schemaRefs/>
</ds:datastoreItem>
</file>

<file path=docProps/app.xml><?xml version="1.0" encoding="utf-8"?>
<Properties xmlns="http://schemas.openxmlformats.org/officeDocument/2006/extended-properties" xmlns:vt="http://schemas.openxmlformats.org/officeDocument/2006/docPropsVTypes">
  <Template>Normal</Template>
  <Pages>114</Pages>
  <Words>18408</Words>
  <Characters>104930</Characters>
  <Lines>874</Lines>
  <Paragraphs>246</Paragraphs>
  <TotalTime>0</TotalTime>
  <ScaleCrop>false</ScaleCrop>
  <LinksUpToDate>false</LinksUpToDate>
  <CharactersWithSpaces>123092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2020-04-23T02:59:00Z</dcterms:created>
  <cp:lastPrinted>2020-09-07T06:29:00Z</cp:lastPrinted>
  <dcterms:modified xsi:type="dcterms:W3CDTF">2020-09-07T14:55:17Z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