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olor w:val="auto"/>
          <w:sz w:val="32"/>
          <w:szCs w:val="32"/>
          <w:highlight w:val="none"/>
        </w:rPr>
      </w:pPr>
      <w:bookmarkStart w:id="0" w:name="_Toc258182499"/>
      <w:bookmarkStart w:id="1" w:name="_Hlk33781144"/>
      <w:r>
        <w:rPr>
          <w:rFonts w:hint="eastAsia" w:ascii="黑体" w:hAnsi="黑体" w:eastAsia="黑体"/>
          <w:color w:val="auto"/>
          <w:sz w:val="32"/>
          <w:szCs w:val="32"/>
          <w:highlight w:val="none"/>
        </w:rPr>
        <w:t>吉林省高速公路视频云联网工程施工</w:t>
      </w:r>
    </w:p>
    <w:p>
      <w:pPr>
        <w:adjustRightInd w:val="0"/>
        <w:snapToGrid w:val="0"/>
        <w:jc w:val="center"/>
        <w:rPr>
          <w:rFonts w:hint="default" w:ascii="黑体" w:hAnsi="黑体" w:eastAsia="黑体"/>
          <w:color w:val="auto"/>
          <w:sz w:val="36"/>
          <w:szCs w:val="36"/>
          <w:highlight w:val="none"/>
          <w:lang w:val="en-US" w:eastAsia="zh-CN"/>
        </w:rPr>
      </w:pPr>
      <w:r>
        <w:rPr>
          <w:rFonts w:hint="eastAsia" w:ascii="黑体" w:hAnsi="宋体" w:eastAsia="黑体"/>
          <w:sz w:val="30"/>
          <w:szCs w:val="30"/>
        </w:rPr>
        <w:t>招标文件关键内容信息公开</w:t>
      </w:r>
    </w:p>
    <w:bookmarkEnd w:id="0"/>
    <w:bookmarkEnd w:id="1"/>
    <w:p>
      <w:pPr>
        <w:adjustRightInd w:val="0"/>
        <w:snapToGrid w:val="0"/>
        <w:spacing w:line="360" w:lineRule="auto"/>
        <w:ind w:firstLine="420" w:firstLineChars="200"/>
        <w:rPr>
          <w:rFonts w:hint="eastAsia" w:ascii="宋体" w:hAnsi="宋体" w:eastAsia="宋体" w:cs="Times New Roman"/>
          <w:szCs w:val="21"/>
        </w:rPr>
      </w:pPr>
      <w:bookmarkStart w:id="2" w:name="_Toc258182503"/>
      <w:bookmarkStart w:id="3" w:name="_Toc530376653"/>
      <w:bookmarkStart w:id="4" w:name="_Toc24400"/>
      <w:r>
        <w:rPr>
          <w:rFonts w:hint="eastAsia" w:ascii="宋体" w:hAnsi="宋体" w:eastAsia="宋体" w:cs="Times New Roman"/>
          <w:szCs w:val="21"/>
        </w:rPr>
        <w:t>项目概况详见本次招标项目招标公告第1条、第2条。</w:t>
      </w:r>
    </w:p>
    <w:p>
      <w:pPr>
        <w:adjustRightInd w:val="0"/>
        <w:snapToGrid w:val="0"/>
        <w:spacing w:line="360" w:lineRule="auto"/>
        <w:ind w:firstLine="640" w:firstLineChars="200"/>
        <w:rPr>
          <w:b w:val="0"/>
          <w:bCs w:val="0"/>
          <w:color w:val="auto"/>
          <w:sz w:val="32"/>
          <w:szCs w:val="32"/>
          <w:highlight w:val="none"/>
        </w:rPr>
      </w:pPr>
      <w:bookmarkStart w:id="23" w:name="_GoBack"/>
      <w:bookmarkEnd w:id="23"/>
      <w:r>
        <w:rPr>
          <w:rFonts w:hint="eastAsia"/>
          <w:b w:val="0"/>
          <w:bCs w:val="0"/>
          <w:color w:val="auto"/>
          <w:sz w:val="32"/>
          <w:szCs w:val="32"/>
          <w:highlight w:val="none"/>
        </w:rPr>
        <w:t>投标人须知前附表</w:t>
      </w:r>
      <w:bookmarkEnd w:id="2"/>
      <w:r>
        <w:rPr>
          <w:rStyle w:val="55"/>
          <w:b w:val="0"/>
          <w:bCs w:val="0"/>
          <w:color w:val="auto"/>
          <w:sz w:val="32"/>
          <w:szCs w:val="32"/>
          <w:highlight w:val="none"/>
        </w:rPr>
        <w:footnoteReference w:id="0"/>
      </w:r>
      <w:bookmarkEnd w:id="3"/>
      <w:bookmarkEnd w:id="4"/>
    </w:p>
    <w:tbl>
      <w:tblPr>
        <w:tblStyle w:val="43"/>
        <w:tblW w:w="9057"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Layout w:type="fixed"/>
        <w:tblCellMar>
          <w:top w:w="0" w:type="dxa"/>
          <w:left w:w="57" w:type="dxa"/>
          <w:bottom w:w="0" w:type="dxa"/>
          <w:right w:w="57" w:type="dxa"/>
        </w:tblCellMar>
      </w:tblPr>
      <w:tblGrid>
        <w:gridCol w:w="769"/>
        <w:gridCol w:w="1626"/>
        <w:gridCol w:w="666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blHeader/>
        </w:trPr>
        <w:tc>
          <w:tcPr>
            <w:tcW w:w="769"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条 款 名 称</w:t>
            </w:r>
          </w:p>
        </w:tc>
        <w:tc>
          <w:tcPr>
            <w:tcW w:w="6662"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 标 人：吉林省高速公路集团有限公司</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地　　址：吉林省长春市南关区人民大街11511号</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邮政编码：130028</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联 系 人：于忠宏 </w:t>
            </w:r>
            <w:r>
              <w:rPr>
                <w:rFonts w:hint="eastAsia" w:ascii="宋体" w:hAnsi="宋体" w:cs="宋体"/>
                <w:color w:val="auto"/>
                <w:szCs w:val="21"/>
                <w:highlight w:val="none"/>
              </w:rPr>
              <w:t>李昱翠</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szCs w:val="21"/>
                <w:highlight w:val="none"/>
              </w:rPr>
              <w:t>0431-85254020</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电子邮箱：525208509@qq.com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招标代理机构：国信国际工程咨询集团股份有限公司</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szCs w:val="21"/>
                <w:highlight w:val="none"/>
              </w:rPr>
              <w:t>长春市净月旅游开发区生态大街3777号明宇广场A4栋32层招标部</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邮政编码：130000</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联 系 人：</w:t>
            </w:r>
            <w:r>
              <w:rPr>
                <w:rFonts w:hint="eastAsia" w:ascii="宋体" w:hAnsi="宋体" w:cs="宋体"/>
                <w:color w:val="auto"/>
                <w:szCs w:val="21"/>
                <w:highlight w:val="none"/>
              </w:rPr>
              <w:t>张娉婷、王建</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szCs w:val="21"/>
                <w:highlight w:val="none"/>
              </w:rPr>
              <w:t>0431-81852896</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电子邮箱：</w:t>
            </w:r>
            <w:r>
              <w:rPr>
                <w:rFonts w:hint="eastAsia" w:ascii="宋体" w:hAnsi="宋体" w:cs="宋体"/>
                <w:color w:val="auto"/>
                <w:szCs w:val="21"/>
                <w:highlight w:val="none"/>
                <w:shd w:val="clear" w:color="auto" w:fill="FFFFFF"/>
              </w:rPr>
              <w:t>2232574732@qq.com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szCs w:val="21"/>
                <w:highlight w:val="none"/>
              </w:rPr>
              <w:t>吉林省高速公路视频云联网工程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标段建设地点</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color w:val="auto"/>
                <w:highlight w:val="none"/>
              </w:rPr>
              <w:t>吉林省境内。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见招标文件第一章“招标公告”第2条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见招标文件第一章“招标公告”第2条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olor w:val="auto"/>
                <w:kern w:val="0"/>
                <w:szCs w:val="21"/>
                <w:highlight w:val="none"/>
              </w:rPr>
              <w:t>符合</w:t>
            </w:r>
            <w:bookmarkStart w:id="5" w:name="_Hlk43382631"/>
            <w:r>
              <w:rPr>
                <w:rFonts w:hint="eastAsia" w:ascii="宋体" w:hAnsi="宋体"/>
                <w:color w:val="auto"/>
                <w:kern w:val="0"/>
                <w:szCs w:val="21"/>
                <w:highlight w:val="none"/>
              </w:rPr>
              <w:t>国家、交通运输部、吉林省相关规范、规程和技术标准及招标人技术要求</w:t>
            </w:r>
            <w:bookmarkEnd w:id="5"/>
            <w:r>
              <w:rPr>
                <w:rFonts w:hint="eastAsia" w:ascii="宋体" w:hAnsi="宋体"/>
                <w:color w:val="auto"/>
                <w:kern w:val="0"/>
                <w:szCs w:val="21"/>
                <w:highlight w:val="none"/>
              </w:rPr>
              <w:t>，并通过交通运输部竣工验收</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安全目标</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在项目建设过程中杜绝重大安全责任事故，避免发生较大安全责任事故，控制一般安全责任事故。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vertAlign w:val="superscript"/>
              </w:rPr>
            </w:pPr>
            <w:r>
              <w:rPr>
                <w:rFonts w:hint="eastAsia" w:ascii="宋体" w:hAnsi="宋体" w:cs="宋体"/>
                <w:color w:val="auto"/>
                <w:szCs w:val="21"/>
                <w:highlight w:val="none"/>
              </w:rPr>
              <w:t>1.4.1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资质条件：见附录1</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财务要求：见附录2</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业绩要求：见附录3</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信誉要求：见附录4</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项目经理和项目总工资格要求：见附录5</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是否接受</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联合体投标</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1.4.3</w:t>
            </w:r>
          </w:p>
        </w:tc>
        <w:tc>
          <w:tcPr>
            <w:tcW w:w="1626" w:type="dxa"/>
            <w:shd w:val="clear" w:color="auto" w:fill="FFFFFF" w:themeFill="background1"/>
            <w:vAlign w:val="center"/>
          </w:tcPr>
          <w:p>
            <w:pPr>
              <w:keepLines/>
              <w:snapToGrid w:val="0"/>
              <w:jc w:val="center"/>
              <w:rPr>
                <w:rFonts w:ascii="宋体" w:hAnsi="宋体" w:cs="宋体"/>
                <w:color w:val="auto"/>
                <w:szCs w:val="21"/>
                <w:highlight w:val="none"/>
              </w:rPr>
            </w:pPr>
            <w:r>
              <w:rPr>
                <w:rFonts w:hint="eastAsia" w:ascii="宋体" w:hAnsi="宋体" w:cs="宋体"/>
                <w:color w:val="auto"/>
                <w:kern w:val="0"/>
                <w:szCs w:val="21"/>
                <w:highlight w:val="none"/>
                <w:lang w:val="zh-CN"/>
              </w:rPr>
              <w:t>投标人不得存在的其他关联情形</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1.4.4</w:t>
            </w:r>
          </w:p>
        </w:tc>
        <w:tc>
          <w:tcPr>
            <w:tcW w:w="1626" w:type="dxa"/>
            <w:shd w:val="clear" w:color="auto" w:fill="FFFFFF" w:themeFill="background1"/>
            <w:vAlign w:val="center"/>
          </w:tcPr>
          <w:p>
            <w:pPr>
              <w:keepLines/>
              <w:snapToGrid w:val="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投标人不得存在的其他不良状况或不良信用记录</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本款内容第（6）目修改为：</w:t>
            </w:r>
          </w:p>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（6）投标人或其法定代表人、拟委任的项目经理在近三年内有行贿犯罪行为的。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1626" w:type="dxa"/>
            <w:vMerge w:val="restart"/>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时间：/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形式：/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构成招标文件的</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其他资料</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626" w:type="dxa"/>
            <w:vMerge w:val="restart"/>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投标人要求澄清</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时间：投标截止时间10天前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1220"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wordWrap w:val="0"/>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形式：将要求澄清内容（应加盖投标人单位章，或由投标人的法定代表人或其委托代理人签字）以电子邮件的形式发送至</w:t>
            </w:r>
            <w:r>
              <w:rPr>
                <w:rFonts w:hint="eastAsia" w:ascii="宋体" w:hAnsi="宋体" w:cs="宋体"/>
                <w:color w:val="auto"/>
                <w:szCs w:val="21"/>
                <w:highlight w:val="none"/>
                <w:shd w:val="clear" w:color="auto" w:fill="FFFFFF"/>
              </w:rPr>
              <w:t>2232574732@qq.com</w:t>
            </w:r>
            <w:r>
              <w:rPr>
                <w:rFonts w:hint="eastAsia" w:ascii="宋体" w:hAnsi="宋体" w:cs="宋体"/>
                <w:i/>
                <w:color w:val="auto"/>
                <w:kern w:val="0"/>
                <w:szCs w:val="21"/>
                <w:highlight w:val="none"/>
              </w:rPr>
              <w:t>，</w:t>
            </w:r>
            <w:r>
              <w:rPr>
                <w:rFonts w:hint="eastAsia" w:ascii="宋体" w:hAnsi="宋体" w:cs="宋体"/>
                <w:color w:val="auto"/>
                <w:szCs w:val="21"/>
                <w:highlight w:val="none"/>
              </w:rPr>
              <w:t>并电话通知招标代理机构。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招标文件澄清</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发出的形式</w:t>
            </w:r>
          </w:p>
        </w:tc>
        <w:tc>
          <w:tcPr>
            <w:tcW w:w="6662" w:type="dxa"/>
            <w:shd w:val="clear" w:color="auto" w:fill="FFFFFF" w:themeFill="background1"/>
            <w:vAlign w:val="center"/>
          </w:tcPr>
          <w:p>
            <w:pPr>
              <w:keepLines/>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通过电子邮件的方式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626" w:type="dxa"/>
            <w:vMerge w:val="restart"/>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投标人确认收到</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招标文件澄清</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时间：收到澄清后24小时内（以发出时间为准）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形式：将收到澄清的回函（应加盖投标人单位章，或由投标人的法定代表人或其委托代理人签字）以电子邮件的形式发送至</w:t>
            </w:r>
            <w:r>
              <w:rPr>
                <w:rFonts w:hint="eastAsia" w:ascii="宋体" w:hAnsi="宋体" w:cs="宋体"/>
                <w:color w:val="auto"/>
                <w:szCs w:val="21"/>
                <w:highlight w:val="none"/>
                <w:shd w:val="clear" w:color="auto" w:fill="FFFFFF"/>
              </w:rPr>
              <w:t>2232574732@qq.com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招标文件修改</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发出的方式</w:t>
            </w:r>
          </w:p>
        </w:tc>
        <w:tc>
          <w:tcPr>
            <w:tcW w:w="6662" w:type="dxa"/>
            <w:shd w:val="clear" w:color="auto" w:fill="FFFFFF" w:themeFill="background1"/>
            <w:vAlign w:val="center"/>
          </w:tcPr>
          <w:p>
            <w:pPr>
              <w:keepLines/>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通过电子邮件的方式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1626" w:type="dxa"/>
            <w:vMerge w:val="restart"/>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投标人确认收到</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招标文件修改</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时间：收到修改后24小时内（以发出时间为准）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形式：将收到修改的回函（应加盖投标人单位章，或由投标人的法定代表人或其委托代理人签字）以电子邮件的形式发送至</w:t>
            </w:r>
            <w:r>
              <w:rPr>
                <w:rFonts w:hint="eastAsia" w:ascii="宋体" w:hAnsi="宋体" w:cs="宋体"/>
                <w:color w:val="auto"/>
                <w:szCs w:val="21"/>
                <w:highlight w:val="none"/>
                <w:shd w:val="clear" w:color="auto" w:fill="FFFFFF"/>
              </w:rPr>
              <w:t>2232574732@qq.com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投标文件</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密封形式</w:t>
            </w:r>
          </w:p>
        </w:tc>
        <w:tc>
          <w:tcPr>
            <w:tcW w:w="6662" w:type="dxa"/>
            <w:shd w:val="clear" w:color="auto" w:fill="FFFFFF" w:themeFill="background1"/>
            <w:vAlign w:val="center"/>
          </w:tcPr>
          <w:p>
            <w:pPr>
              <w:keepLines/>
              <w:autoSpaceDE w:val="0"/>
              <w:autoSpaceDN w:val="0"/>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双信封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构成投标文件</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的其他资料</w:t>
            </w:r>
          </w:p>
        </w:tc>
        <w:tc>
          <w:tcPr>
            <w:tcW w:w="6662" w:type="dxa"/>
            <w:shd w:val="clear" w:color="auto" w:fill="FFFFFF" w:themeFill="background1"/>
            <w:vAlign w:val="center"/>
          </w:tcPr>
          <w:p>
            <w:pPr>
              <w:keepLines/>
              <w:autoSpaceDE w:val="0"/>
              <w:autoSpaceDN w:val="0"/>
              <w:adjustRightInd w:val="0"/>
              <w:snapToGrid w:val="0"/>
              <w:spacing w:line="3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增值税税金</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的计算方法</w:t>
            </w:r>
          </w:p>
        </w:tc>
        <w:tc>
          <w:tcPr>
            <w:tcW w:w="6662" w:type="dxa"/>
            <w:shd w:val="clear" w:color="auto" w:fill="FFFFFF" w:themeFill="background1"/>
            <w:vAlign w:val="center"/>
          </w:tcPr>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工程量清单</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的填写方式</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投标人按照招标人提供的固化电子文件填写并打印投标函、工程量清单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单价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3.2.6</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是否接受调价函</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3.2.8</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662" w:type="dxa"/>
            <w:shd w:val="clear" w:color="auto" w:fill="FFFFFF" w:themeFill="background1"/>
            <w:vAlign w:val="center"/>
          </w:tcPr>
          <w:p>
            <w:pPr>
              <w:keepLines/>
              <w:adjustRightInd w:val="0"/>
              <w:snapToGrid w:val="0"/>
              <w:spacing w:line="240" w:lineRule="auto"/>
              <w:ind w:left="0" w:leftChars="0"/>
              <w:jc w:val="left"/>
              <w:rPr>
                <w:rFonts w:ascii="宋体" w:hAnsi="宋体" w:cs="宋体"/>
                <w:color w:val="auto"/>
                <w:szCs w:val="21"/>
                <w:highlight w:val="none"/>
              </w:rPr>
            </w:pPr>
            <w:r>
              <w:rPr>
                <w:rFonts w:ascii="宋体" w:hAnsi="宋体" w:cs="宋体"/>
                <w:color w:val="auto"/>
                <w:szCs w:val="21"/>
                <w:highlight w:val="none"/>
              </w:rPr>
              <w:t>JD01</w:t>
            </w:r>
            <w:r>
              <w:rPr>
                <w:rFonts w:hint="eastAsia" w:ascii="宋体" w:hAnsi="宋体" w:cs="宋体"/>
                <w:color w:val="auto"/>
                <w:szCs w:val="21"/>
                <w:highlight w:val="none"/>
                <w:lang w:val="en-US" w:eastAsia="zh-CN"/>
              </w:rPr>
              <w:t>标段</w:t>
            </w:r>
            <w:r>
              <w:rPr>
                <w:rFonts w:ascii="宋体" w:hAnsi="宋体" w:cs="宋体"/>
                <w:color w:val="auto"/>
                <w:szCs w:val="21"/>
                <w:highlight w:val="none"/>
              </w:rPr>
              <w:t>:</w:t>
            </w:r>
            <w:r>
              <w:rPr>
                <w:rFonts w:hint="eastAsia" w:ascii="宋体" w:hAnsi="宋体" w:eastAsia="宋体" w:cs="宋体"/>
                <w:color w:val="auto"/>
                <w:kern w:val="0"/>
                <w:sz w:val="21"/>
                <w:szCs w:val="21"/>
                <w:highlight w:val="none"/>
                <w:lang w:val="zh-CN" w:eastAsia="zh-CN" w:bidi="ar-SA"/>
              </w:rPr>
              <w:t>18030.89</w:t>
            </w:r>
            <w:r>
              <w:rPr>
                <w:rFonts w:hint="eastAsia" w:ascii="宋体" w:hAnsi="宋体" w:cs="宋体"/>
                <w:color w:val="auto"/>
                <w:szCs w:val="21"/>
                <w:highlight w:val="none"/>
              </w:rPr>
              <w:t>万元</w:t>
            </w:r>
          </w:p>
          <w:p>
            <w:pPr>
              <w:keepLines/>
              <w:adjustRightInd w:val="0"/>
              <w:snapToGrid w:val="0"/>
              <w:spacing w:line="240" w:lineRule="auto"/>
              <w:ind w:left="0" w:leftChars="0"/>
              <w:jc w:val="left"/>
              <w:rPr>
                <w:rFonts w:ascii="宋体" w:hAnsi="宋体" w:cs="宋体"/>
                <w:color w:val="auto"/>
                <w:szCs w:val="21"/>
                <w:highlight w:val="none"/>
              </w:rPr>
            </w:pPr>
            <w:r>
              <w:rPr>
                <w:rFonts w:ascii="宋体" w:hAnsi="宋体" w:cs="宋体"/>
                <w:color w:val="auto"/>
                <w:szCs w:val="21"/>
                <w:highlight w:val="none"/>
              </w:rPr>
              <w:t>JD02</w:t>
            </w:r>
            <w:r>
              <w:rPr>
                <w:rFonts w:hint="eastAsia" w:ascii="宋体" w:hAnsi="宋体" w:cs="宋体"/>
                <w:color w:val="auto"/>
                <w:szCs w:val="21"/>
                <w:highlight w:val="none"/>
                <w:lang w:val="en-US" w:eastAsia="zh-CN"/>
              </w:rPr>
              <w:t>标段</w:t>
            </w:r>
            <w:r>
              <w:rPr>
                <w:rFonts w:ascii="宋体" w:hAnsi="宋体" w:cs="宋体"/>
                <w:color w:val="auto"/>
                <w:szCs w:val="21"/>
                <w:highlight w:val="none"/>
              </w:rPr>
              <w:t>:</w:t>
            </w:r>
            <w:r>
              <w:rPr>
                <w:rFonts w:hint="eastAsia" w:ascii="宋体" w:hAnsi="宋体" w:eastAsia="宋体" w:cs="宋体"/>
                <w:color w:val="auto"/>
                <w:kern w:val="0"/>
                <w:sz w:val="21"/>
                <w:szCs w:val="21"/>
                <w:highlight w:val="none"/>
                <w:lang w:val="zh-CN" w:eastAsia="zh-CN" w:bidi="ar-SA"/>
              </w:rPr>
              <w:t>6204.61</w:t>
            </w:r>
            <w:r>
              <w:rPr>
                <w:rFonts w:hint="eastAsia" w:ascii="宋体" w:hAnsi="宋体" w:cs="宋体"/>
                <w:color w:val="auto"/>
                <w:szCs w:val="21"/>
                <w:highlight w:val="none"/>
              </w:rPr>
              <w:t>万元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3.2.9</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投标报价的</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662" w:type="dxa"/>
            <w:shd w:val="clear" w:color="auto" w:fill="FFFFFF" w:themeFill="background1"/>
            <w:vAlign w:val="center"/>
          </w:tcPr>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62" w:type="dxa"/>
            <w:shd w:val="clear" w:color="auto" w:fill="FFFFFF" w:themeFill="background1"/>
            <w:vAlign w:val="center"/>
          </w:tcPr>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662" w:type="dxa"/>
            <w:shd w:val="clear" w:color="auto" w:fill="FFFFFF" w:themeFill="background1"/>
            <w:vAlign w:val="center"/>
          </w:tcPr>
          <w:p>
            <w:pPr>
              <w:pStyle w:val="204"/>
              <w:keepLines/>
              <w:snapToGrid w:val="0"/>
              <w:spacing w:before="120" w:beforeLines="50"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投标保证金的金额：80万元</w:t>
            </w:r>
            <w:bookmarkStart w:id="6" w:name="EB79319d0e8abe4d12b5c52fbd068b4c5a"/>
          </w:p>
          <w:p>
            <w:pPr>
              <w:pStyle w:val="204"/>
              <w:keepLines/>
              <w:numPr>
                <w:ilvl w:val="0"/>
                <w:numId w:val="1"/>
              </w:numPr>
              <w:snapToGrid w:val="0"/>
              <w:spacing w:before="120" w:beforeLines="50"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采用银行保函时，出具保函的银行级别：应由“工商银行、农业银行、中国银行、建设银行、交通银行、中国邮政储蓄银行”六大国有商业银行之一或全国性股份制商业银行开具，银行应为地市级分、支行或以上级别。</w:t>
            </w:r>
          </w:p>
          <w:p>
            <w:pPr>
              <w:pStyle w:val="204"/>
              <w:keepLines/>
              <w:numPr>
                <w:ilvl w:val="0"/>
                <w:numId w:val="1"/>
              </w:numPr>
              <w:snapToGrid w:val="0"/>
              <w:spacing w:before="120" w:beforeLines="50"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采用担保机构出具保函时，出具保函的担保机构级别：注册资本金不低于10亿元的长春市区境内的专业担保机构。</w:t>
            </w:r>
          </w:p>
          <w:p>
            <w:pPr>
              <w:pStyle w:val="204"/>
              <w:keepLines/>
              <w:snapToGrid w:val="0"/>
              <w:spacing w:before="120" w:beforeLines="50"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rPr>
              <w:t>（3）若采用现金或支票，投标人应在递交投标文件截止时间之前，将投标保证金由投标人的基本账户一次性转入并到达招标人指定账户，否则视为投标保证金无效。招标人指定的开户银行及账号如下：</w:t>
            </w:r>
          </w:p>
          <w:p>
            <w:pPr>
              <w:pStyle w:val="204"/>
              <w:keepLines/>
              <w:snapToGrid w:val="0"/>
              <w:spacing w:line="360" w:lineRule="exact"/>
              <w:ind w:left="210" w:leftChars="100"/>
              <w:jc w:val="both"/>
              <w:rPr>
                <w:rFonts w:hAnsi="宋体"/>
                <w:color w:val="auto"/>
                <w:sz w:val="21"/>
                <w:szCs w:val="21"/>
                <w:highlight w:val="none"/>
              </w:rPr>
            </w:pPr>
            <w:r>
              <w:rPr>
                <w:rFonts w:hint="eastAsia" w:hAnsi="宋体"/>
                <w:color w:val="auto"/>
                <w:sz w:val="21"/>
                <w:szCs w:val="21"/>
                <w:highlight w:val="none"/>
              </w:rPr>
              <w:t>开户银行：中国工商银行长春经济技术开发区支行</w:t>
            </w:r>
          </w:p>
          <w:p>
            <w:pPr>
              <w:pStyle w:val="204"/>
              <w:keepLines/>
              <w:snapToGrid w:val="0"/>
              <w:spacing w:line="360" w:lineRule="exact"/>
              <w:ind w:left="210" w:leftChars="100"/>
              <w:jc w:val="both"/>
              <w:rPr>
                <w:rFonts w:hAnsi="宋体"/>
                <w:color w:val="auto"/>
                <w:sz w:val="21"/>
                <w:szCs w:val="21"/>
                <w:highlight w:val="none"/>
              </w:rPr>
            </w:pPr>
            <w:r>
              <w:rPr>
                <w:rFonts w:hint="eastAsia" w:hAnsi="宋体"/>
                <w:color w:val="auto"/>
                <w:sz w:val="21"/>
                <w:szCs w:val="21"/>
                <w:highlight w:val="none"/>
              </w:rPr>
              <w:t>账户名称：吉林省高速公路集团有限公司</w:t>
            </w:r>
          </w:p>
          <w:p>
            <w:pPr>
              <w:pStyle w:val="204"/>
              <w:keepLines/>
              <w:snapToGrid w:val="0"/>
              <w:spacing w:line="360" w:lineRule="exact"/>
              <w:ind w:left="210" w:leftChars="100"/>
              <w:jc w:val="both"/>
              <w:rPr>
                <w:rFonts w:hAnsi="宋体"/>
                <w:color w:val="auto"/>
                <w:sz w:val="21"/>
                <w:szCs w:val="21"/>
                <w:highlight w:val="none"/>
              </w:rPr>
            </w:pPr>
            <w:r>
              <w:rPr>
                <w:rFonts w:hint="eastAsia" w:hAnsi="宋体"/>
                <w:color w:val="auto"/>
                <w:sz w:val="21"/>
                <w:szCs w:val="21"/>
                <w:highlight w:val="none"/>
              </w:rPr>
              <w:t>账    号：4200 2232 1920 0131 189</w:t>
            </w:r>
          </w:p>
          <w:p>
            <w:pPr>
              <w:pStyle w:val="204"/>
              <w:keepLines/>
              <w:snapToGrid w:val="0"/>
              <w:spacing w:line="360" w:lineRule="exact"/>
              <w:ind w:left="210" w:leftChars="100"/>
              <w:jc w:val="both"/>
              <w:rPr>
                <w:rFonts w:hAnsi="宋体"/>
                <w:color w:val="auto"/>
                <w:sz w:val="21"/>
                <w:szCs w:val="21"/>
                <w:highlight w:val="none"/>
              </w:rPr>
            </w:pPr>
            <w:r>
              <w:rPr>
                <w:rFonts w:hint="eastAsia" w:hAnsi="宋体"/>
                <w:color w:val="auto"/>
                <w:sz w:val="21"/>
                <w:szCs w:val="21"/>
                <w:highlight w:val="none"/>
              </w:rPr>
              <w:t>业务回单备注一栏可填写：“视频云联网工程投标担保”</w:t>
            </w:r>
            <w:bookmarkEnd w:id="6"/>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6870"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投标保证金</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的退还及利</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息计算原则</w:t>
            </w:r>
          </w:p>
        </w:tc>
        <w:tc>
          <w:tcPr>
            <w:tcW w:w="6662" w:type="dxa"/>
            <w:shd w:val="clear" w:color="auto" w:fill="FFFFFF" w:themeFill="background1"/>
            <w:vAlign w:val="center"/>
          </w:tcPr>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招标人最迟将在中标通知书发出后5日内向中标候选人以外的其他投标人退还投标保证金，与中标人签订合同后5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利息计算原则如下：</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（1）计算利息的起始日期为投标截止当日，终止日期为招标人退还投标保证金日期的前一日；</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（2）投标保证金的利息按照第(1)款所述计息时间段内招标人指定汇入银行公告的活期存款利率计付，并扣除招标人汇款手续费；</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（3）利息金额计算至分位，分以下尾数四舍五入。</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注意：投标人必须自本次招标的中标候选人公示期满后5日内及时向招标人递交退还投标保证金的有关资料。</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退还投标保证金时，投标人应向招标人提供的资料如下:</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（1）基本账户开户许可证彩色复印件（清晰可辨）；</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（2）给招标人开据的退还投标保证金财务收据原件；</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（3）汇款凭证复印件；</w:t>
            </w:r>
          </w:p>
          <w:p>
            <w:pPr>
              <w:pStyle w:val="204"/>
              <w:keepLines/>
              <w:snapToGrid w:val="0"/>
              <w:spacing w:line="360" w:lineRule="exact"/>
              <w:ind w:left="210" w:leftChars="100"/>
              <w:jc w:val="both"/>
              <w:rPr>
                <w:rFonts w:hAnsi="宋体"/>
                <w:color w:val="auto"/>
                <w:sz w:val="21"/>
                <w:szCs w:val="21"/>
                <w:highlight w:val="none"/>
                <w:lang w:val="zh-CN"/>
              </w:rPr>
            </w:pPr>
            <w:r>
              <w:rPr>
                <w:rFonts w:hint="eastAsia" w:hAnsi="宋体"/>
                <w:color w:val="auto"/>
                <w:sz w:val="21"/>
                <w:szCs w:val="21"/>
                <w:highlight w:val="none"/>
                <w:lang w:val="zh-CN"/>
              </w:rPr>
              <w:t>（4）投标人未在上述期限内将相关手续送达招标人的，</w:t>
            </w:r>
            <w:r>
              <w:rPr>
                <w:rFonts w:hint="eastAsia" w:hAnsi="宋体"/>
                <w:color w:val="auto"/>
                <w:sz w:val="21"/>
                <w:szCs w:val="21"/>
                <w:highlight w:val="none"/>
              </w:rPr>
              <w:t>如果</w:t>
            </w:r>
            <w:r>
              <w:rPr>
                <w:rFonts w:hint="eastAsia" w:hAnsi="宋体"/>
                <w:color w:val="auto"/>
                <w:sz w:val="21"/>
                <w:szCs w:val="21"/>
                <w:highlight w:val="none"/>
                <w:lang w:val="zh-CN"/>
              </w:rPr>
              <w:t>投标人放弃利息，需出具放弃索要利息的情况说明，</w:t>
            </w:r>
            <w:r>
              <w:rPr>
                <w:rFonts w:hint="eastAsia" w:hAnsi="宋体"/>
                <w:color w:val="auto"/>
                <w:sz w:val="21"/>
                <w:szCs w:val="21"/>
                <w:highlight w:val="none"/>
              </w:rPr>
              <w:t>或</w:t>
            </w:r>
            <w:r>
              <w:rPr>
                <w:rFonts w:hint="eastAsia" w:hAnsi="宋体"/>
                <w:color w:val="auto"/>
                <w:sz w:val="21"/>
                <w:szCs w:val="21"/>
                <w:highlight w:val="none"/>
                <w:lang w:val="zh-CN"/>
              </w:rPr>
              <w:t>在投标保证金收据上注明自愿放弃收取利息；索要利息的，需同时提供增值税发票。</w:t>
            </w:r>
          </w:p>
          <w:p>
            <w:pPr>
              <w:pStyle w:val="204"/>
              <w:keepLines/>
              <w:snapToGrid w:val="0"/>
              <w:spacing w:line="360" w:lineRule="exact"/>
              <w:ind w:left="210" w:leftChars="100"/>
              <w:jc w:val="both"/>
              <w:rPr>
                <w:rFonts w:hAnsi="宋体"/>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3.4.4</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其他可以不予</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退还投标保证金情形</w:t>
            </w:r>
          </w:p>
        </w:tc>
        <w:tc>
          <w:tcPr>
            <w:tcW w:w="6662" w:type="dxa"/>
            <w:shd w:val="clear" w:color="auto" w:fill="FFFFFF" w:themeFill="background1"/>
            <w:vAlign w:val="center"/>
          </w:tcPr>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1626" w:type="dxa"/>
            <w:shd w:val="clear" w:color="auto" w:fill="FFFFFF" w:themeFill="background1"/>
            <w:vAlign w:val="center"/>
          </w:tcPr>
          <w:p>
            <w:pPr>
              <w:keepLines/>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资格审查资料</w:t>
            </w:r>
          </w:p>
          <w:p>
            <w:pPr>
              <w:keepLines/>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的特殊要求</w:t>
            </w:r>
          </w:p>
        </w:tc>
        <w:tc>
          <w:tcPr>
            <w:tcW w:w="6662" w:type="dxa"/>
            <w:shd w:val="clear" w:color="auto" w:fill="FFFFFF" w:themeFill="background1"/>
            <w:vAlign w:val="center"/>
          </w:tcPr>
          <w:p>
            <w:pPr>
              <w:keepLines/>
              <w:snapToGrid w:val="0"/>
              <w:spacing w:before="36" w:beforeLines="15" w:after="36" w:afterLines="15"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626" w:type="dxa"/>
            <w:shd w:val="clear" w:color="auto" w:fill="FFFFFF" w:themeFill="background1"/>
            <w:vAlign w:val="center"/>
          </w:tcPr>
          <w:p>
            <w:pPr>
              <w:keepLines/>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投标人基本情况表</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本项内容修改为：</w:t>
            </w:r>
          </w:p>
          <w:p>
            <w:pPr>
              <w:keepLines/>
              <w:snapToGrid w:val="0"/>
              <w:spacing w:before="36" w:beforeLines="15" w:after="36" w:afterLines="15" w:line="360" w:lineRule="exact"/>
              <w:ind w:left="210" w:leftChars="100"/>
              <w:rPr>
                <w:rFonts w:ascii="宋体" w:hAnsi="宋体" w:cs="宋体"/>
                <w:color w:val="auto"/>
                <w:szCs w:val="21"/>
                <w:highlight w:val="none"/>
                <w:u w:val="wave"/>
              </w:rPr>
            </w:pPr>
            <w:r>
              <w:rPr>
                <w:rFonts w:hint="eastAsia" w:ascii="宋体" w:hAnsi="宋体" w:cs="宋体"/>
                <w:color w:val="auto"/>
                <w:szCs w:val="21"/>
                <w:highlight w:val="none"/>
              </w:rPr>
              <w:t>3.5.1 “投标人基本情况表”应附</w:t>
            </w:r>
            <w:r>
              <w:rPr>
                <w:rFonts w:hint="eastAsia" w:ascii="宋体" w:hAnsi="宋体" w:cs="宋体"/>
                <w:color w:val="auto"/>
                <w:szCs w:val="21"/>
                <w:highlight w:val="none"/>
                <w:u w:val="wave"/>
              </w:rPr>
              <w:t>企业法人营业执照副本、施工资质证书副本（或电子证书）、安全生产许可证副本</w:t>
            </w:r>
            <w:r>
              <w:rPr>
                <w:rFonts w:hint="eastAsia" w:ascii="宋体" w:hAnsi="宋体"/>
                <w:color w:val="auto"/>
                <w:szCs w:val="21"/>
                <w:highlight w:val="none"/>
                <w:u w:val="wave"/>
              </w:rPr>
              <w:t>（或电子证书）</w:t>
            </w:r>
            <w:r>
              <w:rPr>
                <w:rFonts w:hint="eastAsia" w:ascii="宋体" w:hAnsi="宋体" w:cs="宋体"/>
                <w:color w:val="auto"/>
                <w:szCs w:val="21"/>
                <w:highlight w:val="none"/>
                <w:u w:val="wave"/>
              </w:rPr>
              <w:t>、基本账户开户许可证（或由基本账户开户银行出具的开户证明）</w:t>
            </w:r>
            <w:r>
              <w:rPr>
                <w:rFonts w:hint="eastAsia" w:ascii="宋体" w:hAnsi="宋体" w:cs="宋体"/>
                <w:color w:val="auto"/>
                <w:szCs w:val="21"/>
                <w:highlight w:val="none"/>
              </w:rPr>
              <w:t>的复印件，投标人在交通运输部“全国公路建设市场信用信息管理系统”公路工程施工资质企业名录中的网页截图复印件，</w:t>
            </w:r>
            <w:r>
              <w:rPr>
                <w:rFonts w:hint="eastAsia" w:ascii="宋体" w:hAnsi="宋体" w:cs="宋体"/>
                <w:color w:val="auto"/>
                <w:szCs w:val="21"/>
                <w:highlight w:val="none"/>
                <w:u w:val="wave"/>
              </w:rPr>
              <w:t>以及投标人在国家企业信用信息公示系统中基础信息（体现股东及出资详细信息）的网页截图或由法定的社会验资机构出具的验资报告或注册地工商部门出具的股东出资情况证明。</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企业法人营业执照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近年财务状况</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的年份要求</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2019年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近年完成的</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类似项目情况表</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2015年1月1日～投标截止时间，且必须为己列入交通运输主管部门“公路建设市场信用信息管理系统”并公开的己建总包业绩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3.5.5</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拟委任的项目经理和项目总工资历表</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本项内容修改为：</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w:t>
            </w:r>
            <w:r>
              <w:rPr>
                <w:rFonts w:hint="eastAsia" w:ascii="宋体" w:hAnsi="宋体"/>
                <w:color w:val="auto"/>
                <w:szCs w:val="21"/>
                <w:highlight w:val="none"/>
                <w:u w:val="wave"/>
              </w:rPr>
              <w:t>也可以是电子证书或是</w:t>
            </w:r>
            <w:r>
              <w:rPr>
                <w:rFonts w:hint="eastAsia" w:ascii="宋体" w:hAnsi="宋体" w:cs="宋体"/>
                <w:color w:val="auto"/>
                <w:szCs w:val="21"/>
                <w:highlight w:val="none"/>
              </w:rPr>
              <w:t>在政府相关部门网站上公开信息的网页截图复印件，</w:t>
            </w:r>
            <w:r>
              <w:rPr>
                <w:rFonts w:hint="eastAsia" w:ascii="宋体" w:hAnsi="宋体"/>
                <w:color w:val="auto"/>
                <w:szCs w:val="21"/>
                <w:highlight w:val="none"/>
                <w:u w:val="wave"/>
              </w:rPr>
              <w:t>以及在投标人所属社保系统打印的本单位人员缴费明细复印件（社会保险证明中缴费单位应与投标人一致，上级公司、子公司、事业单位、人力资源服务机构等其他单位缴纳或个人缴纳社会保险均不予认可，分公司缴纳的社会保险可以予以认可）</w:t>
            </w:r>
            <w:r>
              <w:rPr>
                <w:rFonts w:hint="eastAsia" w:ascii="宋体" w:hAnsi="宋体"/>
                <w:color w:val="auto"/>
                <w:szCs w:val="21"/>
                <w:highlight w:val="none"/>
              </w:rPr>
              <w:t>。</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如项目经理或项目总工目前仍在其他项目上任职，</w:t>
            </w:r>
            <w:r>
              <w:rPr>
                <w:rFonts w:hint="eastAsia" w:ascii="宋体" w:hAnsi="宋体" w:cs="宋体"/>
                <w:color w:val="auto"/>
                <w:szCs w:val="21"/>
                <w:highlight w:val="none"/>
                <w:u w:val="wave"/>
              </w:rPr>
              <w:t>则投标人应提供承诺上述人员能够从该项目撤离的书面材料原件</w:t>
            </w: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是否允许递交</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投标文件副本份数：1份。中标人应在收到中标通知书后并在与招标人签订合同前提供投标文件副本5份。</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提交电子版文件：本</w:t>
            </w:r>
            <w:r>
              <w:rPr>
                <w:rFonts w:hint="eastAsia" w:ascii="宋体" w:hAnsi="宋体" w:cs="宋体"/>
                <w:color w:val="auto"/>
                <w:kern w:val="0"/>
                <w:szCs w:val="21"/>
                <w:highlight w:val="none"/>
              </w:rPr>
              <w:t>阶段</w:t>
            </w:r>
            <w:r>
              <w:rPr>
                <w:rFonts w:hint="eastAsia" w:ascii="宋体" w:hAnsi="宋体" w:cs="宋体"/>
                <w:color w:val="auto"/>
                <w:szCs w:val="21"/>
                <w:highlight w:val="none"/>
              </w:rPr>
              <w:t>须提供存储投标文件全部内容的电子版文件，包括：商务及技术文件、已标价的第二个信封的投标函、已标价的工程量清单和《投标文件关键内容摘录表》电子版文件的光盘1份、U盘1份。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装订的其他要求</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4648" w:hRule="atLeast"/>
        </w:trPr>
        <w:tc>
          <w:tcPr>
            <w:tcW w:w="769" w:type="dxa"/>
            <w:vMerge w:val="restart"/>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626" w:type="dxa"/>
            <w:vMerge w:val="restart"/>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封套上</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应载明的信息</w:t>
            </w:r>
          </w:p>
        </w:tc>
        <w:tc>
          <w:tcPr>
            <w:tcW w:w="6662" w:type="dxa"/>
            <w:shd w:val="clear" w:color="auto" w:fill="FFFFFF" w:themeFill="background1"/>
            <w:vAlign w:val="center"/>
          </w:tcPr>
          <w:p>
            <w:pPr>
              <w:keepLines/>
              <w:adjustRightInd w:val="0"/>
              <w:snapToGrid w:val="0"/>
              <w:spacing w:line="36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（1）投标文件第一个信封（商务及技术文件）封套：</w:t>
            </w:r>
          </w:p>
          <w:p>
            <w:pPr>
              <w:keepLines/>
              <w:adjustRightInd w:val="0"/>
              <w:snapToGrid w:val="0"/>
              <w:spacing w:before="120" w:beforeLines="50"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招标人名称：吉林省高速公路集团有限公司</w:t>
            </w:r>
          </w:p>
          <w:p>
            <w:pPr>
              <w:keepLines/>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招标人地址：</w:t>
            </w:r>
            <w:r>
              <w:rPr>
                <w:rFonts w:hint="eastAsia" w:ascii="宋体" w:hAnsi="宋体" w:cs="MingLiU"/>
                <w:color w:val="auto"/>
                <w:kern w:val="0"/>
                <w:szCs w:val="21"/>
                <w:highlight w:val="none"/>
              </w:rPr>
              <w:t>吉林省长春市南关区人民大街11511号</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吉林省高速公路视频云联网工程</w:t>
            </w:r>
            <w:r>
              <w:rPr>
                <w:rFonts w:hint="eastAsia" w:ascii="宋体" w:hAnsi="宋体" w:cs="宋体"/>
                <w:color w:val="auto"/>
                <w:szCs w:val="21"/>
                <w:highlight w:val="none"/>
                <w:u w:val="single"/>
              </w:rPr>
              <w:t xml:space="preserve">  JD01/ JD02   </w:t>
            </w:r>
            <w:r>
              <w:rPr>
                <w:rFonts w:hint="eastAsia" w:ascii="宋体" w:hAnsi="宋体" w:cs="宋体"/>
                <w:color w:val="auto"/>
                <w:szCs w:val="21"/>
                <w:highlight w:val="none"/>
              </w:rPr>
              <w:t>标段施工招标第一个信封（商务及技术文件）投标文件</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招标编号：GXTC-A</w:t>
            </w:r>
            <w:r>
              <w:rPr>
                <w:rFonts w:ascii="宋体" w:hAnsi="宋体" w:cs="宋体"/>
                <w:color w:val="auto"/>
                <w:szCs w:val="21"/>
                <w:highlight w:val="none"/>
              </w:rPr>
              <w:t>1</w:t>
            </w:r>
            <w:r>
              <w:rPr>
                <w:rFonts w:hint="eastAsia" w:ascii="宋体" w:hAnsi="宋体" w:cs="宋体"/>
                <w:color w:val="auto"/>
                <w:szCs w:val="21"/>
                <w:highlight w:val="none"/>
              </w:rPr>
              <w:t>-2068</w:t>
            </w:r>
            <w:r>
              <w:rPr>
                <w:rFonts w:ascii="宋体" w:hAnsi="宋体" w:cs="宋体"/>
                <w:color w:val="auto"/>
                <w:szCs w:val="21"/>
                <w:highlight w:val="none"/>
              </w:rPr>
              <w:t>138</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在2020年</w:t>
            </w:r>
            <w:r>
              <w:rPr>
                <w:rFonts w:ascii="宋体" w:hAnsi="宋体" w:cs="宋体"/>
                <w:color w:val="auto"/>
                <w:szCs w:val="21"/>
                <w:highlight w:val="none"/>
              </w:rPr>
              <w:t>9</w:t>
            </w:r>
            <w:r>
              <w:rPr>
                <w:rFonts w:hint="eastAsia" w:ascii="宋体" w:hAnsi="宋体" w:cs="宋体"/>
                <w:color w:val="auto"/>
                <w:szCs w:val="21"/>
                <w:highlight w:val="none"/>
              </w:rPr>
              <w:t>月</w:t>
            </w:r>
            <w:r>
              <w:rPr>
                <w:rFonts w:ascii="宋体" w:hAnsi="宋体" w:cs="宋体"/>
                <w:color w:val="auto"/>
                <w:szCs w:val="21"/>
                <w:highlight w:val="none"/>
              </w:rPr>
              <w:t>28</w:t>
            </w:r>
            <w:r>
              <w:rPr>
                <w:rFonts w:hint="eastAsia" w:ascii="宋体" w:hAnsi="宋体" w:cs="宋体"/>
                <w:color w:val="auto"/>
                <w:szCs w:val="21"/>
                <w:highlight w:val="none"/>
              </w:rPr>
              <w:t xml:space="preserve"> 日</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:00前不得开启</w:t>
            </w:r>
          </w:p>
          <w:p>
            <w:pPr>
              <w:keepLines/>
              <w:adjustRightInd w:val="0"/>
              <w:snapToGrid w:val="0"/>
              <w:spacing w:before="120" w:beforeLines="50" w:line="360" w:lineRule="exact"/>
              <w:ind w:left="210" w:leftChars="100"/>
              <w:rPr>
                <w:rFonts w:ascii="宋体" w:hAnsi="宋体" w:cs="宋体"/>
                <w:color w:val="auto"/>
                <w:szCs w:val="21"/>
                <w:highlight w:val="none"/>
                <w:u w:val="single"/>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p>
          <w:p>
            <w:pPr>
              <w:keepLines w:val="0"/>
              <w:adjustRightInd w:val="0"/>
              <w:snapToGrid w:val="0"/>
              <w:spacing w:before="0" w:beforeLines="-2147483648" w:line="276" w:lineRule="auto"/>
              <w:ind w:left="0" w:leftChars="0" w:firstLine="210" w:firstLineChars="100"/>
              <w:rPr>
                <w:rFonts w:ascii="宋体" w:hAnsi="宋体"/>
                <w:color w:val="auto"/>
                <w:szCs w:val="21"/>
                <w:highlight w:val="none"/>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adjustRightInd w:val="0"/>
              <w:snapToGrid w:val="0"/>
              <w:spacing w:line="36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（2）投标文件第二个信封（报价文件）封套：</w:t>
            </w:r>
          </w:p>
          <w:p>
            <w:pPr>
              <w:keepLines/>
              <w:adjustRightInd w:val="0"/>
              <w:snapToGrid w:val="0"/>
              <w:spacing w:before="120" w:beforeLines="50"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招标人名称：吉林省高速公路集团有限公司</w:t>
            </w:r>
          </w:p>
          <w:p>
            <w:pPr>
              <w:keepLines/>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招标人地址：</w:t>
            </w:r>
            <w:r>
              <w:rPr>
                <w:rFonts w:hint="eastAsia" w:ascii="宋体" w:hAnsi="宋体" w:cs="MingLiU"/>
                <w:color w:val="auto"/>
                <w:kern w:val="0"/>
                <w:szCs w:val="21"/>
                <w:highlight w:val="none"/>
              </w:rPr>
              <w:t>吉林省长春市南关区人民大街11511号</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吉林省高速公路视频云联网工程</w:t>
            </w:r>
            <w:r>
              <w:rPr>
                <w:rFonts w:hint="eastAsia" w:ascii="宋体" w:hAnsi="宋体" w:cs="宋体"/>
                <w:color w:val="auto"/>
                <w:szCs w:val="21"/>
                <w:highlight w:val="none"/>
                <w:u w:val="single"/>
              </w:rPr>
              <w:t xml:space="preserve"> JD01/ JD02  </w:t>
            </w:r>
            <w:r>
              <w:rPr>
                <w:rFonts w:hint="eastAsia" w:ascii="宋体" w:hAnsi="宋体" w:cs="宋体"/>
                <w:color w:val="auto"/>
                <w:szCs w:val="21"/>
                <w:highlight w:val="none"/>
              </w:rPr>
              <w:t>标段施工招标第二个信封（报价文件）投标文件</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招标编号：GXTC-A</w:t>
            </w:r>
            <w:r>
              <w:rPr>
                <w:rFonts w:ascii="宋体" w:hAnsi="宋体" w:cs="宋体"/>
                <w:color w:val="auto"/>
                <w:szCs w:val="21"/>
                <w:highlight w:val="none"/>
              </w:rPr>
              <w:t>1</w:t>
            </w:r>
            <w:r>
              <w:rPr>
                <w:rFonts w:hint="eastAsia" w:ascii="宋体" w:hAnsi="宋体" w:cs="宋体"/>
                <w:color w:val="auto"/>
                <w:szCs w:val="21"/>
                <w:highlight w:val="none"/>
              </w:rPr>
              <w:t>-2068</w:t>
            </w:r>
            <w:r>
              <w:rPr>
                <w:rFonts w:ascii="宋体" w:hAnsi="宋体" w:cs="宋体"/>
                <w:color w:val="auto"/>
                <w:szCs w:val="21"/>
                <w:highlight w:val="none"/>
              </w:rPr>
              <w:t>138</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在投标文件第二个信封（报价文件）开标前不得开启</w:t>
            </w:r>
          </w:p>
          <w:p>
            <w:pPr>
              <w:keepLines/>
              <w:adjustRightInd w:val="0"/>
              <w:snapToGrid w:val="0"/>
              <w:spacing w:before="120" w:beforeLines="50" w:line="360" w:lineRule="exact"/>
              <w:ind w:left="210" w:leftChars="100"/>
              <w:rPr>
                <w:rFonts w:ascii="宋体" w:hAnsi="宋体" w:cs="宋体"/>
                <w:color w:val="auto"/>
                <w:szCs w:val="21"/>
                <w:highlight w:val="none"/>
                <w:u w:val="single"/>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p>
          <w:p>
            <w:pPr>
              <w:keepLines/>
              <w:adjustRightInd w:val="0"/>
              <w:snapToGrid w:val="0"/>
              <w:spacing w:line="360" w:lineRule="exact"/>
              <w:ind w:left="210" w:leftChars="100"/>
              <w:rPr>
                <w:rFonts w:ascii="宋体" w:hAnsi="宋体" w:cs="宋体"/>
                <w:color w:val="auto"/>
                <w:szCs w:val="21"/>
                <w:highlight w:val="none"/>
                <w:u w:val="single"/>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p>
        </w:tc>
        <w:tc>
          <w:tcPr>
            <w:tcW w:w="1626" w:type="dxa"/>
            <w:vMerge w:val="continue"/>
            <w:shd w:val="clear" w:color="auto" w:fill="FFFFFF" w:themeFill="background1"/>
            <w:vAlign w:val="center"/>
          </w:tcPr>
          <w:p>
            <w:pPr>
              <w:keepLines/>
              <w:adjustRightInd w:val="0"/>
              <w:snapToGrid w:val="0"/>
              <w:jc w:val="center"/>
              <w:rPr>
                <w:rFonts w:ascii="宋体" w:hAnsi="宋体" w:cs="宋体"/>
                <w:color w:val="auto"/>
                <w:szCs w:val="21"/>
                <w:highlight w:val="none"/>
              </w:rPr>
            </w:pPr>
          </w:p>
        </w:tc>
        <w:tc>
          <w:tcPr>
            <w:tcW w:w="6662" w:type="dxa"/>
            <w:shd w:val="clear" w:color="auto" w:fill="FFFFFF" w:themeFill="background1"/>
            <w:vAlign w:val="center"/>
          </w:tcPr>
          <w:p>
            <w:pPr>
              <w:keepLines/>
              <w:adjustRightInd w:val="0"/>
              <w:snapToGrid w:val="0"/>
              <w:spacing w:line="36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（3）银行保函封套：</w:t>
            </w:r>
          </w:p>
          <w:p>
            <w:pPr>
              <w:keepLines/>
              <w:adjustRightInd w:val="0"/>
              <w:snapToGrid w:val="0"/>
              <w:spacing w:before="120" w:beforeLines="50" w:line="360" w:lineRule="exact"/>
              <w:ind w:left="210" w:leftChars="100"/>
              <w:rPr>
                <w:rFonts w:ascii="宋体" w:hAnsi="宋体" w:cs="宋体"/>
                <w:color w:val="auto"/>
                <w:kern w:val="0"/>
                <w:szCs w:val="21"/>
                <w:highlight w:val="none"/>
              </w:rPr>
            </w:pPr>
            <w:r>
              <w:rPr>
                <w:rFonts w:hint="eastAsia" w:ascii="宋体" w:hAnsi="宋体" w:cs="宋体"/>
                <w:color w:val="auto"/>
                <w:szCs w:val="21"/>
                <w:highlight w:val="none"/>
              </w:rPr>
              <w:t>招标</w:t>
            </w:r>
            <w:r>
              <w:rPr>
                <w:rFonts w:hint="eastAsia" w:ascii="宋体" w:hAnsi="宋体" w:cs="宋体"/>
                <w:color w:val="auto"/>
                <w:kern w:val="0"/>
                <w:szCs w:val="21"/>
                <w:highlight w:val="none"/>
              </w:rPr>
              <w:t>人名称：吉林省高速公路集团有限公司</w:t>
            </w:r>
          </w:p>
          <w:p>
            <w:pPr>
              <w:keepLines/>
              <w:adjustRightInd w:val="0"/>
              <w:snapToGrid w:val="0"/>
              <w:spacing w:line="36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招标人地址：</w:t>
            </w:r>
            <w:r>
              <w:rPr>
                <w:rFonts w:hint="eastAsia" w:ascii="宋体" w:hAnsi="宋体" w:cs="MingLiU"/>
                <w:color w:val="auto"/>
                <w:kern w:val="0"/>
                <w:szCs w:val="21"/>
                <w:highlight w:val="none"/>
              </w:rPr>
              <w:t>吉林省长春市南关区人民大街11511号</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吉林省高速公路视频云联网工程</w:t>
            </w:r>
            <w:r>
              <w:rPr>
                <w:rFonts w:hint="eastAsia" w:ascii="宋体" w:hAnsi="宋体" w:cs="宋体"/>
                <w:color w:val="auto"/>
                <w:szCs w:val="21"/>
                <w:highlight w:val="none"/>
                <w:u w:val="single"/>
              </w:rPr>
              <w:t xml:space="preserve">  JD01/ JD02  </w:t>
            </w:r>
            <w:r>
              <w:rPr>
                <w:rFonts w:hint="eastAsia" w:ascii="宋体" w:hAnsi="宋体" w:cs="宋体"/>
                <w:color w:val="auto"/>
                <w:szCs w:val="21"/>
                <w:highlight w:val="none"/>
              </w:rPr>
              <w:t>标段施工招标投标保证金（银行保函原件）</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招标编号：GXTC-A</w:t>
            </w:r>
            <w:r>
              <w:rPr>
                <w:rFonts w:ascii="宋体" w:hAnsi="宋体" w:cs="宋体"/>
                <w:color w:val="auto"/>
                <w:szCs w:val="21"/>
                <w:highlight w:val="none"/>
              </w:rPr>
              <w:t>1</w:t>
            </w:r>
            <w:r>
              <w:rPr>
                <w:rFonts w:hint="eastAsia" w:ascii="宋体" w:hAnsi="宋体" w:cs="宋体"/>
                <w:color w:val="auto"/>
                <w:szCs w:val="21"/>
                <w:highlight w:val="none"/>
              </w:rPr>
              <w:t>-2068</w:t>
            </w:r>
            <w:r>
              <w:rPr>
                <w:rFonts w:ascii="宋体" w:hAnsi="宋体" w:cs="宋体"/>
                <w:color w:val="auto"/>
                <w:szCs w:val="21"/>
                <w:highlight w:val="none"/>
              </w:rPr>
              <w:t>138</w:t>
            </w:r>
          </w:p>
          <w:p>
            <w:pPr>
              <w:keepLines/>
              <w:adjustRightInd w:val="0"/>
              <w:snapToGrid w:val="0"/>
              <w:spacing w:before="120" w:beforeLines="50" w:line="360" w:lineRule="exact"/>
              <w:ind w:left="210" w:leftChars="100"/>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kern w:val="0"/>
                <w:szCs w:val="21"/>
                <w:highlight w:val="none"/>
              </w:rPr>
              <w:t>投标人</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是否退还</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投标文件第一个信封（商务及技术文件）开标时间：同投标截止时间</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投标文件第一个信封（商务及技术文件）开标地点：吉林省公共资源交易中心4楼开标室</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投标文件第二个信封（报价文件）开标时间：2020年</w:t>
            </w:r>
            <w:r>
              <w:rPr>
                <w:rFonts w:ascii="宋体" w:hAnsi="宋体" w:cs="宋体"/>
                <w:color w:val="auto"/>
                <w:szCs w:val="21"/>
                <w:highlight w:val="none"/>
              </w:rPr>
              <w:t>9</w:t>
            </w:r>
            <w:r>
              <w:rPr>
                <w:rFonts w:hint="eastAsia" w:ascii="宋体" w:hAnsi="宋体" w:cs="宋体"/>
                <w:color w:val="auto"/>
                <w:szCs w:val="21"/>
                <w:highlight w:val="none"/>
              </w:rPr>
              <w:t>月</w:t>
            </w:r>
            <w:r>
              <w:rPr>
                <w:rFonts w:ascii="宋体" w:hAnsi="宋体" w:cs="宋体"/>
                <w:color w:val="auto"/>
                <w:szCs w:val="21"/>
                <w:highlight w:val="none"/>
              </w:rPr>
              <w:t>29</w:t>
            </w:r>
            <w:r>
              <w:rPr>
                <w:rFonts w:hint="eastAsia" w:ascii="宋体" w:hAnsi="宋体" w:cs="宋体"/>
                <w:color w:val="auto"/>
                <w:szCs w:val="21"/>
                <w:highlight w:val="none"/>
              </w:rPr>
              <w:t>日14:00</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投标文件第二个信封（报价文件）开标地点：吉林省公共资源交易中心4楼开标室</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第一个信封（商务及技术文件）</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62" w:type="dxa"/>
            <w:shd w:val="clear" w:color="auto" w:fill="FFFFFF" w:themeFill="background1"/>
          </w:tcPr>
          <w:p>
            <w:pPr>
              <w:keepLines/>
              <w:adjustRightInd w:val="0"/>
              <w:snapToGrid w:val="0"/>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（4）密封情况检查：检查商务及技术文件是否存在提前开启情况；</w:t>
            </w:r>
          </w:p>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olor w:val="auto"/>
                <w:szCs w:val="21"/>
                <w:highlight w:val="none"/>
              </w:rPr>
              <w:t>（5）开标顺序：JD01→JD02标段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5.2.3</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第二个信封</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（报价文件）</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62" w:type="dxa"/>
            <w:shd w:val="clear" w:color="auto" w:fill="FFFFFF" w:themeFill="background1"/>
          </w:tcPr>
          <w:p>
            <w:pPr>
              <w:keepLines/>
              <w:adjustRightInd w:val="0"/>
              <w:snapToGrid w:val="0"/>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（4）密封情况检查：检查商务及技术文件是否存在提前开启情况；</w:t>
            </w:r>
          </w:p>
          <w:p>
            <w:pPr>
              <w:keepLines/>
              <w:adjustRightInd w:val="0"/>
              <w:snapToGrid w:val="0"/>
              <w:spacing w:line="360" w:lineRule="exact"/>
              <w:ind w:firstLine="210" w:firstLineChars="100"/>
              <w:rPr>
                <w:rFonts w:ascii="宋体" w:hAnsi="宋体" w:cs="宋体"/>
                <w:color w:val="auto"/>
                <w:szCs w:val="21"/>
                <w:highlight w:val="none"/>
              </w:rPr>
            </w:pPr>
            <w:r>
              <w:rPr>
                <w:rFonts w:hint="eastAsia" w:ascii="宋体" w:hAnsi="宋体"/>
                <w:color w:val="auto"/>
                <w:szCs w:val="21"/>
                <w:highlight w:val="none"/>
              </w:rPr>
              <w:t>（5）开标顺序：JD01→JD02标段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评标委员会</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的组建</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评标委员会构成：7人，其中招标人代表2人，专家5人。</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olor w:val="auto"/>
                <w:szCs w:val="21"/>
                <w:highlight w:val="none"/>
              </w:rPr>
              <w:t>依法从相应评标专家库中随机抽取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6.3.2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的人数</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3名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中标候选人公示</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公示媒介：《中国招标投标公共服务平台》、《吉林省公共资源交易中心网站》、《吉林省交通运输厅网站》、《吉林省高速公路集团有限公司网站》。</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公示期限：3日</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公示的其他内容：无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7.4</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7.5</w:t>
            </w:r>
          </w:p>
        </w:tc>
        <w:tc>
          <w:tcPr>
            <w:tcW w:w="1626" w:type="dxa"/>
            <w:shd w:val="clear" w:color="auto" w:fill="FFFFFF" w:themeFill="background1"/>
            <w:vAlign w:val="center"/>
          </w:tcPr>
          <w:p>
            <w:pPr>
              <w:keepLines/>
              <w:autoSpaceDE w:val="0"/>
              <w:autoSpaceDN w:val="0"/>
              <w:adjustRightInd w:val="0"/>
              <w:snapToGrid w:val="0"/>
              <w:jc w:val="center"/>
              <w:rPr>
                <w:rFonts w:ascii="宋体" w:hAnsi="宋体" w:cs="宋体"/>
                <w:color w:val="auto"/>
                <w:spacing w:val="1"/>
                <w:kern w:val="0"/>
                <w:szCs w:val="21"/>
                <w:highlight w:val="none"/>
              </w:rPr>
            </w:pPr>
            <w:r>
              <w:rPr>
                <w:rFonts w:hint="eastAsia" w:ascii="宋体" w:hAnsi="宋体" w:cs="宋体"/>
                <w:color w:val="auto"/>
                <w:spacing w:val="1"/>
                <w:kern w:val="0"/>
                <w:szCs w:val="21"/>
                <w:highlight w:val="none"/>
              </w:rPr>
              <w:t>中标通知书和</w:t>
            </w:r>
          </w:p>
          <w:p>
            <w:pPr>
              <w:keepLines/>
              <w:autoSpaceDE w:val="0"/>
              <w:autoSpaceDN w:val="0"/>
              <w:adjustRightInd w:val="0"/>
              <w:snapToGrid w:val="0"/>
              <w:jc w:val="center"/>
              <w:rPr>
                <w:rFonts w:ascii="宋体" w:hAnsi="宋体" w:cs="宋体"/>
                <w:color w:val="auto"/>
                <w:spacing w:val="1"/>
                <w:kern w:val="0"/>
                <w:szCs w:val="21"/>
                <w:highlight w:val="none"/>
              </w:rPr>
            </w:pPr>
            <w:r>
              <w:rPr>
                <w:rFonts w:hint="eastAsia" w:ascii="宋体" w:hAnsi="宋体" w:cs="宋体"/>
                <w:color w:val="auto"/>
                <w:spacing w:val="1"/>
                <w:kern w:val="0"/>
                <w:szCs w:val="21"/>
                <w:highlight w:val="none"/>
              </w:rPr>
              <w:t>中标结果通知</w:t>
            </w:r>
          </w:p>
          <w:p>
            <w:pPr>
              <w:keepLines/>
              <w:autoSpaceDE w:val="0"/>
              <w:autoSpaceDN w:val="0"/>
              <w:adjustRightInd w:val="0"/>
              <w:snapToGrid w:val="0"/>
              <w:jc w:val="center"/>
              <w:rPr>
                <w:rFonts w:ascii="宋体" w:hAnsi="宋体" w:cs="宋体"/>
                <w:color w:val="auto"/>
                <w:spacing w:val="1"/>
                <w:kern w:val="0"/>
                <w:szCs w:val="21"/>
                <w:highlight w:val="none"/>
              </w:rPr>
            </w:pPr>
            <w:r>
              <w:rPr>
                <w:rFonts w:hint="eastAsia" w:ascii="宋体" w:hAnsi="宋体" w:cs="宋体"/>
                <w:color w:val="auto"/>
                <w:spacing w:val="1"/>
                <w:kern w:val="0"/>
                <w:szCs w:val="21"/>
                <w:highlight w:val="none"/>
              </w:rPr>
              <w:t>发出的形式</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中标通知书以书面形式发出，中标结果通知以中标结果公告的形式在《中国招标投标公共服务平台》、《吉林省交通运输厅网站》和《吉林省高速公路集团有限公司网站》上发出。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u w:val="wave"/>
              </w:rPr>
            </w:pPr>
            <w:r>
              <w:rPr>
                <w:rFonts w:hint="eastAsia" w:ascii="宋体" w:hAnsi="宋体" w:cs="宋体"/>
                <w:color w:val="auto"/>
                <w:szCs w:val="21"/>
                <w:highlight w:val="none"/>
              </w:rPr>
              <w:t>7.6</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中标结果公告</w:t>
            </w:r>
          </w:p>
          <w:p>
            <w:pPr>
              <w:keepLines/>
              <w:adjustRightInd w:val="0"/>
              <w:snapToGrid w:val="0"/>
              <w:jc w:val="center"/>
              <w:rPr>
                <w:rFonts w:ascii="宋体" w:hAnsi="宋体" w:cs="宋体"/>
                <w:color w:val="auto"/>
                <w:szCs w:val="21"/>
                <w:highlight w:val="none"/>
                <w:u w:val="wav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公告媒介：《中国招标投标公共服务平台》、《吉林省交通运输厅网站》、《吉林省高速公路集团有限公司网站》。</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公告期限：3日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7.7.1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履约保证金形式：银行保函、担保机构出具的保函或现金、支票形式。</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履约保证金金额：10%的签约合同价。</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注意：</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（1）采用现金、支票形式时，应由中标人的基本账户汇入发包人指定账户；</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采用银行保函时</w:t>
            </w:r>
            <w:r>
              <w:rPr>
                <w:rFonts w:hint="eastAsia" w:ascii="宋体" w:hAnsi="宋体" w:cs="宋体"/>
                <w:color w:val="auto"/>
                <w:szCs w:val="21"/>
                <w:highlight w:val="none"/>
              </w:rPr>
              <w:t>，出具保函的银行级别：应由“工商银行、农业银行、中国银行、建设银行、交通银行、中国邮政储蓄银行”六大国有商业银行之一或全国性股份制商业银行开具，银行应为地市级分行或以上级别，所需的费用由中标人承担，中标人应保证银行保函有效。</w:t>
            </w:r>
          </w:p>
          <w:p>
            <w:pPr>
              <w:keepLines/>
              <w:snapToGrid w:val="0"/>
              <w:spacing w:before="36" w:beforeLines="15" w:after="36" w:afterLines="15"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（3）若采用担保机构出具保函时，出具保函的担保机构级别：注册资本金不低于10亿元的长春市区境内的专业担保机构。</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7.8.1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对中标人未按</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要求签订合同</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的处罚</w:t>
            </w:r>
          </w:p>
        </w:tc>
        <w:tc>
          <w:tcPr>
            <w:tcW w:w="6662" w:type="dxa"/>
            <w:shd w:val="clear" w:color="auto" w:fill="FFFFFF" w:themeFill="background1"/>
            <w:vAlign w:val="center"/>
          </w:tcPr>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本款末增加：</w:t>
            </w:r>
          </w:p>
          <w:p>
            <w:pPr>
              <w:keepLines/>
              <w:snapToGrid w:val="0"/>
              <w:spacing w:before="36" w:beforeLines="15" w:after="36" w:afterLines="15" w:line="360" w:lineRule="exact"/>
              <w:ind w:left="210" w:leftChars="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中标人放弃中标的，招标人将中标人列入招标人设立的黑名单，同时上报省级交通运输主管部门，作为不良记录纳入公路建设市场信用信息管理系统。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8.5.1</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监督部门</w:t>
            </w:r>
          </w:p>
        </w:tc>
        <w:tc>
          <w:tcPr>
            <w:tcW w:w="6662" w:type="dxa"/>
            <w:shd w:val="clear" w:color="auto" w:fill="FFFFFF" w:themeFill="background1"/>
            <w:vAlign w:val="center"/>
          </w:tcPr>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行政监督：</w:t>
            </w:r>
            <w:r>
              <w:rPr>
                <w:rFonts w:hint="eastAsia" w:ascii="宋体" w:hAnsi="宋体"/>
                <w:color w:val="auto"/>
                <w:highlight w:val="none"/>
              </w:rPr>
              <w:t>吉林省交通运输厅科技教育处</w:t>
            </w:r>
          </w:p>
          <w:p>
            <w:pPr>
              <w:keepLines/>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olor w:val="auto"/>
                <w:highlight w:val="none"/>
              </w:rPr>
              <w:t xml:space="preserve">0431-85097551 </w:t>
            </w:r>
          </w:p>
          <w:p>
            <w:pPr>
              <w:keepLines/>
              <w:adjustRightInd w:val="0"/>
              <w:snapToGrid w:val="0"/>
              <w:spacing w:before="120" w:beforeLines="50"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地　　址：吉林省长春市解放大路2518号交通大厦</w:t>
            </w:r>
          </w:p>
          <w:p>
            <w:pPr>
              <w:keepLines/>
              <w:adjustRightInd w:val="0"/>
              <w:snapToGrid w:val="0"/>
              <w:spacing w:line="360" w:lineRule="exact"/>
              <w:ind w:left="210" w:leftChars="100"/>
              <w:rPr>
                <w:rFonts w:ascii="宋体" w:hAnsi="宋体" w:cs="宋体"/>
                <w:color w:val="auto"/>
                <w:szCs w:val="21"/>
                <w:highlight w:val="none"/>
              </w:rPr>
            </w:pPr>
            <w:r>
              <w:rPr>
                <w:rFonts w:hint="eastAsia" w:ascii="宋体" w:hAnsi="宋体" w:cs="宋体"/>
                <w:color w:val="auto"/>
                <w:szCs w:val="21"/>
                <w:highlight w:val="none"/>
              </w:rPr>
              <w:t>邮　　编：130021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是否采用</w:t>
            </w:r>
          </w:p>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电子招标投标</w:t>
            </w:r>
          </w:p>
        </w:tc>
        <w:tc>
          <w:tcPr>
            <w:tcW w:w="6662" w:type="dxa"/>
            <w:shd w:val="clear" w:color="auto" w:fill="FFFFFF" w:themeFill="background1"/>
            <w:vAlign w:val="center"/>
          </w:tcPr>
          <w:p>
            <w:pPr>
              <w:keepLines/>
              <w:snapToGrid w:val="0"/>
              <w:spacing w:before="36" w:beforeLines="15" w:after="36" w:afterLines="15" w:line="360" w:lineRule="exact"/>
              <w:ind w:left="210" w:leftChars="100"/>
              <w:rPr>
                <w:rFonts w:ascii="宋体" w:hAnsi="宋体" w:cs="宋体"/>
                <w:color w:val="auto"/>
                <w:kern w:val="0"/>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057" w:type="dxa"/>
            <w:gridSpan w:val="3"/>
            <w:shd w:val="clear" w:color="auto" w:fill="FFFFFF" w:themeFill="background1"/>
            <w:vAlign w:val="center"/>
          </w:tcPr>
          <w:p>
            <w:pPr>
              <w:keepLines/>
              <w:adjustRightInd w:val="0"/>
              <w:snapToGrid w:val="0"/>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Lines/>
              <w:autoSpaceDE w:val="0"/>
              <w:autoSpaceDN w:val="0"/>
              <w:adjustRightInd w:val="0"/>
              <w:snapToGrid w:val="0"/>
              <w:spacing w:line="360" w:lineRule="exact"/>
              <w:jc w:val="center"/>
              <w:rPr>
                <w:rFonts w:ascii="宋体" w:hAnsi="宋体" w:cs="宋体"/>
                <w:color w:val="auto"/>
                <w:spacing w:val="1"/>
                <w:kern w:val="0"/>
                <w:szCs w:val="21"/>
                <w:highlight w:val="none"/>
              </w:rPr>
            </w:pPr>
            <w:r>
              <w:rPr>
                <w:rFonts w:hint="eastAsia" w:ascii="宋体" w:hAnsi="宋体" w:cs="宋体"/>
                <w:color w:val="auto"/>
                <w:spacing w:val="1"/>
                <w:kern w:val="0"/>
                <w:szCs w:val="21"/>
                <w:highlight w:val="none"/>
              </w:rPr>
              <w:t>10.2</w:t>
            </w:r>
          </w:p>
        </w:tc>
        <w:tc>
          <w:tcPr>
            <w:tcW w:w="1626" w:type="dxa"/>
            <w:shd w:val="clear" w:color="auto" w:fill="FFFFFF" w:themeFill="background1"/>
            <w:vAlign w:val="center"/>
          </w:tcPr>
          <w:p>
            <w:pPr>
              <w:keepLine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662" w:type="dxa"/>
            <w:shd w:val="clear" w:color="auto" w:fill="FFFFFF" w:themeFill="background1"/>
            <w:vAlign w:val="center"/>
          </w:tcPr>
          <w:p>
            <w:pPr>
              <w:pStyle w:val="218"/>
              <w:ind w:firstLine="0" w:firstLineChars="0"/>
              <w:rPr>
                <w:rFonts w:ascii="宋体" w:hAnsi="宋体" w:eastAsia="宋体"/>
                <w:bCs/>
                <w:color w:val="auto"/>
                <w:kern w:val="15"/>
                <w:szCs w:val="21"/>
                <w:highlight w:val="none"/>
              </w:rPr>
            </w:pPr>
            <w:r>
              <w:rPr>
                <w:rFonts w:hint="eastAsia" w:ascii="宋体" w:hAnsi="宋体" w:eastAsia="宋体"/>
                <w:bCs/>
                <w:color w:val="auto"/>
                <w:kern w:val="15"/>
                <w:szCs w:val="21"/>
                <w:highlight w:val="none"/>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widowControl/>
              <w:spacing w:line="276" w:lineRule="auto"/>
              <w:jc w:val="center"/>
              <w:rPr>
                <w:rFonts w:ascii="宋体" w:hAnsi="宋体"/>
                <w:color w:val="auto"/>
                <w:kern w:val="0"/>
                <w:szCs w:val="21"/>
                <w:highlight w:val="none"/>
              </w:rPr>
            </w:pPr>
            <w:r>
              <w:rPr>
                <w:rFonts w:hint="eastAsia" w:ascii="宋体" w:hAnsi="宋体"/>
                <w:bCs/>
                <w:color w:val="auto"/>
                <w:kern w:val="15"/>
                <w:szCs w:val="21"/>
                <w:highlight w:val="none"/>
              </w:rPr>
              <w:t>招标代理服务收费折扣系数表(工程类)</w:t>
            </w:r>
          </w:p>
          <w:tbl>
            <w:tblPr>
              <w:tblStyle w:val="43"/>
              <w:tblW w:w="6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jc w:val="center"/>
                    <w:rPr>
                      <w:rFonts w:ascii="宋体" w:hAnsi="宋体"/>
                      <w:bCs/>
                      <w:color w:val="auto"/>
                      <w:kern w:val="15"/>
                      <w:szCs w:val="21"/>
                      <w:highlight w:val="none"/>
                    </w:rPr>
                  </w:pPr>
                  <w:r>
                    <w:rPr>
                      <w:rFonts w:hint="eastAsia" w:ascii="宋体" w:hAnsi="宋体"/>
                      <w:bCs/>
                      <w:color w:val="auto"/>
                      <w:kern w:val="15"/>
                      <w:szCs w:val="21"/>
                      <w:highlight w:val="none"/>
                    </w:rPr>
                    <w:t>基准代理费</w:t>
                  </w:r>
                </w:p>
              </w:tc>
              <w:tc>
                <w:tcPr>
                  <w:tcW w:w="1102" w:type="dxa"/>
                  <w:vAlign w:val="center"/>
                </w:tcPr>
                <w:p>
                  <w:pPr>
                    <w:jc w:val="center"/>
                    <w:rPr>
                      <w:color w:val="auto"/>
                      <w:highlight w:val="none"/>
                    </w:rPr>
                  </w:pPr>
                  <w:r>
                    <w:rPr>
                      <w:rFonts w:hint="eastAsia" w:ascii="宋体" w:hAnsi="宋体"/>
                      <w:bCs/>
                      <w:color w:val="auto"/>
                      <w:kern w:val="15"/>
                      <w:szCs w:val="21"/>
                      <w:highlight w:val="none"/>
                    </w:rPr>
                    <w:t>2万以下</w:t>
                  </w:r>
                </w:p>
              </w:tc>
              <w:tc>
                <w:tcPr>
                  <w:tcW w:w="916" w:type="dxa"/>
                  <w:vAlign w:val="center"/>
                </w:tcPr>
                <w:p>
                  <w:pPr>
                    <w:jc w:val="center"/>
                    <w:rPr>
                      <w:rFonts w:ascii="等线 Light" w:hAnsi="等线 Light" w:eastAsia="等线 Light"/>
                      <w:color w:val="auto"/>
                      <w:szCs w:val="21"/>
                      <w:highlight w:val="none"/>
                    </w:rPr>
                  </w:pPr>
                  <w:r>
                    <w:rPr>
                      <w:rFonts w:hint="eastAsia" w:ascii="宋体" w:hAnsi="宋体"/>
                      <w:bCs/>
                      <w:color w:val="auto"/>
                      <w:kern w:val="15"/>
                      <w:szCs w:val="21"/>
                      <w:highlight w:val="none"/>
                    </w:rPr>
                    <w:t>2-5万</w:t>
                  </w:r>
                </w:p>
              </w:tc>
              <w:tc>
                <w:tcPr>
                  <w:tcW w:w="982" w:type="dxa"/>
                  <w:vAlign w:val="center"/>
                </w:tcPr>
                <w:p>
                  <w:pPr>
                    <w:jc w:val="center"/>
                    <w:rPr>
                      <w:rFonts w:ascii="等线 Light" w:hAnsi="等线 Light" w:eastAsia="等线 Light"/>
                      <w:color w:val="auto"/>
                      <w:szCs w:val="21"/>
                      <w:highlight w:val="none"/>
                    </w:rPr>
                  </w:pPr>
                  <w:r>
                    <w:rPr>
                      <w:rFonts w:hint="eastAsia" w:ascii="宋体" w:hAnsi="宋体"/>
                      <w:bCs/>
                      <w:color w:val="auto"/>
                      <w:kern w:val="15"/>
                      <w:szCs w:val="21"/>
                      <w:highlight w:val="none"/>
                    </w:rPr>
                    <w:t>5-10万</w:t>
                  </w:r>
                </w:p>
              </w:tc>
              <w:tc>
                <w:tcPr>
                  <w:tcW w:w="1123" w:type="dxa"/>
                  <w:vAlign w:val="center"/>
                </w:tcPr>
                <w:p>
                  <w:pPr>
                    <w:jc w:val="center"/>
                    <w:rPr>
                      <w:rFonts w:ascii="等线 Light" w:hAnsi="等线 Light" w:eastAsia="等线 Light"/>
                      <w:color w:val="auto"/>
                      <w:szCs w:val="21"/>
                      <w:highlight w:val="none"/>
                    </w:rPr>
                  </w:pPr>
                  <w:r>
                    <w:rPr>
                      <w:rFonts w:hint="eastAsia" w:ascii="宋体" w:hAnsi="宋体"/>
                      <w:bCs/>
                      <w:color w:val="auto"/>
                      <w:kern w:val="15"/>
                      <w:szCs w:val="21"/>
                      <w:highlight w:val="none"/>
                    </w:rPr>
                    <w:t>10-50万</w:t>
                  </w:r>
                </w:p>
              </w:tc>
              <w:tc>
                <w:tcPr>
                  <w:tcW w:w="1123" w:type="dxa"/>
                  <w:vAlign w:val="center"/>
                </w:tcPr>
                <w:p>
                  <w:pPr>
                    <w:jc w:val="center"/>
                    <w:rPr>
                      <w:rFonts w:ascii="宋体" w:hAnsi="宋体"/>
                      <w:bCs/>
                      <w:color w:val="auto"/>
                      <w:kern w:val="15"/>
                      <w:szCs w:val="21"/>
                      <w:highlight w:val="none"/>
                    </w:rPr>
                  </w:pPr>
                  <w:r>
                    <w:rPr>
                      <w:rFonts w:hint="eastAsia" w:ascii="宋体" w:hAnsi="宋体"/>
                      <w:bCs/>
                      <w:color w:val="auto"/>
                      <w:kern w:val="15"/>
                      <w:szCs w:val="21"/>
                      <w:highlight w:val="none"/>
                    </w:rPr>
                    <w:t>50万以上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218"/>
                    <w:ind w:firstLine="0" w:firstLineChars="0"/>
                    <w:jc w:val="center"/>
                    <w:rPr>
                      <w:rFonts w:ascii="宋体" w:hAnsi="宋体" w:eastAsia="宋体"/>
                      <w:bCs/>
                      <w:color w:val="auto"/>
                      <w:kern w:val="15"/>
                      <w:szCs w:val="21"/>
                      <w:highlight w:val="none"/>
                    </w:rPr>
                  </w:pPr>
                  <w:r>
                    <w:rPr>
                      <w:rFonts w:hint="eastAsia" w:ascii="宋体" w:hAnsi="宋体" w:eastAsia="宋体"/>
                      <w:bCs/>
                      <w:color w:val="auto"/>
                      <w:kern w:val="15"/>
                      <w:szCs w:val="21"/>
                      <w:highlight w:val="none"/>
                    </w:rPr>
                    <w:t>折扣系数</w:t>
                  </w:r>
                </w:p>
              </w:tc>
              <w:tc>
                <w:tcPr>
                  <w:tcW w:w="1102" w:type="dxa"/>
                  <w:vAlign w:val="center"/>
                </w:tcPr>
                <w:p>
                  <w:pPr>
                    <w:pStyle w:val="218"/>
                    <w:ind w:firstLine="0" w:firstLineChars="0"/>
                    <w:jc w:val="center"/>
                    <w:rPr>
                      <w:rFonts w:ascii="等线 Light" w:hAnsi="等线 Light" w:eastAsia="等线 Light"/>
                      <w:color w:val="auto"/>
                      <w:szCs w:val="21"/>
                      <w:highlight w:val="none"/>
                    </w:rPr>
                  </w:pPr>
                  <w:r>
                    <w:rPr>
                      <w:rFonts w:hint="eastAsia" w:ascii="宋体" w:hAnsi="宋体" w:eastAsia="宋体"/>
                      <w:bCs/>
                      <w:color w:val="auto"/>
                      <w:kern w:val="15"/>
                      <w:szCs w:val="21"/>
                      <w:highlight w:val="none"/>
                    </w:rPr>
                    <w:t>1.0</w:t>
                  </w:r>
                </w:p>
              </w:tc>
              <w:tc>
                <w:tcPr>
                  <w:tcW w:w="916" w:type="dxa"/>
                  <w:vAlign w:val="center"/>
                </w:tcPr>
                <w:p>
                  <w:pPr>
                    <w:pStyle w:val="218"/>
                    <w:ind w:firstLine="0" w:firstLineChars="0"/>
                    <w:jc w:val="center"/>
                    <w:rPr>
                      <w:rFonts w:ascii="等线 Light" w:hAnsi="等线 Light" w:eastAsia="等线 Light"/>
                      <w:color w:val="auto"/>
                      <w:szCs w:val="21"/>
                      <w:highlight w:val="none"/>
                    </w:rPr>
                  </w:pPr>
                  <w:r>
                    <w:rPr>
                      <w:rFonts w:hint="eastAsia" w:ascii="宋体" w:hAnsi="宋体" w:eastAsia="宋体"/>
                      <w:bCs/>
                      <w:color w:val="auto"/>
                      <w:kern w:val="15"/>
                      <w:szCs w:val="21"/>
                      <w:highlight w:val="none"/>
                    </w:rPr>
                    <w:t>0.8</w:t>
                  </w:r>
                </w:p>
              </w:tc>
              <w:tc>
                <w:tcPr>
                  <w:tcW w:w="982" w:type="dxa"/>
                  <w:vAlign w:val="center"/>
                </w:tcPr>
                <w:p>
                  <w:pPr>
                    <w:pStyle w:val="218"/>
                    <w:ind w:firstLine="0" w:firstLineChars="0"/>
                    <w:jc w:val="center"/>
                    <w:rPr>
                      <w:rFonts w:ascii="等线 Light" w:hAnsi="等线 Light" w:eastAsia="等线 Light"/>
                      <w:color w:val="auto"/>
                      <w:szCs w:val="21"/>
                      <w:highlight w:val="none"/>
                    </w:rPr>
                  </w:pPr>
                  <w:r>
                    <w:rPr>
                      <w:rFonts w:hint="eastAsia" w:ascii="宋体" w:hAnsi="宋体" w:eastAsia="宋体"/>
                      <w:bCs/>
                      <w:color w:val="auto"/>
                      <w:kern w:val="15"/>
                      <w:szCs w:val="21"/>
                      <w:highlight w:val="none"/>
                    </w:rPr>
                    <w:t>0.7</w:t>
                  </w:r>
                </w:p>
              </w:tc>
              <w:tc>
                <w:tcPr>
                  <w:tcW w:w="1123" w:type="dxa"/>
                  <w:vAlign w:val="center"/>
                </w:tcPr>
                <w:p>
                  <w:pPr>
                    <w:pStyle w:val="218"/>
                    <w:ind w:firstLine="0" w:firstLineChars="0"/>
                    <w:jc w:val="center"/>
                    <w:rPr>
                      <w:rFonts w:ascii="等线 Light" w:hAnsi="等线 Light" w:eastAsia="等线 Light"/>
                      <w:color w:val="auto"/>
                      <w:szCs w:val="21"/>
                      <w:highlight w:val="none"/>
                    </w:rPr>
                  </w:pPr>
                  <w:r>
                    <w:rPr>
                      <w:rFonts w:hint="eastAsia" w:ascii="宋体" w:hAnsi="宋体" w:eastAsia="宋体"/>
                      <w:bCs/>
                      <w:color w:val="auto"/>
                      <w:kern w:val="15"/>
                      <w:szCs w:val="21"/>
                      <w:highlight w:val="none"/>
                    </w:rPr>
                    <w:t>0.6</w:t>
                  </w:r>
                </w:p>
              </w:tc>
              <w:tc>
                <w:tcPr>
                  <w:tcW w:w="1123" w:type="dxa"/>
                  <w:vAlign w:val="center"/>
                </w:tcPr>
                <w:p>
                  <w:pPr>
                    <w:pStyle w:val="218"/>
                    <w:ind w:firstLine="0" w:firstLineChars="0"/>
                    <w:jc w:val="center"/>
                    <w:rPr>
                      <w:rFonts w:ascii="等线 Light" w:hAnsi="等线 Light" w:eastAsia="等线 Light"/>
                      <w:color w:val="auto"/>
                      <w:szCs w:val="21"/>
                      <w:highlight w:val="none"/>
                    </w:rPr>
                  </w:pPr>
                  <w:r>
                    <w:rPr>
                      <w:rFonts w:hint="eastAsia" w:ascii="宋体" w:hAnsi="宋体" w:eastAsia="宋体"/>
                      <w:bCs/>
                      <w:color w:val="auto"/>
                      <w:kern w:val="15"/>
                      <w:szCs w:val="21"/>
                      <w:highlight w:val="none"/>
                    </w:rPr>
                    <w:t>0.5</w:t>
                  </w:r>
                </w:p>
              </w:tc>
            </w:tr>
          </w:tbl>
          <w:p>
            <w:pPr>
              <w:keepLines/>
              <w:adjustRightInd w:val="0"/>
              <w:snapToGrid w:val="0"/>
              <w:spacing w:line="360" w:lineRule="exact"/>
              <w:rPr>
                <w:rFonts w:ascii="宋体" w:hAnsi="宋体" w:cs="宋体"/>
                <w:color w:val="auto"/>
                <w:szCs w:val="21"/>
                <w:highlight w:val="none"/>
              </w:rPr>
            </w:pPr>
          </w:p>
        </w:tc>
      </w:tr>
    </w:tbl>
    <w:p>
      <w:pPr>
        <w:pStyle w:val="5"/>
        <w:spacing w:before="0" w:after="0" w:line="360" w:lineRule="auto"/>
        <w:rPr>
          <w:rFonts w:ascii="黑体" w:hAnsi="黑体" w:eastAsia="黑体"/>
          <w:b w:val="0"/>
          <w:color w:val="auto"/>
          <w:highlight w:val="none"/>
        </w:rPr>
      </w:pPr>
      <w:r>
        <w:rPr>
          <w:rFonts w:ascii="隶书" w:hAnsi="宋体"/>
          <w:color w:val="auto"/>
          <w:sz w:val="24"/>
          <w:highlight w:val="none"/>
        </w:rPr>
        <w:br w:type="page"/>
      </w:r>
      <w:bookmarkStart w:id="7" w:name="_Toc484950570"/>
      <w:r>
        <w:rPr>
          <w:rFonts w:hint="eastAsia" w:ascii="黑体" w:hAnsi="黑体" w:eastAsia="黑体"/>
          <w:b w:val="0"/>
          <w:color w:val="auto"/>
          <w:highlight w:val="none"/>
        </w:rPr>
        <w:t>附录1</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资格审查条件（资质最低要求）</w:t>
      </w:r>
      <w:bookmarkEnd w:id="7"/>
    </w:p>
    <w:p>
      <w:pPr>
        <w:rPr>
          <w:b/>
          <w:color w:val="auto"/>
          <w:highlight w:val="none"/>
          <w:lang w:val="zh-CN"/>
        </w:rPr>
      </w:pPr>
    </w:p>
    <w:tbl>
      <w:tblPr>
        <w:tblStyle w:val="43"/>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投标人须具备公路交通工程（公路机电系统工程分项）专业承包一级资质</w:t>
            </w:r>
          </w:p>
        </w:tc>
      </w:tr>
    </w:tbl>
    <w:p>
      <w:pPr>
        <w:spacing w:line="320" w:lineRule="exact"/>
        <w:rPr>
          <w:rFonts w:ascii="宋体" w:hAnsi="宋体"/>
          <w:color w:val="auto"/>
          <w:sz w:val="18"/>
          <w:highlight w:val="none"/>
        </w:rPr>
      </w:pPr>
    </w:p>
    <w:p>
      <w:pPr>
        <w:pStyle w:val="5"/>
        <w:spacing w:before="0" w:after="0" w:line="360" w:lineRule="auto"/>
        <w:rPr>
          <w:rFonts w:ascii="黑体" w:hAnsi="黑体" w:eastAsia="黑体"/>
          <w:b w:val="0"/>
          <w:color w:val="auto"/>
          <w:highlight w:val="none"/>
        </w:rPr>
      </w:pPr>
      <w:bookmarkStart w:id="8" w:name="_Toc484950571"/>
      <w:r>
        <w:rPr>
          <w:rFonts w:hint="eastAsia" w:ascii="黑体" w:hAnsi="黑体" w:eastAsia="黑体"/>
          <w:b w:val="0"/>
          <w:color w:val="auto"/>
          <w:highlight w:val="none"/>
        </w:rPr>
        <w:t>附录2</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资格审查条件（财务最低要求）</w:t>
      </w:r>
      <w:bookmarkEnd w:id="8"/>
    </w:p>
    <w:p>
      <w:pPr>
        <w:rPr>
          <w:color w:val="auto"/>
          <w:highlight w:val="none"/>
          <w:lang w:val="zh-CN"/>
        </w:rPr>
      </w:pPr>
    </w:p>
    <w:tbl>
      <w:tblPr>
        <w:tblStyle w:val="43"/>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ascii="宋体" w:hAnsi="宋体"/>
                <w:color w:val="auto"/>
                <w:szCs w:val="21"/>
                <w:highlight w:val="none"/>
              </w:rPr>
            </w:pPr>
            <w:r>
              <w:rPr>
                <w:rFonts w:ascii="宋体" w:hAnsi="宋体"/>
                <w:color w:val="auto"/>
                <w:szCs w:val="21"/>
                <w:highlight w:val="none"/>
              </w:rPr>
              <w:t>经审计的投标人的</w:t>
            </w:r>
            <w:r>
              <w:rPr>
                <w:rFonts w:hint="eastAsia" w:ascii="宋体" w:hAnsi="宋体"/>
                <w:color w:val="auto"/>
                <w:szCs w:val="21"/>
                <w:highlight w:val="none"/>
              </w:rPr>
              <w:t>2019年度</w:t>
            </w:r>
            <w:r>
              <w:rPr>
                <w:rFonts w:ascii="宋体" w:hAnsi="宋体"/>
                <w:color w:val="auto"/>
                <w:szCs w:val="21"/>
                <w:highlight w:val="none"/>
              </w:rPr>
              <w:t>财务会计报告中流动资产</w:t>
            </w:r>
            <w:r>
              <w:rPr>
                <w:rFonts w:hint="eastAsia" w:ascii="宋体" w:hAnsi="宋体"/>
                <w:color w:val="auto"/>
                <w:szCs w:val="21"/>
                <w:highlight w:val="none"/>
              </w:rPr>
              <w:t>大于</w:t>
            </w:r>
            <w:r>
              <w:rPr>
                <w:rFonts w:ascii="宋体" w:hAnsi="宋体"/>
                <w:color w:val="auto"/>
                <w:szCs w:val="21"/>
                <w:highlight w:val="none"/>
              </w:rPr>
              <w:t>流动负债</w:t>
            </w:r>
            <w:r>
              <w:rPr>
                <w:rFonts w:hint="eastAsia" w:ascii="宋体" w:hAnsi="宋体"/>
                <w:color w:val="auto"/>
                <w:szCs w:val="21"/>
                <w:highlight w:val="none"/>
              </w:rPr>
              <w:t>。</w:t>
            </w:r>
          </w:p>
        </w:tc>
      </w:tr>
    </w:tbl>
    <w:p>
      <w:pPr>
        <w:spacing w:line="320" w:lineRule="exact"/>
        <w:rPr>
          <w:rFonts w:ascii="宋体" w:hAnsi="宋体"/>
          <w:color w:val="auto"/>
          <w:sz w:val="18"/>
          <w:highlight w:val="none"/>
        </w:rPr>
      </w:pPr>
    </w:p>
    <w:p>
      <w:pPr>
        <w:pStyle w:val="5"/>
        <w:spacing w:before="0" w:after="0" w:line="360" w:lineRule="auto"/>
        <w:rPr>
          <w:rFonts w:ascii="黑体" w:hAnsi="黑体" w:eastAsia="黑体"/>
          <w:b w:val="0"/>
          <w:color w:val="auto"/>
          <w:highlight w:val="none"/>
        </w:rPr>
      </w:pPr>
      <w:bookmarkStart w:id="9" w:name="_Toc484950572"/>
      <w:r>
        <w:rPr>
          <w:rFonts w:hint="eastAsia" w:ascii="黑体" w:hAnsi="黑体" w:eastAsia="黑体"/>
          <w:b w:val="0"/>
          <w:color w:val="auto"/>
          <w:highlight w:val="none"/>
        </w:rPr>
        <w:t>附录3</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资格审查条件（业绩最低要求）</w:t>
      </w:r>
      <w:bookmarkEnd w:id="9"/>
    </w:p>
    <w:p>
      <w:pPr>
        <w:rPr>
          <w:color w:val="auto"/>
          <w:highlight w:val="none"/>
          <w:lang w:val="zh-CN"/>
        </w:rPr>
      </w:pPr>
    </w:p>
    <w:tbl>
      <w:tblPr>
        <w:tblStyle w:val="43"/>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自2015年1月1日（以交工日期为准）起，JD01标段投标人应完成过高速公路通信、监控、收费综合系统工程累计施工里程150公里（同一公路项目或同一公路施工标段内的通信、监控、收费综合系统工程不得分拆或重复计算里程）；</w:t>
            </w:r>
            <w:r>
              <w:rPr>
                <w:rFonts w:hint="eastAsia" w:ascii="宋体" w:hAnsi="宋体"/>
                <w:bCs/>
                <w:color w:val="auto"/>
                <w:szCs w:val="21"/>
                <w:highlight w:val="none"/>
              </w:rPr>
              <w:t>JD02标段投标人应完成过1项高速公路机电工程单项合同额不低于2000万元的施工业绩（同一合同业绩内应含有监控系统）。</w:t>
            </w:r>
          </w:p>
        </w:tc>
      </w:tr>
    </w:tbl>
    <w:p>
      <w:pPr>
        <w:adjustRightInd w:val="0"/>
        <w:snapToGrid w:val="0"/>
        <w:spacing w:line="400" w:lineRule="exact"/>
        <w:rPr>
          <w:rFonts w:ascii="楷体_GB2312" w:hAnsi="宋体" w:eastAsia="楷体_GB2312"/>
          <w:color w:val="auto"/>
          <w:szCs w:val="21"/>
          <w:highlight w:val="none"/>
        </w:rPr>
      </w:pPr>
      <w:bookmarkStart w:id="10" w:name="_Toc484950573"/>
      <w:r>
        <w:rPr>
          <w:rFonts w:hint="eastAsia" w:ascii="楷体_GB2312" w:hAnsi="宋体" w:eastAsia="楷体_GB2312"/>
          <w:color w:val="auto"/>
          <w:szCs w:val="21"/>
          <w:highlight w:val="none"/>
        </w:rPr>
        <w:t>说明：</w:t>
      </w:r>
    </w:p>
    <w:p>
      <w:pPr>
        <w:adjustRightInd w:val="0"/>
        <w:snapToGrid w:val="0"/>
        <w:spacing w:line="400" w:lineRule="exact"/>
        <w:rPr>
          <w:rFonts w:ascii="楷体_GB2312" w:hAnsi="宋体" w:eastAsia="楷体_GB2312"/>
          <w:color w:val="auto"/>
          <w:szCs w:val="21"/>
          <w:highlight w:val="none"/>
        </w:rPr>
      </w:pPr>
      <w:r>
        <w:rPr>
          <w:rFonts w:hint="eastAsia" w:ascii="楷体_GB2312" w:hAnsi="宋体" w:eastAsia="楷体_GB2312"/>
          <w:color w:val="auto"/>
          <w:szCs w:val="21"/>
          <w:highlight w:val="none"/>
        </w:rPr>
        <w:t>（1）表中涉及到的各项工程术语均执行《公路工程技术标准》（JTG B01-2014）的标准；</w:t>
      </w:r>
    </w:p>
    <w:p>
      <w:pPr>
        <w:adjustRightInd w:val="0"/>
        <w:snapToGrid w:val="0"/>
        <w:spacing w:line="400" w:lineRule="exact"/>
        <w:rPr>
          <w:rFonts w:ascii="宋体" w:hAnsi="宋体"/>
          <w:color w:val="auto"/>
          <w:sz w:val="18"/>
          <w:highlight w:val="none"/>
        </w:rPr>
      </w:pPr>
      <w:r>
        <w:rPr>
          <w:rFonts w:hint="eastAsia" w:ascii="楷体_GB2312" w:hAnsi="宋体" w:eastAsia="楷体_GB2312"/>
          <w:color w:val="auto"/>
          <w:szCs w:val="21"/>
          <w:highlight w:val="none"/>
        </w:rPr>
        <w:t>（2）企业业绩应为国内新建或改扩建高速公路的通信、监控、收费综合系统工程（JD01标段同一合同内必须同时含有通信、监控、收费三大系统、JD02标段同一合同业绩必须含有监控系统），且应是己列入交通运输主管部门“公路建设市场信用信息管理系统”并公开的主包己建业绩，养护工程（如原有机电系统工程系统的改造、更新、升级、提升、完善、维护等）及国外工程业绩均不予认可。</w:t>
      </w:r>
    </w:p>
    <w:p>
      <w:pPr>
        <w:pStyle w:val="5"/>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附录4</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资格审查条件（信誉最低要求）</w:t>
      </w:r>
      <w:bookmarkEnd w:id="10"/>
    </w:p>
    <w:p>
      <w:pPr>
        <w:rPr>
          <w:color w:val="auto"/>
          <w:highlight w:val="none"/>
          <w:lang w:val="zh-CN"/>
        </w:rPr>
      </w:pPr>
    </w:p>
    <w:tbl>
      <w:tblPr>
        <w:tblStyle w:val="43"/>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autoSpaceDE w:val="0"/>
              <w:autoSpaceDN w:val="0"/>
              <w:adjustRightInd w:val="0"/>
              <w:spacing w:line="400" w:lineRule="exact"/>
              <w:rPr>
                <w:rFonts w:ascii="宋体" w:hAnsi="宋体"/>
                <w:color w:val="auto"/>
                <w:szCs w:val="21"/>
                <w:highlight w:val="none"/>
              </w:rPr>
            </w:pPr>
            <w:r>
              <w:rPr>
                <w:rFonts w:hint="eastAsia" w:ascii="宋体" w:hAnsi="宋体"/>
                <w:color w:val="auto"/>
                <w:szCs w:val="21"/>
                <w:highlight w:val="none"/>
              </w:rPr>
              <w:t>投标人不得存在以下情形：</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2017年1月1日之后，有被本项目法人以弄虚作假行为取消中标候选人资格的或因无效合同而终止施工的，或有因农民工群体上访行为被吉林省交通运输主管部门通报的，或被吉林省交通运输主管部门或本项目法人以“投标人相互串通投标行为、弄虚作假行为”通报的。</w:t>
            </w:r>
          </w:p>
        </w:tc>
      </w:tr>
    </w:tbl>
    <w:p>
      <w:pPr>
        <w:pStyle w:val="5"/>
        <w:spacing w:before="0" w:after="0" w:line="360" w:lineRule="auto"/>
        <w:rPr>
          <w:rFonts w:ascii="黑体" w:hAnsi="黑体" w:eastAsia="黑体"/>
          <w:b w:val="0"/>
          <w:color w:val="auto"/>
          <w:highlight w:val="none"/>
        </w:rPr>
      </w:pPr>
      <w:r>
        <w:rPr>
          <w:rFonts w:ascii="宋体" w:hAnsi="宋体"/>
          <w:b w:val="0"/>
          <w:color w:val="auto"/>
          <w:kern w:val="44"/>
          <w:highlight w:val="none"/>
        </w:rPr>
        <w:br w:type="page"/>
      </w:r>
      <w:bookmarkStart w:id="11" w:name="_Toc484950575"/>
      <w:r>
        <w:rPr>
          <w:rFonts w:hint="eastAsia" w:ascii="黑体" w:hAnsi="黑体" w:eastAsia="黑体"/>
          <w:b w:val="0"/>
          <w:color w:val="auto"/>
          <w:highlight w:val="none"/>
        </w:rPr>
        <w:t>附录5</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资格审查条件（项目经理和项目总工最低要求）</w:t>
      </w:r>
      <w:bookmarkEnd w:id="11"/>
    </w:p>
    <w:p>
      <w:pPr>
        <w:rPr>
          <w:color w:val="auto"/>
          <w:highlight w:val="none"/>
          <w:lang w:val="zh-CN"/>
        </w:rPr>
      </w:pPr>
    </w:p>
    <w:tbl>
      <w:tblPr>
        <w:tblStyle w:val="43"/>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09"/>
        <w:gridCol w:w="52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人员</w:t>
            </w:r>
          </w:p>
        </w:tc>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5244" w:type="dxa"/>
            <w:tcBorders>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资格要求</w:t>
            </w:r>
          </w:p>
        </w:tc>
        <w:tc>
          <w:tcPr>
            <w:tcW w:w="2268" w:type="dxa"/>
            <w:tcBorders>
              <w:lef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83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项目</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经理</w:t>
            </w:r>
          </w:p>
        </w:tc>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1人</w:t>
            </w:r>
          </w:p>
        </w:tc>
        <w:tc>
          <w:tcPr>
            <w:tcW w:w="5244" w:type="dxa"/>
            <w:tcBorders>
              <w:right w:val="single" w:color="auto" w:sz="4" w:space="0"/>
            </w:tcBorders>
            <w:vAlign w:val="center"/>
          </w:tcPr>
          <w:p>
            <w:pPr>
              <w:numPr>
                <w:ilvl w:val="0"/>
                <w:numId w:val="2"/>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投标人自有人员</w:t>
            </w:r>
            <w:r>
              <w:rPr>
                <w:rStyle w:val="55"/>
                <w:rFonts w:ascii="宋体" w:hAnsi="宋体"/>
                <w:color w:val="auto"/>
                <w:szCs w:val="21"/>
                <w:highlight w:val="none"/>
              </w:rPr>
              <w:footnoteReference w:id="1"/>
            </w:r>
            <w:r>
              <w:rPr>
                <w:rFonts w:hint="eastAsia" w:ascii="宋体" w:hAnsi="宋体"/>
                <w:color w:val="auto"/>
                <w:szCs w:val="21"/>
                <w:highlight w:val="none"/>
              </w:rPr>
              <w:t>；</w:t>
            </w:r>
          </w:p>
          <w:p>
            <w:pPr>
              <w:numPr>
                <w:ilvl w:val="0"/>
                <w:numId w:val="2"/>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持有建设行政主管部门颁发的“</w:t>
            </w:r>
            <w:r>
              <w:rPr>
                <w:rFonts w:hint="eastAsia" w:ascii="宋体" w:hAnsi="宋体"/>
                <w:color w:val="auto"/>
                <w:szCs w:val="21"/>
                <w:highlight w:val="none"/>
              </w:rPr>
              <w:t>公路工程</w:t>
            </w:r>
            <w:r>
              <w:rPr>
                <w:rFonts w:ascii="宋体" w:hAnsi="宋体"/>
                <w:color w:val="auto"/>
                <w:szCs w:val="21"/>
                <w:highlight w:val="none"/>
              </w:rPr>
              <w:t>”</w:t>
            </w:r>
            <w:r>
              <w:rPr>
                <w:rFonts w:hint="eastAsia" w:ascii="宋体" w:hAnsi="宋体"/>
                <w:color w:val="auto"/>
                <w:szCs w:val="21"/>
                <w:highlight w:val="none"/>
              </w:rPr>
              <w:t>或“机电工程”</w:t>
            </w:r>
            <w:r>
              <w:rPr>
                <w:rFonts w:ascii="宋体" w:hAnsi="宋体"/>
                <w:color w:val="auto"/>
                <w:szCs w:val="21"/>
                <w:highlight w:val="none"/>
              </w:rPr>
              <w:t>专业《</w:t>
            </w:r>
            <w:r>
              <w:rPr>
                <w:rFonts w:hint="eastAsia" w:ascii="宋体" w:hAnsi="宋体"/>
                <w:color w:val="auto"/>
                <w:szCs w:val="21"/>
                <w:highlight w:val="none"/>
              </w:rPr>
              <w:t>一</w:t>
            </w:r>
            <w:r>
              <w:rPr>
                <w:rFonts w:ascii="宋体" w:hAnsi="宋体"/>
                <w:color w:val="auto"/>
                <w:szCs w:val="21"/>
                <w:highlight w:val="none"/>
              </w:rPr>
              <w:t>级建造师注册证书》</w:t>
            </w:r>
            <w:r>
              <w:rPr>
                <w:rFonts w:hint="eastAsia" w:ascii="宋体" w:hAnsi="宋体"/>
                <w:bCs/>
                <w:color w:val="auto"/>
                <w:szCs w:val="21"/>
                <w:highlight w:val="none"/>
              </w:rPr>
              <w:t>，且现注册单位</w:t>
            </w:r>
            <w:r>
              <w:rPr>
                <w:rFonts w:hint="eastAsia" w:ascii="宋体" w:hAnsi="宋体"/>
                <w:color w:val="auto"/>
                <w:szCs w:val="21"/>
                <w:highlight w:val="none"/>
              </w:rPr>
              <w:t>为投标人；</w:t>
            </w:r>
          </w:p>
          <w:p>
            <w:pPr>
              <w:numPr>
                <w:ilvl w:val="0"/>
                <w:numId w:val="2"/>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公路工程或机电工程相关专业中</w:t>
            </w:r>
            <w:r>
              <w:rPr>
                <w:rFonts w:ascii="宋体" w:hAnsi="宋体"/>
                <w:color w:val="auto"/>
                <w:szCs w:val="21"/>
                <w:highlight w:val="none"/>
              </w:rPr>
              <w:t>级技术职称</w:t>
            </w:r>
            <w:r>
              <w:rPr>
                <w:rFonts w:hint="eastAsia" w:ascii="宋体" w:hAnsi="宋体"/>
                <w:color w:val="auto"/>
                <w:szCs w:val="21"/>
                <w:highlight w:val="none"/>
              </w:rPr>
              <w:t>；</w:t>
            </w:r>
          </w:p>
          <w:p>
            <w:pPr>
              <w:numPr>
                <w:ilvl w:val="0"/>
                <w:numId w:val="2"/>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交通运输主管部门</w:t>
            </w:r>
            <w:r>
              <w:rPr>
                <w:rFonts w:ascii="宋体" w:hAnsi="宋体"/>
                <w:color w:val="auto"/>
                <w:szCs w:val="21"/>
                <w:highlight w:val="none"/>
              </w:rPr>
              <w:t>颁发的有效的B类安全生产考核合格证书</w:t>
            </w:r>
            <w:r>
              <w:rPr>
                <w:rFonts w:hint="eastAsia" w:ascii="宋体" w:hAnsi="宋体"/>
                <w:color w:val="auto"/>
                <w:szCs w:val="21"/>
                <w:highlight w:val="none"/>
              </w:rPr>
              <w:t>；</w:t>
            </w:r>
          </w:p>
        </w:tc>
        <w:tc>
          <w:tcPr>
            <w:tcW w:w="2268" w:type="dxa"/>
            <w:vMerge w:val="restart"/>
            <w:tcBorders>
              <w:left w:val="single" w:color="auto" w:sz="4" w:space="0"/>
            </w:tcBorders>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36"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项目</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总工</w:t>
            </w:r>
          </w:p>
        </w:tc>
        <w:tc>
          <w:tcPr>
            <w:tcW w:w="709"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1人</w:t>
            </w:r>
          </w:p>
        </w:tc>
        <w:tc>
          <w:tcPr>
            <w:tcW w:w="5244" w:type="dxa"/>
            <w:tcBorders>
              <w:right w:val="single" w:color="auto" w:sz="4" w:space="0"/>
            </w:tcBorders>
            <w:vAlign w:val="center"/>
          </w:tcPr>
          <w:p>
            <w:pPr>
              <w:numPr>
                <w:ilvl w:val="0"/>
                <w:numId w:val="3"/>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投标人自有人员</w:t>
            </w:r>
            <w:r>
              <w:rPr>
                <w:rFonts w:hint="eastAsia" w:ascii="宋体" w:hAnsi="宋体"/>
                <w:color w:val="auto"/>
                <w:szCs w:val="21"/>
                <w:highlight w:val="none"/>
              </w:rPr>
              <w:t>；</w:t>
            </w:r>
          </w:p>
          <w:p>
            <w:pPr>
              <w:numPr>
                <w:ilvl w:val="0"/>
                <w:numId w:val="3"/>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公路工程或机电工程相关专业</w:t>
            </w:r>
            <w:r>
              <w:rPr>
                <w:rFonts w:ascii="宋体" w:hAnsi="宋体"/>
                <w:color w:val="auto"/>
                <w:szCs w:val="21"/>
                <w:highlight w:val="none"/>
              </w:rPr>
              <w:t>高级技术职称</w:t>
            </w:r>
            <w:r>
              <w:rPr>
                <w:rFonts w:hint="eastAsia" w:ascii="宋体" w:hAnsi="宋体"/>
                <w:color w:val="auto"/>
                <w:szCs w:val="21"/>
                <w:highlight w:val="none"/>
              </w:rPr>
              <w:t>；</w:t>
            </w:r>
          </w:p>
          <w:p>
            <w:pPr>
              <w:numPr>
                <w:ilvl w:val="0"/>
                <w:numId w:val="3"/>
              </w:numPr>
              <w:adjustRightInd w:val="0"/>
              <w:snapToGrid w:val="0"/>
              <w:spacing w:line="400" w:lineRule="exact"/>
              <w:ind w:left="210" w:leftChars="100"/>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交通运输主管部门</w:t>
            </w:r>
            <w:r>
              <w:rPr>
                <w:rFonts w:ascii="宋体" w:hAnsi="宋体"/>
                <w:color w:val="auto"/>
                <w:szCs w:val="21"/>
                <w:highlight w:val="none"/>
              </w:rPr>
              <w:t>颁发的有效的B类安全生产考核合格证书</w:t>
            </w:r>
            <w:r>
              <w:rPr>
                <w:rFonts w:hint="eastAsia" w:ascii="宋体" w:hAnsi="宋体"/>
                <w:color w:val="auto"/>
                <w:szCs w:val="21"/>
                <w:highlight w:val="none"/>
              </w:rPr>
              <w:t>；</w:t>
            </w:r>
          </w:p>
        </w:tc>
        <w:tc>
          <w:tcPr>
            <w:tcW w:w="2268" w:type="dxa"/>
            <w:vMerge w:val="continue"/>
            <w:tcBorders>
              <w:left w:val="single" w:color="auto" w:sz="4" w:space="0"/>
            </w:tcBorders>
            <w:vAlign w:val="center"/>
          </w:tcPr>
          <w:p>
            <w:pPr>
              <w:numPr>
                <w:ilvl w:val="0"/>
                <w:numId w:val="3"/>
              </w:numPr>
              <w:adjustRightInd w:val="0"/>
              <w:snapToGrid w:val="0"/>
              <w:spacing w:line="400" w:lineRule="exact"/>
              <w:rPr>
                <w:rFonts w:ascii="宋体" w:hAnsi="宋体"/>
                <w:color w:val="auto"/>
                <w:szCs w:val="21"/>
                <w:highlight w:val="none"/>
              </w:rPr>
            </w:pPr>
          </w:p>
        </w:tc>
      </w:tr>
    </w:tbl>
    <w:p>
      <w:pPr>
        <w:adjustRightInd w:val="0"/>
        <w:snapToGrid w:val="0"/>
        <w:spacing w:line="400" w:lineRule="exact"/>
        <w:ind w:left="630" w:hanging="630" w:hangingChars="300"/>
        <w:rPr>
          <w:rFonts w:ascii="楷体_GB2312" w:hAnsi="宋体" w:eastAsia="楷体_GB2312"/>
          <w:color w:val="auto"/>
          <w:szCs w:val="21"/>
          <w:highlight w:val="none"/>
        </w:rPr>
      </w:pPr>
      <w:r>
        <w:rPr>
          <w:rFonts w:hint="eastAsia" w:ascii="楷体_GB2312" w:hAnsi="宋体" w:eastAsia="楷体_GB2312"/>
          <w:color w:val="auto"/>
          <w:szCs w:val="21"/>
          <w:highlight w:val="none"/>
        </w:rPr>
        <w:t>说明</w:t>
      </w:r>
      <w:r>
        <w:rPr>
          <w:rFonts w:ascii="楷体_GB2312" w:hAnsi="宋体" w:eastAsia="楷体_GB2312"/>
          <w:color w:val="auto"/>
          <w:szCs w:val="21"/>
          <w:highlight w:val="none"/>
        </w:rPr>
        <w:t>：</w:t>
      </w:r>
      <w:r>
        <w:rPr>
          <w:rFonts w:hint="eastAsia" w:ascii="楷体_GB2312" w:hAnsi="宋体" w:eastAsia="楷体_GB2312"/>
          <w:color w:val="auto"/>
          <w:szCs w:val="21"/>
          <w:highlight w:val="none"/>
        </w:rPr>
        <w:t>个人业绩应是交通运输部“全国公路建设市场信用信息管理系统”中载明的、能够证明项目经理和项目总工具有上述业绩的主包己建业绩，国外工程业绩不予认可。</w:t>
      </w:r>
    </w:p>
    <w:p>
      <w:pPr>
        <w:pStyle w:val="2"/>
        <w:rPr>
          <w:rFonts w:hint="eastAsia" w:eastAsia="黑体"/>
          <w:b w:val="0"/>
          <w:bCs w:val="0"/>
          <w:color w:val="auto"/>
          <w:sz w:val="32"/>
          <w:szCs w:val="32"/>
          <w:highlight w:val="none"/>
          <w:lang w:val="en-US" w:eastAsia="zh-CN"/>
        </w:rPr>
      </w:pPr>
      <w:bookmarkStart w:id="12" w:name="_Toc258182505"/>
      <w:bookmarkStart w:id="13" w:name="_Toc30565"/>
      <w:bookmarkStart w:id="14" w:name="_Toc530376655"/>
      <w:r>
        <w:rPr>
          <w:rFonts w:hint="eastAsia"/>
          <w:b w:val="0"/>
          <w:bCs w:val="0"/>
          <w:color w:val="auto"/>
          <w:sz w:val="32"/>
          <w:szCs w:val="32"/>
          <w:highlight w:val="none"/>
        </w:rPr>
        <w:t>评标办法</w:t>
      </w:r>
      <w:bookmarkEnd w:id="12"/>
      <w:bookmarkEnd w:id="13"/>
      <w:bookmarkEnd w:id="14"/>
      <w:bookmarkStart w:id="15" w:name="_Toc355768878"/>
      <w:bookmarkStart w:id="16" w:name="_Toc530376656"/>
      <w:bookmarkStart w:id="17" w:name="_Toc18255"/>
      <w:bookmarkStart w:id="18" w:name="_Toc258182506"/>
      <w:r>
        <w:rPr>
          <w:rFonts w:hint="eastAsia"/>
          <w:b w:val="0"/>
          <w:bCs w:val="0"/>
          <w:color w:val="auto"/>
          <w:sz w:val="32"/>
          <w:szCs w:val="32"/>
          <w:highlight w:val="none"/>
          <w:lang w:val="en-US" w:eastAsia="zh-CN"/>
        </w:rPr>
        <w:t>(</w:t>
      </w:r>
      <w:r>
        <w:rPr>
          <w:rFonts w:hint="eastAsia"/>
          <w:b w:val="0"/>
          <w:bCs w:val="0"/>
          <w:color w:val="auto"/>
          <w:sz w:val="32"/>
          <w:szCs w:val="32"/>
          <w:highlight w:val="none"/>
        </w:rPr>
        <w:t>综合评分法</w:t>
      </w:r>
      <w:bookmarkEnd w:id="15"/>
      <w:bookmarkEnd w:id="16"/>
      <w:bookmarkEnd w:id="17"/>
      <w:r>
        <w:rPr>
          <w:rFonts w:hint="eastAsia"/>
          <w:b w:val="0"/>
          <w:bCs w:val="0"/>
          <w:color w:val="auto"/>
          <w:sz w:val="32"/>
          <w:szCs w:val="32"/>
          <w:highlight w:val="none"/>
          <w:lang w:val="en-US" w:eastAsia="zh-CN"/>
        </w:rPr>
        <w:t>)</w:t>
      </w:r>
    </w:p>
    <w:p>
      <w:pPr>
        <w:rPr>
          <w:color w:val="auto"/>
          <w:sz w:val="36"/>
          <w:szCs w:val="36"/>
          <w:highlight w:val="none"/>
          <w:lang w:val="zh-CN"/>
        </w:rPr>
      </w:pPr>
    </w:p>
    <w:p>
      <w:pPr>
        <w:pStyle w:val="5"/>
        <w:snapToGrid w:val="0"/>
        <w:spacing w:before="0" w:after="0" w:line="240" w:lineRule="auto"/>
        <w:rPr>
          <w:rFonts w:ascii="黑体" w:hAnsi="黑体" w:eastAsia="黑体"/>
          <w:b w:val="0"/>
          <w:bCs w:val="0"/>
          <w:color w:val="auto"/>
          <w:highlight w:val="none"/>
        </w:rPr>
      </w:pPr>
      <w:bookmarkStart w:id="19" w:name="_Toc484950608"/>
      <w:r>
        <w:rPr>
          <w:rFonts w:hint="eastAsia" w:ascii="黑体" w:hAnsi="黑体" w:eastAsia="黑体"/>
          <w:b w:val="0"/>
          <w:bCs w:val="0"/>
          <w:color w:val="auto"/>
          <w:highlight w:val="none"/>
        </w:rPr>
        <w:t>评标办法前附表</w:t>
      </w:r>
      <w:r>
        <w:rPr>
          <w:rStyle w:val="55"/>
          <w:rFonts w:ascii="黑体" w:hAnsi="黑体" w:eastAsia="黑体"/>
          <w:b w:val="0"/>
          <w:bCs w:val="0"/>
          <w:color w:val="auto"/>
          <w:sz w:val="30"/>
          <w:szCs w:val="30"/>
          <w:highlight w:val="none"/>
        </w:rPr>
        <w:footnoteReference w:id="2"/>
      </w:r>
      <w:bookmarkEnd w:id="19"/>
    </w:p>
    <w:p>
      <w:pPr>
        <w:rPr>
          <w:color w:val="auto"/>
          <w:highlight w:val="none"/>
          <w:lang w:val="zh-CN"/>
        </w:rPr>
      </w:pPr>
    </w:p>
    <w:tbl>
      <w:tblPr>
        <w:tblStyle w:val="43"/>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555" w:type="dxa"/>
            <w:tcBorders>
              <w:top w:val="single" w:color="000000" w:sz="6" w:space="0"/>
              <w:left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综合评分相等时，评标委员会依次按照以下优先顺序</w:t>
            </w:r>
            <w:r>
              <w:rPr>
                <w:rFonts w:ascii="宋体" w:hAnsi="宋体"/>
                <w:color w:val="auto"/>
                <w:szCs w:val="21"/>
                <w:highlight w:val="none"/>
              </w:rPr>
              <w:t>推荐中标候选人</w:t>
            </w:r>
            <w:r>
              <w:rPr>
                <w:rFonts w:hint="eastAsia" w:ascii="宋体" w:hAnsi="宋体"/>
                <w:color w:val="auto"/>
                <w:szCs w:val="21"/>
                <w:highlight w:val="none"/>
              </w:rPr>
              <w:t>：</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（1）评</w:t>
            </w:r>
            <w:r>
              <w:rPr>
                <w:rFonts w:ascii="宋体" w:hAnsi="宋体"/>
                <w:color w:val="auto"/>
                <w:szCs w:val="21"/>
                <w:highlight w:val="none"/>
              </w:rPr>
              <w:t>标价</w:t>
            </w:r>
            <w:r>
              <w:rPr>
                <w:rFonts w:hint="eastAsia" w:ascii="宋体" w:hAnsi="宋体"/>
                <w:color w:val="auto"/>
                <w:szCs w:val="21"/>
                <w:highlight w:val="none"/>
              </w:rPr>
              <w:t>低</w:t>
            </w:r>
            <w:r>
              <w:rPr>
                <w:rFonts w:ascii="宋体" w:hAnsi="宋体"/>
                <w:color w:val="auto"/>
                <w:szCs w:val="21"/>
                <w:highlight w:val="none"/>
              </w:rPr>
              <w:t>的</w:t>
            </w:r>
            <w:r>
              <w:rPr>
                <w:rFonts w:hint="eastAsia" w:ascii="宋体" w:hAnsi="宋体"/>
                <w:color w:val="auto"/>
                <w:szCs w:val="21"/>
                <w:highlight w:val="none"/>
              </w:rPr>
              <w:t>投标人</w:t>
            </w:r>
            <w:r>
              <w:rPr>
                <w:rFonts w:ascii="宋体" w:hAnsi="宋体"/>
                <w:color w:val="auto"/>
                <w:szCs w:val="21"/>
                <w:highlight w:val="none"/>
              </w:rPr>
              <w:t>优先；</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）履约信誉得分高的投标人优先；</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（3）施工组织设计得分高的投标人优先；</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（4）企业业绩得分高的投标人优先。</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2.1.1</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形式评审</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与</w:t>
            </w:r>
            <w:r>
              <w:rPr>
                <w:rFonts w:hint="eastAsia" w:ascii="宋体" w:hAnsi="宋体"/>
                <w:color w:val="auto"/>
                <w:szCs w:val="21"/>
                <w:highlight w:val="none"/>
              </w:rPr>
              <w:br w:type="textWrapping"/>
            </w:r>
            <w:r>
              <w:rPr>
                <w:rFonts w:hint="eastAsia" w:ascii="宋体" w:hAnsi="宋体"/>
                <w:color w:val="auto"/>
                <w:szCs w:val="21"/>
                <w:highlight w:val="none"/>
              </w:rPr>
              <w:t>响应性评审</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jc w:val="left"/>
              <w:rPr>
                <w:rFonts w:ascii="宋体" w:hAnsi="宋体"/>
                <w:b/>
                <w:bCs/>
                <w:color w:val="auto"/>
                <w:szCs w:val="21"/>
                <w:highlight w:val="none"/>
              </w:rPr>
            </w:pPr>
            <w:r>
              <w:rPr>
                <w:rFonts w:hint="eastAsia" w:ascii="宋体" w:hAnsi="宋体"/>
                <w:b/>
                <w:bCs/>
                <w:color w:val="auto"/>
                <w:szCs w:val="21"/>
                <w:highlight w:val="none"/>
              </w:rPr>
              <w:t>第一个信封（商务及技术文件）评审标准：</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（1）投标文件按照招标文件规定的格式、内容填写，字迹清晰可辨，且提供了满足招标文件要求的证明材料：</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投标函按招标文件规定填报了项目名称、标段号、补遗书编号（如有）、工期、工程质量要求及安全目标；</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c.投标文件组成齐全完整，内容均按规定填写。</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（2）投标文件上法定代表人或其授权代理人的签字、投标人的单位章盖章齐全，符合招标文件规定。</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（3）投标人按照招标文件的规定提供了投标保证金：</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a.投标保证金金额符合招标文件规定的金额，且投标保证金有效期不少于投标有效期；</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若投标保证金采用现金或支票形式提交，投标人应在递交投标</w:t>
            </w:r>
            <w:r>
              <w:rPr>
                <w:rFonts w:hint="eastAsia" w:ascii="宋体" w:hAnsi="宋体"/>
                <w:color w:val="auto"/>
                <w:szCs w:val="21"/>
                <w:highlight w:val="none"/>
              </w:rPr>
              <w:t>保证金</w:t>
            </w:r>
            <w:r>
              <w:rPr>
                <w:rFonts w:ascii="宋体" w:hAnsi="宋体"/>
                <w:color w:val="auto"/>
                <w:szCs w:val="21"/>
                <w:highlight w:val="none"/>
              </w:rPr>
              <w:t>截止时间之前，将投标保证金由投标人的基本账户</w:t>
            </w:r>
            <w:r>
              <w:rPr>
                <w:rFonts w:hint="eastAsia" w:ascii="宋体" w:hAnsi="宋体"/>
                <w:color w:val="auto"/>
                <w:szCs w:val="21"/>
                <w:highlight w:val="none"/>
              </w:rPr>
              <w:t>一次性</w:t>
            </w:r>
            <w:r>
              <w:rPr>
                <w:rFonts w:ascii="宋体" w:hAnsi="宋体"/>
                <w:color w:val="auto"/>
                <w:szCs w:val="21"/>
                <w:highlight w:val="none"/>
              </w:rPr>
              <w:t>转入招标人指定账户；</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若投标保证金采用银行保函形式提交，银行保函的格式、开具保函的银行均满足招标文件要求，且在递交投标文件截止时间之前向招标人提交了银行保函原件。</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投标人法定代表人授权委托代理人签署投标文件的，</w:t>
            </w:r>
            <w:r>
              <w:rPr>
                <w:rFonts w:hint="eastAsia" w:ascii="宋体" w:hAnsi="宋体"/>
                <w:color w:val="auto"/>
                <w:szCs w:val="21"/>
                <w:highlight w:val="none"/>
              </w:rPr>
              <w:t>须</w:t>
            </w:r>
            <w:r>
              <w:rPr>
                <w:rFonts w:ascii="宋体" w:hAnsi="宋体"/>
                <w:color w:val="auto"/>
                <w:szCs w:val="21"/>
                <w:highlight w:val="none"/>
              </w:rPr>
              <w:t>提交授权委托书，且授权人和被授权人均在授权委托书上签名，未使用印章、签名章或其他电子制版签名代替。</w:t>
            </w:r>
          </w:p>
          <w:p>
            <w:pPr>
              <w:pStyle w:val="124"/>
              <w:keepLines/>
              <w:shd w:val="clear" w:color="auto" w:fill="auto"/>
              <w:tabs>
                <w:tab w:val="left" w:pos="914"/>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（5）</w:t>
            </w:r>
            <w:r>
              <w:rPr>
                <w:color w:val="auto"/>
                <w:kern w:val="2"/>
                <w:sz w:val="21"/>
                <w:szCs w:val="21"/>
                <w:highlight w:val="none"/>
                <w:lang w:val="en-US"/>
              </w:rPr>
              <w:t>投标人法定代表人亲自签署投标文件的，提供了法定代表人身份证明，且法定代表人在法定代表人身份证明上签名，未使用印章、签名章或其他电子制版签名代替。</w:t>
            </w:r>
          </w:p>
          <w:p>
            <w:pPr>
              <w:pStyle w:val="124"/>
              <w:keepLines/>
              <w:shd w:val="clear" w:color="auto" w:fill="auto"/>
              <w:tabs>
                <w:tab w:val="left" w:pos="914"/>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（6）投标人如有分包计划，符合招标文件第二章“投标人须知”第1.11款规定</w:t>
            </w:r>
            <w:r>
              <w:rPr>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（7）</w:t>
            </w:r>
            <w:r>
              <w:rPr>
                <w:color w:val="auto"/>
                <w:kern w:val="2"/>
                <w:sz w:val="21"/>
                <w:szCs w:val="21"/>
                <w:highlight w:val="none"/>
                <w:lang w:val="en-US"/>
              </w:rPr>
              <w:t>同一投标人</w:t>
            </w:r>
            <w:r>
              <w:rPr>
                <w:rFonts w:hint="eastAsia"/>
                <w:color w:val="auto"/>
                <w:kern w:val="2"/>
                <w:sz w:val="21"/>
                <w:szCs w:val="21"/>
                <w:highlight w:val="none"/>
                <w:lang w:val="en-US"/>
              </w:rPr>
              <w:t>对同一标段</w:t>
            </w:r>
            <w:r>
              <w:rPr>
                <w:color w:val="auto"/>
                <w:kern w:val="2"/>
                <w:sz w:val="21"/>
                <w:szCs w:val="21"/>
                <w:highlight w:val="none"/>
                <w:lang w:val="en-US"/>
              </w:rPr>
              <w:t>未提交两个以上不同的投标文件。</w:t>
            </w:r>
          </w:p>
          <w:p>
            <w:pPr>
              <w:pStyle w:val="124"/>
              <w:keepLines/>
              <w:shd w:val="clear" w:color="auto" w:fill="auto"/>
              <w:tabs>
                <w:tab w:val="left" w:pos="922"/>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（8）</w:t>
            </w:r>
            <w:r>
              <w:rPr>
                <w:color w:val="auto"/>
                <w:kern w:val="2"/>
                <w:sz w:val="21"/>
                <w:szCs w:val="21"/>
                <w:highlight w:val="none"/>
                <w:lang w:val="en-US"/>
              </w:rPr>
              <w:t>投标文件中未出现有关投标报价的内容。</w:t>
            </w:r>
          </w:p>
          <w:p>
            <w:pPr>
              <w:pStyle w:val="124"/>
              <w:keepLines/>
              <w:shd w:val="clear" w:color="auto" w:fill="auto"/>
              <w:tabs>
                <w:tab w:val="left" w:pos="922"/>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（9）</w:t>
            </w:r>
            <w:r>
              <w:rPr>
                <w:color w:val="auto"/>
                <w:kern w:val="2"/>
                <w:sz w:val="21"/>
                <w:szCs w:val="21"/>
                <w:highlight w:val="none"/>
                <w:lang w:val="en-US"/>
              </w:rPr>
              <w:t>投标文件载明的招标项目完成期限未超过招标文件规定的时限。</w:t>
            </w:r>
          </w:p>
          <w:p>
            <w:pPr>
              <w:pStyle w:val="124"/>
              <w:keepLines/>
              <w:shd w:val="clear" w:color="auto" w:fill="auto"/>
              <w:tabs>
                <w:tab w:val="left" w:pos="938"/>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（10）</w:t>
            </w:r>
            <w:r>
              <w:rPr>
                <w:color w:val="auto"/>
                <w:kern w:val="2"/>
                <w:sz w:val="21"/>
                <w:szCs w:val="21"/>
                <w:highlight w:val="none"/>
                <w:lang w:val="en-US"/>
              </w:rPr>
              <w:t>投标文件对招标文件的实质性要求和条件作出响应。</w:t>
            </w:r>
          </w:p>
          <w:p>
            <w:pPr>
              <w:pStyle w:val="124"/>
              <w:keepLines/>
              <w:shd w:val="clear" w:color="auto" w:fill="auto"/>
              <w:tabs>
                <w:tab w:val="left" w:pos="922"/>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（11）</w:t>
            </w:r>
            <w:r>
              <w:rPr>
                <w:color w:val="auto"/>
                <w:kern w:val="2"/>
                <w:sz w:val="21"/>
                <w:szCs w:val="21"/>
                <w:highlight w:val="none"/>
                <w:lang w:val="en-US"/>
              </w:rPr>
              <w:t>权利义务符合招标文件规定：</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投标人应接受招标文件规定的风险划分原则，未提出新的风险划分办法；</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投标人未增加发包人的责任范围，或减少投标人义务；</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投标人未提出不同的工程验收、计量、支付办法；</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d．</w:t>
            </w:r>
            <w:r>
              <w:rPr>
                <w:rFonts w:ascii="宋体" w:hAnsi="宋体"/>
                <w:color w:val="auto"/>
                <w:szCs w:val="21"/>
                <w:highlight w:val="none"/>
              </w:rPr>
              <w:t>投标人对合同纠纷、事故处理办法未提出异议；</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e．</w:t>
            </w:r>
            <w:r>
              <w:rPr>
                <w:rFonts w:ascii="宋体" w:hAnsi="宋体"/>
                <w:color w:val="auto"/>
                <w:szCs w:val="21"/>
                <w:highlight w:val="none"/>
              </w:rPr>
              <w:t>投标人在投标活动中无欺诈行为；</w:t>
            </w:r>
          </w:p>
          <w:p>
            <w:pPr>
              <w:keepLines/>
              <w:adjustRightInd w:val="0"/>
              <w:snapToGrid w:val="0"/>
              <w:spacing w:line="360" w:lineRule="auto"/>
              <w:ind w:left="210" w:leftChars="100"/>
              <w:jc w:val="left"/>
              <w:rPr>
                <w:rFonts w:ascii="宋体" w:hAnsi="宋体"/>
                <w:color w:val="auto"/>
                <w:szCs w:val="21"/>
                <w:highlight w:val="none"/>
              </w:rPr>
            </w:pPr>
            <w:r>
              <w:rPr>
                <w:rFonts w:hint="eastAsia" w:ascii="宋体" w:hAnsi="宋体"/>
                <w:color w:val="auto"/>
                <w:szCs w:val="21"/>
                <w:highlight w:val="none"/>
              </w:rPr>
              <w:t>f．</w:t>
            </w:r>
            <w:r>
              <w:rPr>
                <w:rFonts w:ascii="宋体" w:hAnsi="宋体"/>
                <w:color w:val="auto"/>
                <w:szCs w:val="21"/>
                <w:highlight w:val="none"/>
              </w:rPr>
              <w:t>投标人未对合同条款有重要保留。</w:t>
            </w:r>
          </w:p>
          <w:p>
            <w:pPr>
              <w:pStyle w:val="124"/>
              <w:keepLines/>
              <w:shd w:val="clear" w:color="auto" w:fill="auto"/>
              <w:tabs>
                <w:tab w:val="left" w:pos="914"/>
              </w:tabs>
              <w:adjustRightInd w:val="0"/>
              <w:snapToGrid w:val="0"/>
              <w:spacing w:before="0" w:line="360" w:lineRule="auto"/>
              <w:ind w:left="210" w:leftChars="100"/>
              <w:jc w:val="left"/>
              <w:rPr>
                <w:color w:val="auto"/>
                <w:kern w:val="2"/>
                <w:sz w:val="21"/>
                <w:szCs w:val="21"/>
                <w:highlight w:val="none"/>
                <w:lang w:val="en-US"/>
              </w:rPr>
            </w:pPr>
            <w:r>
              <w:rPr>
                <w:rFonts w:hint="eastAsia"/>
                <w:color w:val="auto"/>
                <w:kern w:val="2"/>
                <w:sz w:val="21"/>
                <w:szCs w:val="21"/>
                <w:highlight w:val="none"/>
                <w:lang w:val="en-US"/>
              </w:rPr>
              <w:t>（12）</w:t>
            </w:r>
            <w:r>
              <w:rPr>
                <w:color w:val="auto"/>
                <w:kern w:val="2"/>
                <w:sz w:val="21"/>
                <w:szCs w:val="21"/>
                <w:highlight w:val="none"/>
                <w:lang w:val="en-US"/>
              </w:rPr>
              <w:t>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2.1.1</w:t>
            </w:r>
          </w:p>
          <w:p>
            <w:pPr>
              <w:adjustRightInd w:val="0"/>
              <w:snapToGrid w:val="0"/>
              <w:jc w:val="center"/>
              <w:rPr>
                <w:rFonts w:ascii="宋体" w:hAnsi="宋体"/>
                <w:color w:val="auto"/>
                <w:szCs w:val="21"/>
                <w:highlight w:val="none"/>
              </w:rPr>
            </w:pPr>
          </w:p>
          <w:p>
            <w:pPr>
              <w:adjustRightInd w:val="0"/>
              <w:snapToGrid w:val="0"/>
              <w:jc w:val="center"/>
              <w:rPr>
                <w:rFonts w:ascii="宋体" w:hAnsi="宋体"/>
                <w:color w:val="auto"/>
                <w:szCs w:val="21"/>
                <w:highlight w:val="none"/>
              </w:rPr>
            </w:pPr>
            <w:r>
              <w:rPr>
                <w:rFonts w:hint="eastAsia" w:ascii="宋体" w:hAnsi="宋体"/>
                <w:color w:val="auto"/>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形式评审</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与</w:t>
            </w:r>
            <w:r>
              <w:rPr>
                <w:rFonts w:hint="eastAsia" w:ascii="宋体" w:hAnsi="宋体"/>
                <w:color w:val="auto"/>
                <w:szCs w:val="21"/>
                <w:highlight w:val="none"/>
              </w:rPr>
              <w:br w:type="textWrapping"/>
            </w:r>
            <w:r>
              <w:rPr>
                <w:rFonts w:hint="eastAsia" w:ascii="宋体" w:hAnsi="宋体"/>
                <w:color w:val="auto"/>
                <w:szCs w:val="21"/>
                <w:highlight w:val="none"/>
              </w:rPr>
              <w:t>响应性评审</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Next/>
              <w:keepLines/>
              <w:adjustRightInd w:val="0"/>
              <w:snapToGrid w:val="0"/>
              <w:spacing w:line="360" w:lineRule="auto"/>
              <w:ind w:left="210" w:leftChars="100"/>
              <w:rPr>
                <w:rFonts w:ascii="宋体" w:hAnsi="宋体"/>
                <w:b/>
                <w:bCs/>
                <w:color w:val="auto"/>
                <w:szCs w:val="21"/>
                <w:highlight w:val="none"/>
              </w:rPr>
            </w:pPr>
            <w:r>
              <w:rPr>
                <w:rFonts w:hint="eastAsia" w:ascii="宋体" w:hAnsi="宋体"/>
                <w:b/>
                <w:bCs/>
                <w:color w:val="auto"/>
                <w:szCs w:val="21"/>
                <w:highlight w:val="none"/>
              </w:rPr>
              <w:t>第二个信封（报价文件）评审标准</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（1）投标文件按照招标文件规定的格式、内容填写，字迹清晰可辨：</w:t>
            </w:r>
          </w:p>
          <w:p>
            <w:pPr>
              <w:keepLines/>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投标函按招标文件规定填报了项目名称、标段号、补遗书编号（如有）、投标价（包括大写金额和小写金额）；</w:t>
            </w:r>
          </w:p>
          <w:p>
            <w:pPr>
              <w:keepLines/>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已标价工程量清单说明文字与招标文件规定一致，未进行实质性修改和删减；</w:t>
            </w:r>
          </w:p>
          <w:p>
            <w:pPr>
              <w:keepLines/>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投标文件组成齐全完整，内容均按规定填写。</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（2）</w:t>
            </w:r>
            <w:r>
              <w:rPr>
                <w:color w:val="auto"/>
                <w:kern w:val="2"/>
                <w:sz w:val="21"/>
                <w:szCs w:val="21"/>
                <w:highlight w:val="none"/>
                <w:lang w:val="en-US"/>
              </w:rPr>
              <w:t>投标文件上法定代表人或其委托代理人的签字、投标人的单位章盖章齐全，符合招标文件规定。</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（3）</w:t>
            </w:r>
            <w:r>
              <w:rPr>
                <w:color w:val="auto"/>
                <w:kern w:val="2"/>
                <w:sz w:val="21"/>
                <w:szCs w:val="21"/>
                <w:highlight w:val="none"/>
                <w:lang w:val="en-US"/>
              </w:rPr>
              <w:t>投标报价中的报价未超过招标文件设定的最高投标限价</w:t>
            </w:r>
            <w:r>
              <w:rPr>
                <w:rFonts w:hint="eastAsia"/>
                <w:color w:val="auto"/>
                <w:kern w:val="2"/>
                <w:sz w:val="21"/>
                <w:szCs w:val="21"/>
                <w:highlight w:val="none"/>
                <w:lang w:val="en-US"/>
              </w:rPr>
              <w:t>（如有）</w:t>
            </w:r>
            <w:r>
              <w:rPr>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（4）</w:t>
            </w:r>
            <w:r>
              <w:rPr>
                <w:color w:val="auto"/>
                <w:kern w:val="2"/>
                <w:sz w:val="21"/>
                <w:szCs w:val="21"/>
                <w:highlight w:val="none"/>
                <w:lang w:val="en-US"/>
              </w:rPr>
              <w:t>投标报价中报价的大写金额能够确定具体数值。</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（5）</w:t>
            </w:r>
            <w:r>
              <w:rPr>
                <w:color w:val="auto"/>
                <w:kern w:val="2"/>
                <w:sz w:val="21"/>
                <w:szCs w:val="21"/>
                <w:highlight w:val="none"/>
                <w:lang w:val="en-US"/>
              </w:rPr>
              <w:t>同一投标人</w:t>
            </w:r>
            <w:r>
              <w:rPr>
                <w:rFonts w:hint="eastAsia"/>
                <w:color w:val="auto"/>
                <w:kern w:val="2"/>
                <w:sz w:val="21"/>
                <w:szCs w:val="21"/>
                <w:highlight w:val="none"/>
                <w:lang w:val="en-US"/>
              </w:rPr>
              <w:t>对同一标段</w:t>
            </w:r>
            <w:r>
              <w:rPr>
                <w:color w:val="auto"/>
                <w:kern w:val="2"/>
                <w:sz w:val="21"/>
                <w:szCs w:val="21"/>
                <w:highlight w:val="none"/>
                <w:lang w:val="en-US"/>
              </w:rPr>
              <w:t>未提交两个以上不同的投标报价。</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（6）投标人未提交调价函。</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（7）</w:t>
            </w:r>
            <w:r>
              <w:rPr>
                <w:color w:val="auto"/>
                <w:kern w:val="2"/>
                <w:sz w:val="21"/>
                <w:szCs w:val="21"/>
                <w:highlight w:val="none"/>
                <w:lang w:val="en-US"/>
              </w:rPr>
              <w:t>投标人填写完毕的</w:t>
            </w:r>
            <w:r>
              <w:rPr>
                <w:rFonts w:hint="eastAsia"/>
                <w:color w:val="auto"/>
                <w:kern w:val="2"/>
                <w:sz w:val="21"/>
                <w:szCs w:val="21"/>
                <w:highlight w:val="none"/>
                <w:lang w:val="en-US"/>
              </w:rPr>
              <w:t>投标函或</w:t>
            </w:r>
            <w:r>
              <w:rPr>
                <w:color w:val="auto"/>
                <w:kern w:val="2"/>
                <w:sz w:val="21"/>
                <w:szCs w:val="21"/>
                <w:highlight w:val="none"/>
                <w:lang w:val="en-US"/>
              </w:rPr>
              <w:t>工程量固化清单未对</w:t>
            </w:r>
            <w:r>
              <w:rPr>
                <w:rFonts w:hint="eastAsia"/>
                <w:color w:val="auto"/>
                <w:kern w:val="2"/>
                <w:sz w:val="21"/>
                <w:szCs w:val="21"/>
                <w:highlight w:val="none"/>
                <w:lang w:val="en-US"/>
              </w:rPr>
              <w:t>投标函或</w:t>
            </w:r>
            <w:r>
              <w:rPr>
                <w:color w:val="auto"/>
                <w:kern w:val="2"/>
                <w:sz w:val="21"/>
                <w:szCs w:val="21"/>
                <w:highlight w:val="none"/>
                <w:lang w:val="en-US"/>
              </w:rPr>
              <w:t>工程量固化清单电子文件中的数据、格式和运算定义进行修改；工程量固化清单中的投标报价和投标函大写金额报价一致。</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（8）</w:t>
            </w:r>
            <w:r>
              <w:rPr>
                <w:color w:val="auto"/>
                <w:kern w:val="2"/>
                <w:sz w:val="21"/>
                <w:szCs w:val="21"/>
                <w:highlight w:val="none"/>
                <w:lang w:val="en-US"/>
              </w:rPr>
              <w:t>投标文件正、副本份数符合招标文件第二章“投标人须知”第 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（1）</w:t>
            </w:r>
            <w:r>
              <w:rPr>
                <w:color w:val="auto"/>
                <w:kern w:val="2"/>
                <w:sz w:val="21"/>
                <w:szCs w:val="21"/>
                <w:highlight w:val="none"/>
                <w:lang w:val="en-US"/>
              </w:rPr>
              <w:t>投标人具备有效的营业执照、资质证书、安全生产许可证</w:t>
            </w:r>
            <w:r>
              <w:rPr>
                <w:rFonts w:hint="eastAsia"/>
                <w:color w:val="auto"/>
                <w:kern w:val="2"/>
                <w:sz w:val="21"/>
                <w:szCs w:val="21"/>
                <w:highlight w:val="none"/>
                <w:lang w:val="en-US"/>
              </w:rPr>
              <w:t>、</w:t>
            </w:r>
            <w:r>
              <w:rPr>
                <w:color w:val="auto"/>
                <w:kern w:val="2"/>
                <w:sz w:val="21"/>
                <w:szCs w:val="21"/>
                <w:highlight w:val="none"/>
                <w:lang w:val="en-US"/>
              </w:rPr>
              <w:t>基本账户开户许可证</w:t>
            </w:r>
            <w:r>
              <w:rPr>
                <w:rFonts w:hint="eastAsia"/>
                <w:color w:val="auto"/>
                <w:kern w:val="2"/>
                <w:sz w:val="21"/>
                <w:szCs w:val="21"/>
                <w:highlight w:val="none"/>
                <w:lang w:val="en-US"/>
              </w:rPr>
              <w:t>和股东出资情况证明。</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（2）</w:t>
            </w:r>
            <w:r>
              <w:rPr>
                <w:color w:val="auto"/>
                <w:kern w:val="2"/>
                <w:sz w:val="21"/>
                <w:szCs w:val="21"/>
                <w:highlight w:val="none"/>
                <w:lang w:val="en-US"/>
              </w:rPr>
              <w:t>投标人的资质等级符合招标文件规定</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（3）</w:t>
            </w:r>
            <w:r>
              <w:rPr>
                <w:color w:val="auto"/>
                <w:kern w:val="2"/>
                <w:sz w:val="21"/>
                <w:szCs w:val="21"/>
                <w:highlight w:val="none"/>
                <w:lang w:val="en-US"/>
              </w:rPr>
              <w:t>投标人的财务状况符合招标文件规定</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（4）</w:t>
            </w:r>
            <w:r>
              <w:rPr>
                <w:color w:val="auto"/>
                <w:kern w:val="2"/>
                <w:sz w:val="21"/>
                <w:szCs w:val="21"/>
                <w:highlight w:val="none"/>
                <w:lang w:val="en-US"/>
              </w:rPr>
              <w:t>投标人的类似项目业绩符合招标文件规定</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（5）</w:t>
            </w:r>
            <w:r>
              <w:rPr>
                <w:color w:val="auto"/>
                <w:kern w:val="2"/>
                <w:sz w:val="21"/>
                <w:szCs w:val="21"/>
                <w:highlight w:val="none"/>
                <w:lang w:val="en-US"/>
              </w:rPr>
              <w:t>投标人的信誉符合招标文件规定</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（6）</w:t>
            </w:r>
            <w:r>
              <w:rPr>
                <w:color w:val="auto"/>
                <w:kern w:val="2"/>
                <w:sz w:val="21"/>
                <w:szCs w:val="21"/>
                <w:highlight w:val="none"/>
                <w:lang w:val="en-US"/>
              </w:rPr>
              <w:t>投标人</w:t>
            </w:r>
            <w:r>
              <w:rPr>
                <w:rFonts w:hint="eastAsia"/>
                <w:color w:val="auto"/>
                <w:kern w:val="2"/>
                <w:sz w:val="21"/>
                <w:szCs w:val="21"/>
                <w:highlight w:val="none"/>
                <w:lang w:val="en-US"/>
              </w:rPr>
              <w:t>的项目经理和项目总工</w:t>
            </w:r>
            <w:r>
              <w:rPr>
                <w:color w:val="auto"/>
                <w:kern w:val="2"/>
                <w:sz w:val="21"/>
                <w:szCs w:val="21"/>
                <w:highlight w:val="none"/>
                <w:lang w:val="en-US"/>
              </w:rPr>
              <w:t>资格、在岗情况符合招标文件规定</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w:t>
            </w:r>
            <w:r>
              <w:rPr>
                <w:color w:val="auto"/>
                <w:kern w:val="2"/>
                <w:sz w:val="21"/>
                <w:szCs w:val="21"/>
                <w:highlight w:val="none"/>
                <w:lang w:val="en-US"/>
              </w:rPr>
              <w:t>7</w:t>
            </w:r>
            <w:r>
              <w:rPr>
                <w:rFonts w:hint="eastAsia"/>
                <w:color w:val="auto"/>
                <w:kern w:val="2"/>
                <w:sz w:val="21"/>
                <w:szCs w:val="21"/>
                <w:highlight w:val="none"/>
                <w:lang w:val="en-US"/>
              </w:rPr>
              <w:t>）</w:t>
            </w:r>
            <w:r>
              <w:rPr>
                <w:color w:val="auto"/>
                <w:kern w:val="2"/>
                <w:sz w:val="21"/>
                <w:szCs w:val="21"/>
                <w:highlight w:val="none"/>
                <w:lang w:val="en-US"/>
              </w:rPr>
              <w:t>投标人不存在第二章“投标人须知”第1.4.3项或第1.4.4项规定的任何一种情形</w:t>
            </w:r>
            <w:r>
              <w:rPr>
                <w:rFonts w:hint="eastAsia"/>
                <w:color w:val="auto"/>
                <w:kern w:val="2"/>
                <w:sz w:val="21"/>
                <w:szCs w:val="21"/>
                <w:highlight w:val="none"/>
                <w:lang w:val="en-US"/>
              </w:rPr>
              <w:t>。</w:t>
            </w:r>
          </w:p>
          <w:p>
            <w:pPr>
              <w:pStyle w:val="124"/>
              <w:keepLines/>
              <w:shd w:val="clear" w:color="auto" w:fill="auto"/>
              <w:tabs>
                <w:tab w:val="left" w:pos="914"/>
              </w:tabs>
              <w:adjustRightInd w:val="0"/>
              <w:snapToGrid w:val="0"/>
              <w:spacing w:before="0" w:line="360" w:lineRule="auto"/>
              <w:ind w:left="210" w:leftChars="100"/>
              <w:jc w:val="both"/>
              <w:rPr>
                <w:color w:val="auto"/>
                <w:kern w:val="2"/>
                <w:sz w:val="21"/>
                <w:szCs w:val="21"/>
                <w:highlight w:val="none"/>
                <w:lang w:val="en-US"/>
              </w:rPr>
            </w:pPr>
            <w:r>
              <w:rPr>
                <w:rFonts w:hint="eastAsia"/>
                <w:color w:val="auto"/>
                <w:kern w:val="2"/>
                <w:sz w:val="21"/>
                <w:szCs w:val="21"/>
                <w:highlight w:val="none"/>
                <w:lang w:val="en-US"/>
              </w:rPr>
              <w:t>（</w:t>
            </w:r>
            <w:r>
              <w:rPr>
                <w:color w:val="auto"/>
                <w:kern w:val="2"/>
                <w:sz w:val="21"/>
                <w:szCs w:val="21"/>
                <w:highlight w:val="none"/>
                <w:lang w:val="en-US"/>
              </w:rPr>
              <w:t>8</w:t>
            </w:r>
            <w:r>
              <w:rPr>
                <w:rFonts w:hint="eastAsia"/>
                <w:color w:val="auto"/>
                <w:kern w:val="2"/>
                <w:sz w:val="21"/>
                <w:szCs w:val="21"/>
                <w:highlight w:val="none"/>
                <w:lang w:val="en-US"/>
              </w:rPr>
              <w:t>）</w:t>
            </w:r>
            <w:r>
              <w:rPr>
                <w:color w:val="auto"/>
                <w:kern w:val="2"/>
                <w:sz w:val="21"/>
                <w:szCs w:val="21"/>
                <w:highlight w:val="none"/>
                <w:lang w:val="en-US"/>
              </w:rPr>
              <w:t>投标人符合第二章“投标人须知”第1.4.5项规定</w:t>
            </w:r>
            <w:r>
              <w:rPr>
                <w:rFonts w:hint="eastAsia"/>
                <w:color w:val="auto"/>
                <w:kern w:val="2"/>
                <w:sz w:val="21"/>
                <w:szCs w:val="21"/>
                <w:highlight w:val="none"/>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分值构成</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keepLines/>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第一个信封（商务及技术文件）评分分值构成：</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kern w:val="2"/>
                <w:sz w:val="21"/>
                <w:szCs w:val="21"/>
                <w:highlight w:val="none"/>
                <w:lang w:val="en-US"/>
              </w:rPr>
              <w:t>施工组织设计</w:t>
            </w:r>
            <w:r>
              <w:rPr>
                <w:rFonts w:hint="eastAsia"/>
                <w:color w:val="auto"/>
                <w:sz w:val="21"/>
                <w:szCs w:val="21"/>
                <w:highlight w:val="none"/>
              </w:rPr>
              <w:t>：</w:t>
            </w:r>
            <w:r>
              <w:rPr>
                <w:color w:val="auto"/>
                <w:sz w:val="21"/>
                <w:szCs w:val="21"/>
                <w:highlight w:val="none"/>
              </w:rPr>
              <w:tab/>
            </w:r>
            <w:r>
              <w:rPr>
                <w:color w:val="auto"/>
                <w:sz w:val="21"/>
                <w:szCs w:val="21"/>
                <w:highlight w:val="none"/>
              </w:rPr>
              <w:t>20</w:t>
            </w:r>
            <w:r>
              <w:rPr>
                <w:rFonts w:hint="eastAsia"/>
                <w:color w:val="auto"/>
                <w:sz w:val="21"/>
                <w:szCs w:val="21"/>
                <w:highlight w:val="none"/>
              </w:rPr>
              <w:t>分</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kern w:val="2"/>
                <w:sz w:val="21"/>
                <w:szCs w:val="21"/>
                <w:highlight w:val="none"/>
                <w:lang w:val="en-US"/>
              </w:rPr>
              <w:t>主要人员</w:t>
            </w:r>
            <w:r>
              <w:rPr>
                <w:rFonts w:hint="eastAsia"/>
                <w:color w:val="auto"/>
                <w:sz w:val="21"/>
                <w:szCs w:val="21"/>
                <w:highlight w:val="none"/>
              </w:rPr>
              <w:t>：</w:t>
            </w:r>
            <w:r>
              <w:rPr>
                <w:color w:val="auto"/>
                <w:sz w:val="21"/>
                <w:szCs w:val="21"/>
                <w:highlight w:val="none"/>
              </w:rPr>
              <w:tab/>
            </w:r>
            <w:r>
              <w:rPr>
                <w:rFonts w:hint="eastAsia"/>
                <w:color w:val="auto"/>
                <w:sz w:val="21"/>
                <w:szCs w:val="21"/>
                <w:highlight w:val="none"/>
              </w:rPr>
              <w:t>1</w:t>
            </w:r>
            <w:r>
              <w:rPr>
                <w:color w:val="auto"/>
                <w:sz w:val="21"/>
                <w:szCs w:val="21"/>
                <w:highlight w:val="none"/>
              </w:rPr>
              <w:t>0</w:t>
            </w:r>
            <w:r>
              <w:rPr>
                <w:rFonts w:hint="eastAsia"/>
                <w:color w:val="auto"/>
                <w:sz w:val="21"/>
                <w:szCs w:val="21"/>
                <w:highlight w:val="none"/>
              </w:rPr>
              <w:t>分</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kern w:val="2"/>
                <w:sz w:val="21"/>
                <w:szCs w:val="21"/>
                <w:highlight w:val="none"/>
                <w:lang w:val="en-US"/>
              </w:rPr>
              <w:t>业绩</w:t>
            </w:r>
            <w:r>
              <w:rPr>
                <w:rFonts w:hint="eastAsia"/>
                <w:color w:val="auto"/>
                <w:sz w:val="21"/>
                <w:szCs w:val="21"/>
                <w:highlight w:val="none"/>
              </w:rPr>
              <w:t>：</w:t>
            </w:r>
            <w:r>
              <w:rPr>
                <w:color w:val="auto"/>
                <w:sz w:val="21"/>
                <w:szCs w:val="21"/>
                <w:highlight w:val="none"/>
              </w:rPr>
              <w:tab/>
            </w:r>
            <w:r>
              <w:rPr>
                <w:rFonts w:hint="eastAsia"/>
                <w:color w:val="auto"/>
                <w:sz w:val="21"/>
                <w:szCs w:val="21"/>
                <w:highlight w:val="none"/>
              </w:rPr>
              <w:t>7分</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kern w:val="2"/>
                <w:sz w:val="21"/>
                <w:szCs w:val="21"/>
                <w:highlight w:val="none"/>
                <w:lang w:val="en-US"/>
              </w:rPr>
              <w:t>履约信誉</w:t>
            </w:r>
            <w:r>
              <w:rPr>
                <w:rFonts w:hint="eastAsia"/>
                <w:color w:val="auto"/>
                <w:sz w:val="21"/>
                <w:szCs w:val="21"/>
                <w:highlight w:val="none"/>
              </w:rPr>
              <w:t>：</w:t>
            </w:r>
            <w:r>
              <w:rPr>
                <w:color w:val="auto"/>
                <w:sz w:val="21"/>
                <w:szCs w:val="21"/>
                <w:highlight w:val="none"/>
              </w:rPr>
              <w:tab/>
            </w:r>
            <w:r>
              <w:rPr>
                <w:color w:val="auto"/>
                <w:sz w:val="21"/>
                <w:szCs w:val="21"/>
                <w:highlight w:val="none"/>
              </w:rPr>
              <w:t>3</w:t>
            </w:r>
            <w:r>
              <w:rPr>
                <w:rFonts w:hint="eastAsia"/>
                <w:color w:val="auto"/>
                <w:sz w:val="21"/>
                <w:szCs w:val="21"/>
                <w:highlight w:val="none"/>
              </w:rPr>
              <w:t>分</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sz w:val="21"/>
                <w:szCs w:val="21"/>
                <w:highlight w:val="none"/>
              </w:rPr>
              <w:t>售后服务：</w:t>
            </w:r>
            <w:r>
              <w:rPr>
                <w:color w:val="auto"/>
                <w:sz w:val="21"/>
                <w:szCs w:val="21"/>
                <w:highlight w:val="none"/>
              </w:rPr>
              <w:tab/>
            </w:r>
            <w:r>
              <w:rPr>
                <w:rFonts w:hint="eastAsia"/>
                <w:color w:val="auto"/>
                <w:sz w:val="21"/>
                <w:szCs w:val="21"/>
                <w:highlight w:val="none"/>
              </w:rPr>
              <w:t>3分</w:t>
            </w:r>
          </w:p>
          <w:p>
            <w:pPr>
              <w:pStyle w:val="124"/>
              <w:keepLines/>
              <w:shd w:val="clear" w:color="auto" w:fill="auto"/>
              <w:tabs>
                <w:tab w:val="right" w:pos="2226"/>
              </w:tabs>
              <w:snapToGrid w:val="0"/>
              <w:spacing w:before="0" w:line="360" w:lineRule="auto"/>
              <w:ind w:firstLine="210" w:firstLineChars="100"/>
              <w:jc w:val="both"/>
              <w:rPr>
                <w:color w:val="auto"/>
                <w:sz w:val="21"/>
                <w:szCs w:val="21"/>
                <w:highlight w:val="none"/>
              </w:rPr>
            </w:pPr>
            <w:r>
              <w:rPr>
                <w:rFonts w:hint="eastAsia"/>
                <w:color w:val="auto"/>
                <w:sz w:val="21"/>
                <w:szCs w:val="21"/>
                <w:highlight w:val="none"/>
              </w:rPr>
              <w:t>主要设备：</w:t>
            </w:r>
            <w:r>
              <w:rPr>
                <w:color w:val="auto"/>
                <w:sz w:val="21"/>
                <w:szCs w:val="21"/>
                <w:highlight w:val="none"/>
              </w:rPr>
              <w:tab/>
            </w:r>
            <w:r>
              <w:rPr>
                <w:rFonts w:hint="eastAsia"/>
                <w:color w:val="auto"/>
                <w:sz w:val="21"/>
                <w:szCs w:val="21"/>
                <w:highlight w:val="none"/>
                <w:lang w:val="en-US"/>
              </w:rPr>
              <w:t>7</w:t>
            </w:r>
            <w:r>
              <w:rPr>
                <w:rFonts w:hint="eastAsia"/>
                <w:color w:val="auto"/>
                <w:sz w:val="21"/>
                <w:szCs w:val="21"/>
                <w:highlight w:val="none"/>
              </w:rPr>
              <w:t>分</w:t>
            </w:r>
          </w:p>
          <w:p>
            <w:pPr>
              <w:keepLine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第二个信封（报价文件）评分分值构成：</w:t>
            </w:r>
          </w:p>
          <w:p>
            <w:pPr>
              <w:pStyle w:val="124"/>
              <w:keepLines/>
              <w:shd w:val="clear" w:color="auto" w:fill="auto"/>
              <w:tabs>
                <w:tab w:val="right" w:pos="2226"/>
              </w:tabs>
              <w:adjustRightInd w:val="0"/>
              <w:snapToGrid w:val="0"/>
              <w:spacing w:before="0" w:line="360" w:lineRule="auto"/>
              <w:ind w:left="210" w:leftChars="100"/>
              <w:jc w:val="both"/>
              <w:rPr>
                <w:color w:val="auto"/>
                <w:sz w:val="21"/>
                <w:szCs w:val="21"/>
                <w:highlight w:val="none"/>
              </w:rPr>
            </w:pPr>
            <w:r>
              <w:rPr>
                <w:rFonts w:hint="eastAsia"/>
                <w:color w:val="auto"/>
                <w:kern w:val="2"/>
                <w:sz w:val="21"/>
                <w:szCs w:val="21"/>
                <w:highlight w:val="none"/>
                <w:lang w:val="en-US"/>
              </w:rPr>
              <w:t>评标价</w:t>
            </w:r>
            <w:r>
              <w:rPr>
                <w:rFonts w:hint="eastAsia"/>
                <w:color w:val="auto"/>
                <w:sz w:val="21"/>
                <w:szCs w:val="21"/>
                <w:highlight w:val="none"/>
              </w:rPr>
              <w:t>：</w:t>
            </w:r>
            <w:r>
              <w:rPr>
                <w:color w:val="auto"/>
                <w:sz w:val="21"/>
                <w:szCs w:val="21"/>
                <w:highlight w:val="none"/>
              </w:rPr>
              <w:tab/>
            </w:r>
            <w:r>
              <w:rPr>
                <w:rFonts w:hint="eastAsia"/>
                <w:color w:val="auto"/>
                <w:sz w:val="21"/>
                <w:szCs w:val="21"/>
                <w:highlight w:val="none"/>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39"/>
              <w:keepLines/>
              <w:widowControl w:val="0"/>
              <w:shd w:val="clear" w:color="auto" w:fill="FFFFFF"/>
              <w:tabs>
                <w:tab w:val="left" w:pos="914"/>
              </w:tabs>
              <w:snapToGrid w:val="0"/>
              <w:spacing w:before="0" w:beforeAutospacing="0" w:after="0" w:afterAutospacing="0" w:line="360" w:lineRule="auto"/>
              <w:ind w:firstLine="210" w:firstLineChars="100"/>
              <w:jc w:val="both"/>
              <w:rPr>
                <w:color w:val="auto"/>
                <w:kern w:val="2"/>
                <w:sz w:val="21"/>
                <w:szCs w:val="21"/>
                <w:highlight w:val="none"/>
              </w:rPr>
            </w:pPr>
            <w:r>
              <w:rPr>
                <w:rFonts w:hint="eastAsia" w:cs="宋体"/>
                <w:color w:val="auto"/>
                <w:kern w:val="2"/>
                <w:sz w:val="21"/>
                <w:szCs w:val="21"/>
                <w:highlight w:val="none"/>
              </w:rPr>
              <w:t>评标基准价的计算：</w:t>
            </w:r>
          </w:p>
          <w:p>
            <w:pPr>
              <w:pStyle w:val="39"/>
              <w:keepLines/>
              <w:widowControl w:val="0"/>
              <w:shd w:val="clear" w:color="auto" w:fill="FFFFFF"/>
              <w:tabs>
                <w:tab w:val="left" w:pos="914"/>
              </w:tabs>
              <w:snapToGrid w:val="0"/>
              <w:spacing w:before="0" w:beforeAutospacing="0" w:after="0" w:afterAutospacing="0" w:line="360" w:lineRule="auto"/>
              <w:ind w:firstLine="210" w:firstLineChars="100"/>
              <w:jc w:val="both"/>
              <w:rPr>
                <w:color w:val="auto"/>
                <w:kern w:val="2"/>
                <w:sz w:val="21"/>
                <w:szCs w:val="21"/>
                <w:highlight w:val="none"/>
              </w:rPr>
            </w:pPr>
            <w:r>
              <w:rPr>
                <w:rFonts w:hint="eastAsia" w:cs="宋体"/>
                <w:color w:val="auto"/>
                <w:kern w:val="2"/>
                <w:sz w:val="21"/>
                <w:szCs w:val="21"/>
                <w:highlight w:val="none"/>
              </w:rPr>
              <w:t>在开标现场，招标人将当场计算并宣布评标基准价。</w:t>
            </w:r>
          </w:p>
          <w:p>
            <w:pPr>
              <w:pStyle w:val="39"/>
              <w:keepLines/>
              <w:widowControl w:val="0"/>
              <w:shd w:val="clear" w:color="auto" w:fill="FFFFFF"/>
              <w:tabs>
                <w:tab w:val="left" w:pos="914"/>
              </w:tabs>
              <w:snapToGrid w:val="0"/>
              <w:spacing w:before="0" w:beforeAutospacing="0" w:after="0" w:afterAutospacing="0" w:line="360" w:lineRule="auto"/>
              <w:ind w:firstLine="210" w:firstLineChars="100"/>
              <w:jc w:val="both"/>
              <w:rPr>
                <w:color w:val="auto"/>
                <w:kern w:val="2"/>
                <w:sz w:val="21"/>
                <w:szCs w:val="21"/>
                <w:highlight w:val="none"/>
              </w:rPr>
            </w:pPr>
            <w:r>
              <w:rPr>
                <w:rFonts w:hint="eastAsia" w:cs="宋体"/>
                <w:color w:val="auto"/>
                <w:kern w:val="2"/>
                <w:sz w:val="21"/>
                <w:szCs w:val="21"/>
                <w:highlight w:val="none"/>
              </w:rPr>
              <w:t>（1）评标价的确定：评标价＝投标函文字报价</w:t>
            </w:r>
          </w:p>
          <w:p>
            <w:pPr>
              <w:keepLines/>
              <w:tabs>
                <w:tab w:val="left" w:pos="914"/>
              </w:tabs>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评标价平均值的计算：除按第二章“投标人须知”第5.2.4项规定开标现场被宣布为不进入评标基准价计算的投标报价之外，所有在最高投标限价的85%（含85%）至100%（含100%）之间的投标人的评标价去掉一个最高值和一个最低值后的算术平均值即为评标价平均值（如果参与评标价平均值计算的有效投标人少于5家时，则计算评标价平均值时不去掉最高值和最低值），评标价平均值四舍五入精确至个位。</w:t>
            </w:r>
          </w:p>
          <w:p>
            <w:pPr>
              <w:widowControl/>
              <w:snapToGrid w:val="0"/>
              <w:spacing w:line="360" w:lineRule="auto"/>
              <w:ind w:firstLine="420" w:firstLineChars="200"/>
              <w:jc w:val="left"/>
              <w:rPr>
                <w:rFonts w:hint="eastAsia"/>
                <w:color w:val="auto"/>
                <w:szCs w:val="21"/>
                <w:highlight w:val="none"/>
              </w:rPr>
            </w:pPr>
            <w:r>
              <w:rPr>
                <w:rFonts w:hint="eastAsia"/>
                <w:color w:val="auto"/>
                <w:szCs w:val="21"/>
                <w:highlight w:val="none"/>
              </w:rPr>
              <w:t>（3）评标基准价的确定：</w:t>
            </w:r>
          </w:p>
          <w:p>
            <w:pPr>
              <w:widowControl/>
              <w:snapToGrid w:val="0"/>
              <w:spacing w:line="360" w:lineRule="auto"/>
              <w:ind w:firstLine="420" w:firstLineChars="200"/>
              <w:jc w:val="left"/>
              <w:rPr>
                <w:rFonts w:hint="eastAsia"/>
                <w:color w:val="auto"/>
                <w:szCs w:val="21"/>
                <w:highlight w:val="none"/>
              </w:rPr>
            </w:pPr>
            <m:oMathPara>
              <m:oMath>
                <m:r>
                  <m:rPr>
                    <m:sty m:val="p"/>
                  </m:rPr>
                  <w:rPr>
                    <w:rFonts w:hint="eastAsia" w:ascii="Cambria Math" w:hAnsi="Cambria Math"/>
                    <w:color w:val="auto"/>
                    <w:szCs w:val="21"/>
                    <w:highlight w:val="none"/>
                  </w:rPr>
                  <m:t>C=</m:t>
                </m:r>
                <m:f>
                  <m:fPr>
                    <m:ctrlPr>
                      <w:rPr>
                        <w:rFonts w:hint="eastAsia" w:ascii="Cambria Math" w:hAnsi="Cambria Math"/>
                        <w:color w:val="auto"/>
                        <w:szCs w:val="21"/>
                        <w:highlight w:val="none"/>
                      </w:rPr>
                    </m:ctrlPr>
                  </m:fPr>
                  <m:num>
                    <m:r>
                      <m:rPr>
                        <m:sty m:val="p"/>
                      </m:rPr>
                      <w:rPr>
                        <w:rFonts w:hint="eastAsia" w:ascii="Cambria Math" w:hAnsi="Cambria Math"/>
                        <w:color w:val="auto"/>
                        <w:szCs w:val="21"/>
                        <w:highlight w:val="none"/>
                      </w:rPr>
                      <m:t>A+B</m:t>
                    </m:r>
                    <m:ctrlPr>
                      <w:rPr>
                        <w:rFonts w:hint="eastAsia" w:ascii="Cambria Math" w:hAnsi="Cambria Math"/>
                        <w:color w:val="auto"/>
                        <w:szCs w:val="21"/>
                        <w:highlight w:val="none"/>
                      </w:rPr>
                    </m:ctrlPr>
                  </m:num>
                  <m:den>
                    <m:r>
                      <m:rPr>
                        <m:sty m:val="p"/>
                      </m:rPr>
                      <w:rPr>
                        <w:rFonts w:hint="eastAsia" w:ascii="Cambria Math" w:hAnsi="Cambria Math"/>
                        <w:color w:val="auto"/>
                        <w:szCs w:val="21"/>
                        <w:highlight w:val="none"/>
                      </w:rPr>
                      <m:t>2</m:t>
                    </m:r>
                    <m:ctrlPr>
                      <w:rPr>
                        <w:rFonts w:hint="eastAsia" w:ascii="Cambria Math" w:hAnsi="Cambria Math"/>
                        <w:color w:val="auto"/>
                        <w:szCs w:val="21"/>
                        <w:highlight w:val="none"/>
                      </w:rPr>
                    </m:ctrlPr>
                  </m:den>
                </m:f>
              </m:oMath>
            </m:oMathPara>
          </w:p>
          <w:p>
            <w:pPr>
              <w:widowControl/>
              <w:snapToGrid w:val="0"/>
              <w:spacing w:line="360" w:lineRule="auto"/>
              <w:ind w:firstLine="420" w:firstLineChars="200"/>
              <w:jc w:val="left"/>
              <w:rPr>
                <w:rFonts w:hint="eastAsia"/>
                <w:color w:val="auto"/>
                <w:szCs w:val="21"/>
                <w:highlight w:val="none"/>
              </w:rPr>
            </w:pPr>
            <w:r>
              <w:rPr>
                <w:rFonts w:hint="eastAsia"/>
                <w:color w:val="auto"/>
                <w:szCs w:val="21"/>
                <w:highlight w:val="none"/>
              </w:rPr>
              <w:t>C - 评标基准价，四舍五入精确至个位；</w:t>
            </w:r>
          </w:p>
          <w:p>
            <w:pPr>
              <w:widowControl/>
              <w:snapToGrid w:val="0"/>
              <w:spacing w:line="360" w:lineRule="auto"/>
              <w:ind w:firstLine="420" w:firstLineChars="200"/>
              <w:jc w:val="left"/>
              <w:rPr>
                <w:rFonts w:hint="eastAsia"/>
                <w:color w:val="auto"/>
                <w:szCs w:val="21"/>
                <w:highlight w:val="none"/>
              </w:rPr>
            </w:pPr>
            <w:r>
              <w:rPr>
                <w:rFonts w:hint="eastAsia"/>
                <w:color w:val="auto"/>
                <w:szCs w:val="21"/>
                <w:highlight w:val="none"/>
              </w:rPr>
              <w:t>A - 最高投标限价；</w:t>
            </w:r>
          </w:p>
          <w:p>
            <w:pPr>
              <w:widowControl/>
              <w:snapToGrid w:val="0"/>
              <w:spacing w:line="360" w:lineRule="auto"/>
              <w:ind w:firstLine="420" w:firstLineChars="200"/>
              <w:jc w:val="left"/>
              <w:rPr>
                <w:rFonts w:hint="eastAsia"/>
                <w:color w:val="auto"/>
                <w:szCs w:val="21"/>
                <w:highlight w:val="none"/>
              </w:rPr>
            </w:pPr>
            <w:r>
              <w:rPr>
                <w:rFonts w:hint="eastAsia"/>
                <w:color w:val="auto"/>
                <w:szCs w:val="21"/>
                <w:highlight w:val="none"/>
              </w:rPr>
              <w:t>B - 评标价平均值。</w:t>
            </w:r>
          </w:p>
          <w:p>
            <w:pPr>
              <w:widowControl/>
              <w:snapToGrid w:val="0"/>
              <w:spacing w:line="360" w:lineRule="auto"/>
              <w:ind w:firstLine="420" w:firstLineChars="200"/>
              <w:jc w:val="left"/>
              <w:rPr>
                <w:color w:val="auto"/>
                <w:szCs w:val="21"/>
                <w:highlight w:val="none"/>
              </w:rPr>
            </w:pPr>
            <w:r>
              <w:rPr>
                <w:rFonts w:hint="eastAsia"/>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124"/>
              <w:keepLines/>
              <w:shd w:val="clear" w:color="auto" w:fill="auto"/>
              <w:tabs>
                <w:tab w:val="left" w:pos="914"/>
              </w:tabs>
              <w:snapToGrid w:val="0"/>
              <w:spacing w:before="0" w:line="360" w:lineRule="auto"/>
              <w:ind w:firstLine="210" w:firstLineChars="100"/>
              <w:jc w:val="both"/>
              <w:rPr>
                <w:color w:val="auto"/>
                <w:kern w:val="2"/>
                <w:sz w:val="21"/>
                <w:szCs w:val="21"/>
                <w:highlight w:val="none"/>
                <w:lang w:val="en-US"/>
              </w:rPr>
            </w:pPr>
            <w:r>
              <w:rPr>
                <w:rFonts w:hint="eastAsia"/>
                <w:color w:val="auto"/>
                <w:kern w:val="2"/>
                <w:sz w:val="21"/>
                <w:szCs w:val="21"/>
                <w:highlight w:val="none"/>
                <w:lang w:val="en-US"/>
              </w:rPr>
              <w:t>偏差率=100%×（投标人评标价－评标基准价）/评标基准价</w:t>
            </w:r>
          </w:p>
          <w:p>
            <w:pPr>
              <w:pStyle w:val="124"/>
              <w:keepLines/>
              <w:shd w:val="clear" w:color="auto" w:fill="auto"/>
              <w:tabs>
                <w:tab w:val="left" w:pos="914"/>
              </w:tabs>
              <w:snapToGrid w:val="0"/>
              <w:spacing w:before="0" w:line="360" w:lineRule="auto"/>
              <w:ind w:firstLine="210" w:firstLineChars="100"/>
              <w:jc w:val="both"/>
              <w:rPr>
                <w:color w:val="auto"/>
                <w:sz w:val="21"/>
                <w:szCs w:val="21"/>
                <w:highlight w:val="none"/>
              </w:rPr>
            </w:pPr>
            <w:r>
              <w:rPr>
                <w:rFonts w:hint="eastAsia"/>
                <w:color w:val="auto"/>
                <w:kern w:val="2"/>
                <w:sz w:val="21"/>
                <w:szCs w:val="21"/>
                <w:highlight w:val="none"/>
                <w:lang w:val="en-US"/>
              </w:rPr>
              <w:t>偏差率（以百分数形式表示）保留两位小数，如**.**</w:t>
            </w:r>
            <w:r>
              <w:rPr>
                <w:color w:val="auto"/>
                <w:kern w:val="2"/>
                <w:sz w:val="21"/>
                <w:szCs w:val="21"/>
                <w:highlight w:val="none"/>
                <w:lang w:val="en-US"/>
              </w:rPr>
              <w:t>%</w:t>
            </w:r>
          </w:p>
        </w:tc>
      </w:tr>
    </w:tbl>
    <w:p>
      <w:pPr>
        <w:rPr>
          <w:color w:val="auto"/>
          <w:highlight w:val="none"/>
        </w:rPr>
      </w:pPr>
    </w:p>
    <w:p>
      <w:pPr>
        <w:widowControl/>
        <w:jc w:val="left"/>
        <w:rPr>
          <w:rFonts w:ascii="黑体" w:hAnsi="黑体" w:eastAsia="黑体"/>
          <w:color w:val="auto"/>
          <w:sz w:val="28"/>
          <w:szCs w:val="28"/>
          <w:highlight w:val="none"/>
        </w:rPr>
      </w:pPr>
      <w:r>
        <w:rPr>
          <w:rFonts w:ascii="黑体" w:hAnsi="黑体" w:eastAsia="黑体"/>
          <w:color w:val="auto"/>
          <w:sz w:val="28"/>
          <w:szCs w:val="28"/>
          <w:highlight w:val="none"/>
        </w:rPr>
        <w:br w:type="page"/>
      </w:r>
    </w:p>
    <w:p>
      <w:pPr>
        <w:rPr>
          <w:color w:val="auto"/>
          <w:highlight w:val="none"/>
          <w:lang w:val="zh-CN"/>
        </w:rPr>
      </w:pPr>
    </w:p>
    <w:tbl>
      <w:tblPr>
        <w:tblStyle w:val="43"/>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346"/>
        <w:gridCol w:w="346"/>
        <w:gridCol w:w="538"/>
        <w:gridCol w:w="987"/>
        <w:gridCol w:w="550"/>
        <w:gridCol w:w="56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3426" w:type="dxa"/>
            <w:gridSpan w:val="6"/>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评分因素与权重分值</w:t>
            </w:r>
            <w:r>
              <w:rPr>
                <w:rStyle w:val="55"/>
                <w:rFonts w:ascii="宋体" w:hAnsi="宋体"/>
                <w:b/>
                <w:color w:val="auto"/>
                <w:szCs w:val="21"/>
                <w:highlight w:val="none"/>
              </w:rPr>
              <w:footnoteReference w:id="3"/>
            </w:r>
          </w:p>
        </w:tc>
        <w:tc>
          <w:tcPr>
            <w:tcW w:w="5628" w:type="dxa"/>
            <w:vMerge w:val="restar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692" w:type="dxa"/>
            <w:gridSpan w:val="2"/>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评分</w:t>
            </w:r>
            <w:r>
              <w:rPr>
                <w:rFonts w:hint="eastAsia" w:ascii="宋体" w:hAnsi="宋体"/>
                <w:b/>
                <w:color w:val="auto"/>
                <w:szCs w:val="21"/>
                <w:highlight w:val="none"/>
              </w:rPr>
              <w:br w:type="textWrapping"/>
            </w:r>
            <w:r>
              <w:rPr>
                <w:rFonts w:hint="eastAsia" w:ascii="宋体" w:hAnsi="宋体"/>
                <w:b/>
                <w:color w:val="auto"/>
                <w:szCs w:val="21"/>
                <w:highlight w:val="none"/>
              </w:rPr>
              <w:t>因素</w:t>
            </w:r>
          </w:p>
        </w:tc>
        <w:tc>
          <w:tcPr>
            <w:tcW w:w="538" w:type="dxa"/>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权重</w:t>
            </w:r>
          </w:p>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分值</w:t>
            </w:r>
          </w:p>
        </w:tc>
        <w:tc>
          <w:tcPr>
            <w:tcW w:w="987" w:type="dxa"/>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各评分因</w:t>
            </w:r>
          </w:p>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素细分项</w:t>
            </w:r>
          </w:p>
        </w:tc>
        <w:tc>
          <w:tcPr>
            <w:tcW w:w="550" w:type="dxa"/>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分值</w:t>
            </w:r>
          </w:p>
        </w:tc>
        <w:tc>
          <w:tcPr>
            <w:tcW w:w="5628" w:type="dxa"/>
            <w:vMerge w:val="continue"/>
            <w:vAlign w:val="center"/>
          </w:tcPr>
          <w:p>
            <w:pPr>
              <w:widowControl/>
              <w:snapToGrid w:val="0"/>
              <w:spacing w:line="360" w:lineRule="auto"/>
              <w:jc w:val="center"/>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2.2.4</w:t>
            </w:r>
          </w:p>
          <w:p>
            <w:pPr>
              <w:adjustRightInd w:val="0"/>
              <w:snapToGrid w:val="0"/>
              <w:jc w:val="center"/>
              <w:rPr>
                <w:rFonts w:ascii="宋体" w:hAnsi="宋体"/>
                <w:b/>
                <w:color w:val="auto"/>
                <w:szCs w:val="21"/>
                <w:highlight w:val="none"/>
              </w:rPr>
            </w:pPr>
            <w:r>
              <w:rPr>
                <w:rFonts w:hint="eastAsia" w:ascii="宋体" w:hAnsi="宋体"/>
                <w:color w:val="auto"/>
                <w:szCs w:val="21"/>
                <w:highlight w:val="none"/>
              </w:rPr>
              <w:t>（1）</w:t>
            </w:r>
          </w:p>
        </w:tc>
        <w:tc>
          <w:tcPr>
            <w:tcW w:w="692" w:type="dxa"/>
            <w:gridSpan w:val="2"/>
            <w:vMerge w:val="restart"/>
            <w:vAlign w:val="center"/>
          </w:tcPr>
          <w:p>
            <w:pPr>
              <w:adjustRightInd w:val="0"/>
              <w:snapToGrid w:val="0"/>
              <w:jc w:val="center"/>
              <w:rPr>
                <w:rFonts w:ascii="宋体" w:hAnsi="宋体"/>
                <w:b/>
                <w:color w:val="auto"/>
                <w:szCs w:val="21"/>
                <w:highlight w:val="none"/>
              </w:rPr>
            </w:pPr>
            <w:r>
              <w:rPr>
                <w:rFonts w:hint="eastAsia" w:ascii="宋体" w:hAnsi="宋体"/>
                <w:color w:val="auto"/>
                <w:szCs w:val="21"/>
                <w:highlight w:val="none"/>
              </w:rPr>
              <w:t>施工组织设计</w:t>
            </w:r>
          </w:p>
        </w:tc>
        <w:tc>
          <w:tcPr>
            <w:tcW w:w="538" w:type="dxa"/>
            <w:vMerge w:val="restart"/>
            <w:vAlign w:val="center"/>
          </w:tcPr>
          <w:p>
            <w:pPr>
              <w:adjustRightInd w:val="0"/>
              <w:snapToGrid w:val="0"/>
              <w:jc w:val="center"/>
              <w:rPr>
                <w:rFonts w:ascii="宋体" w:hAnsi="宋体"/>
                <w:b/>
                <w:color w:val="auto"/>
                <w:szCs w:val="21"/>
                <w:highlight w:val="none"/>
              </w:rPr>
            </w:pPr>
            <w:r>
              <w:rPr>
                <w:rFonts w:ascii="宋体" w:hAnsi="宋体"/>
                <w:color w:val="auto"/>
                <w:szCs w:val="21"/>
                <w:highlight w:val="none"/>
              </w:rPr>
              <w:t>20</w:t>
            </w:r>
            <w:r>
              <w:rPr>
                <w:rFonts w:hint="eastAsia" w:ascii="宋体" w:hAnsi="宋体"/>
                <w:color w:val="auto"/>
                <w:szCs w:val="21"/>
                <w:highlight w:val="none"/>
              </w:rPr>
              <w:t>分</w:t>
            </w:r>
          </w:p>
        </w:tc>
        <w:tc>
          <w:tcPr>
            <w:tcW w:w="987"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szCs w:val="21"/>
                <w:highlight w:val="none"/>
                <w:lang w:val="zh-CN"/>
              </w:rPr>
              <w:t>项目整体解决方案</w:t>
            </w:r>
          </w:p>
        </w:tc>
        <w:tc>
          <w:tcPr>
            <w:tcW w:w="550" w:type="dxa"/>
            <w:vAlign w:val="center"/>
          </w:tcPr>
          <w:p>
            <w:pPr>
              <w:adjustRightInd w:val="0"/>
              <w:snapToGrid w:val="0"/>
              <w:jc w:val="center"/>
              <w:rPr>
                <w:rFonts w:ascii="宋体" w:hAnsi="宋体"/>
                <w:bCs/>
                <w:color w:val="auto"/>
                <w:szCs w:val="21"/>
                <w:highlight w:val="none"/>
              </w:rPr>
            </w:pPr>
            <w:r>
              <w:rPr>
                <w:rFonts w:hint="eastAsia" w:ascii="宋体" w:hAnsi="宋体"/>
                <w:bCs/>
                <w:color w:val="auto"/>
                <w:szCs w:val="21"/>
                <w:highlight w:val="none"/>
              </w:rPr>
              <w:t>2</w:t>
            </w:r>
          </w:p>
        </w:tc>
        <w:tc>
          <w:tcPr>
            <w:tcW w:w="5628" w:type="dxa"/>
            <w:vAlign w:val="center"/>
          </w:tcPr>
          <w:p>
            <w:pPr>
              <w:widowControl/>
              <w:tabs>
                <w:tab w:val="right" w:pos="2100"/>
              </w:tabs>
              <w:snapToGrid w:val="0"/>
              <w:spacing w:line="360" w:lineRule="atLeast"/>
              <w:ind w:firstLine="210"/>
              <w:rPr>
                <w:rFonts w:ascii="宋体" w:hAnsi="宋体"/>
                <w:color w:val="auto"/>
                <w:kern w:val="0"/>
                <w:szCs w:val="21"/>
                <w:highlight w:val="none"/>
              </w:rPr>
            </w:pPr>
            <w:r>
              <w:rPr>
                <w:rFonts w:hint="eastAsia" w:ascii="宋体" w:hAnsi="宋体"/>
                <w:color w:val="auto"/>
                <w:kern w:val="0"/>
                <w:szCs w:val="21"/>
                <w:highlight w:val="none"/>
              </w:rPr>
              <w:t>一般，得</w:t>
            </w:r>
            <w:r>
              <w:rPr>
                <w:rFonts w:ascii="宋体" w:hAnsi="宋体"/>
                <w:color w:val="auto"/>
                <w:kern w:val="0"/>
                <w:szCs w:val="21"/>
                <w:highlight w:val="none"/>
              </w:rPr>
              <w:t>1.2</w:t>
            </w:r>
            <w:r>
              <w:rPr>
                <w:rFonts w:hint="eastAsia" w:ascii="宋体" w:hAnsi="宋体"/>
                <w:color w:val="auto"/>
                <w:kern w:val="0"/>
                <w:szCs w:val="21"/>
                <w:highlight w:val="none"/>
              </w:rPr>
              <w:t>～</w:t>
            </w:r>
            <w:r>
              <w:rPr>
                <w:rFonts w:ascii="宋体" w:hAnsi="宋体"/>
                <w:color w:val="auto"/>
                <w:kern w:val="0"/>
                <w:szCs w:val="21"/>
                <w:highlight w:val="none"/>
              </w:rPr>
              <w:t>1.6</w:t>
            </w:r>
            <w:r>
              <w:rPr>
                <w:rFonts w:hint="eastAsia" w:ascii="宋体" w:hAnsi="宋体"/>
                <w:color w:val="auto"/>
                <w:kern w:val="0"/>
                <w:szCs w:val="21"/>
                <w:highlight w:val="none"/>
              </w:rPr>
              <w:t>分；</w:t>
            </w:r>
          </w:p>
          <w:p>
            <w:pPr>
              <w:widowControl/>
              <w:snapToGrid w:val="0"/>
              <w:spacing w:line="360" w:lineRule="auto"/>
              <w:ind w:firstLine="210" w:firstLineChars="100"/>
              <w:rPr>
                <w:rFonts w:ascii="宋体" w:hAnsi="宋体"/>
                <w:b/>
                <w:color w:val="auto"/>
                <w:szCs w:val="21"/>
                <w:highlight w:val="none"/>
              </w:rPr>
            </w:pPr>
            <w:r>
              <w:rPr>
                <w:rFonts w:hint="eastAsia" w:ascii="宋体" w:hAnsi="宋体"/>
                <w:color w:val="auto"/>
                <w:kern w:val="0"/>
                <w:szCs w:val="21"/>
                <w:highlight w:val="none"/>
              </w:rPr>
              <w:t>较好，得</w:t>
            </w:r>
            <w:r>
              <w:rPr>
                <w:rFonts w:ascii="宋体" w:hAnsi="宋体"/>
                <w:color w:val="auto"/>
                <w:kern w:val="0"/>
                <w:szCs w:val="21"/>
                <w:highlight w:val="none"/>
              </w:rPr>
              <w:t>1.6</w:t>
            </w:r>
            <w:r>
              <w:rPr>
                <w:rFonts w:hint="eastAsia" w:ascii="宋体" w:hAnsi="宋体"/>
                <w:color w:val="auto"/>
                <w:kern w:val="0"/>
                <w:szCs w:val="21"/>
                <w:highlight w:val="none"/>
              </w:rPr>
              <w:t>～</w:t>
            </w:r>
            <w:r>
              <w:rPr>
                <w:rFonts w:ascii="宋体" w:hAnsi="宋体"/>
                <w:color w:val="auto"/>
                <w:kern w:val="0"/>
                <w:szCs w:val="21"/>
                <w:highlight w:val="none"/>
              </w:rPr>
              <w:t>2.0</w:t>
            </w:r>
            <w:r>
              <w:rPr>
                <w:rFonts w:hint="eastAsia" w:ascii="宋体" w:hAnsi="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ascii="宋体" w:hAnsi="宋体"/>
                <w:b/>
                <w:color w:val="auto"/>
                <w:szCs w:val="21"/>
                <w:highlight w:val="none"/>
              </w:rPr>
            </w:pPr>
          </w:p>
        </w:tc>
        <w:tc>
          <w:tcPr>
            <w:tcW w:w="692" w:type="dxa"/>
            <w:gridSpan w:val="2"/>
            <w:vMerge w:val="continue"/>
            <w:vAlign w:val="center"/>
          </w:tcPr>
          <w:p>
            <w:pPr>
              <w:adjustRightInd w:val="0"/>
              <w:snapToGrid w:val="0"/>
              <w:jc w:val="center"/>
              <w:rPr>
                <w:rFonts w:ascii="宋体" w:hAnsi="宋体"/>
                <w:b/>
                <w:color w:val="auto"/>
                <w:szCs w:val="21"/>
                <w:highlight w:val="none"/>
              </w:rPr>
            </w:pPr>
          </w:p>
        </w:tc>
        <w:tc>
          <w:tcPr>
            <w:tcW w:w="538" w:type="dxa"/>
            <w:vMerge w:val="continue"/>
            <w:vAlign w:val="center"/>
          </w:tcPr>
          <w:p>
            <w:pPr>
              <w:adjustRightInd w:val="0"/>
              <w:snapToGrid w:val="0"/>
              <w:jc w:val="center"/>
              <w:rPr>
                <w:rFonts w:ascii="宋体" w:hAnsi="宋体"/>
                <w:b/>
                <w:color w:val="auto"/>
                <w:szCs w:val="21"/>
                <w:highlight w:val="none"/>
              </w:rPr>
            </w:pPr>
          </w:p>
        </w:tc>
        <w:tc>
          <w:tcPr>
            <w:tcW w:w="987"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szCs w:val="21"/>
                <w:highlight w:val="none"/>
                <w:lang w:val="zh-CN"/>
              </w:rPr>
              <w:t>主要工程项目的建设方案</w:t>
            </w:r>
          </w:p>
        </w:tc>
        <w:tc>
          <w:tcPr>
            <w:tcW w:w="550" w:type="dxa"/>
            <w:vAlign w:val="center"/>
          </w:tcPr>
          <w:p>
            <w:pPr>
              <w:adjustRightInd w:val="0"/>
              <w:snapToGrid w:val="0"/>
              <w:jc w:val="center"/>
              <w:rPr>
                <w:rFonts w:ascii="宋体" w:hAnsi="宋体"/>
                <w:bCs/>
                <w:color w:val="auto"/>
                <w:szCs w:val="21"/>
                <w:highlight w:val="none"/>
              </w:rPr>
            </w:pPr>
            <w:r>
              <w:rPr>
                <w:rFonts w:hint="eastAsia" w:ascii="宋体" w:hAnsi="宋体"/>
                <w:bCs/>
                <w:color w:val="auto"/>
                <w:szCs w:val="21"/>
                <w:highlight w:val="none"/>
              </w:rPr>
              <w:t>10</w:t>
            </w:r>
          </w:p>
        </w:tc>
        <w:tc>
          <w:tcPr>
            <w:tcW w:w="5628" w:type="dxa"/>
            <w:vAlign w:val="center"/>
          </w:tcPr>
          <w:p>
            <w:pPr>
              <w:widowControl/>
              <w:tabs>
                <w:tab w:val="right" w:pos="2100"/>
              </w:tabs>
              <w:snapToGrid w:val="0"/>
              <w:spacing w:line="360" w:lineRule="atLeast"/>
              <w:ind w:firstLine="210"/>
              <w:rPr>
                <w:rFonts w:ascii="宋体" w:hAnsi="宋体"/>
                <w:color w:val="auto"/>
                <w:kern w:val="0"/>
                <w:szCs w:val="21"/>
                <w:highlight w:val="none"/>
              </w:rPr>
            </w:pPr>
            <w:r>
              <w:rPr>
                <w:rFonts w:hint="eastAsia" w:ascii="宋体" w:hAnsi="宋体"/>
                <w:color w:val="auto"/>
                <w:kern w:val="0"/>
                <w:szCs w:val="21"/>
                <w:highlight w:val="none"/>
              </w:rPr>
              <w:t>一般，得</w:t>
            </w:r>
            <w:r>
              <w:rPr>
                <w:rFonts w:ascii="宋体" w:hAnsi="宋体"/>
                <w:color w:val="auto"/>
                <w:kern w:val="0"/>
                <w:szCs w:val="21"/>
                <w:highlight w:val="none"/>
              </w:rPr>
              <w:t>6.0</w:t>
            </w:r>
            <w:r>
              <w:rPr>
                <w:rFonts w:hint="eastAsia" w:ascii="宋体" w:hAnsi="宋体"/>
                <w:color w:val="auto"/>
                <w:kern w:val="0"/>
                <w:szCs w:val="21"/>
                <w:highlight w:val="none"/>
              </w:rPr>
              <w:t>～</w:t>
            </w:r>
            <w:r>
              <w:rPr>
                <w:rFonts w:ascii="宋体" w:hAnsi="宋体"/>
                <w:color w:val="auto"/>
                <w:kern w:val="0"/>
                <w:szCs w:val="21"/>
                <w:highlight w:val="none"/>
              </w:rPr>
              <w:t>8.0</w:t>
            </w:r>
            <w:r>
              <w:rPr>
                <w:rFonts w:hint="eastAsia" w:ascii="宋体" w:hAnsi="宋体"/>
                <w:color w:val="auto"/>
                <w:kern w:val="0"/>
                <w:szCs w:val="21"/>
                <w:highlight w:val="none"/>
              </w:rPr>
              <w:t>分；</w:t>
            </w:r>
          </w:p>
          <w:p>
            <w:pPr>
              <w:widowControl/>
              <w:snapToGrid w:val="0"/>
              <w:spacing w:line="360" w:lineRule="auto"/>
              <w:ind w:firstLine="210" w:firstLineChars="100"/>
              <w:rPr>
                <w:rFonts w:ascii="宋体" w:hAnsi="宋体"/>
                <w:b/>
                <w:color w:val="auto"/>
                <w:szCs w:val="21"/>
                <w:highlight w:val="none"/>
              </w:rPr>
            </w:pPr>
            <w:r>
              <w:rPr>
                <w:rFonts w:hint="eastAsia" w:ascii="宋体" w:hAnsi="宋体"/>
                <w:color w:val="auto"/>
                <w:kern w:val="0"/>
                <w:szCs w:val="21"/>
                <w:highlight w:val="none"/>
              </w:rPr>
              <w:t>较好，得</w:t>
            </w:r>
            <w:r>
              <w:rPr>
                <w:rFonts w:ascii="宋体" w:hAnsi="宋体"/>
                <w:color w:val="auto"/>
                <w:kern w:val="0"/>
                <w:szCs w:val="21"/>
                <w:highlight w:val="none"/>
              </w:rPr>
              <w:t>8.0</w:t>
            </w:r>
            <w:r>
              <w:rPr>
                <w:rFonts w:hint="eastAsia" w:ascii="宋体" w:hAnsi="宋体"/>
                <w:color w:val="auto"/>
                <w:kern w:val="0"/>
                <w:szCs w:val="21"/>
                <w:highlight w:val="none"/>
              </w:rPr>
              <w:t>～</w:t>
            </w:r>
            <w:r>
              <w:rPr>
                <w:rFonts w:ascii="宋体" w:hAnsi="宋体"/>
                <w:color w:val="auto"/>
                <w:kern w:val="0"/>
                <w:szCs w:val="21"/>
                <w:highlight w:val="none"/>
              </w:rPr>
              <w:t>10.0</w:t>
            </w:r>
            <w:r>
              <w:rPr>
                <w:rFonts w:hint="eastAsia" w:ascii="宋体" w:hAnsi="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ascii="宋体" w:hAnsi="宋体"/>
                <w:b/>
                <w:color w:val="auto"/>
                <w:szCs w:val="21"/>
                <w:highlight w:val="none"/>
              </w:rPr>
            </w:pPr>
          </w:p>
        </w:tc>
        <w:tc>
          <w:tcPr>
            <w:tcW w:w="692" w:type="dxa"/>
            <w:gridSpan w:val="2"/>
            <w:vMerge w:val="continue"/>
            <w:vAlign w:val="center"/>
          </w:tcPr>
          <w:p>
            <w:pPr>
              <w:adjustRightInd w:val="0"/>
              <w:snapToGrid w:val="0"/>
              <w:jc w:val="center"/>
              <w:rPr>
                <w:rFonts w:ascii="宋体" w:hAnsi="宋体"/>
                <w:b/>
                <w:color w:val="auto"/>
                <w:szCs w:val="21"/>
                <w:highlight w:val="none"/>
              </w:rPr>
            </w:pPr>
          </w:p>
        </w:tc>
        <w:tc>
          <w:tcPr>
            <w:tcW w:w="538" w:type="dxa"/>
            <w:vMerge w:val="continue"/>
            <w:vAlign w:val="center"/>
          </w:tcPr>
          <w:p>
            <w:pPr>
              <w:adjustRightInd w:val="0"/>
              <w:snapToGrid w:val="0"/>
              <w:jc w:val="center"/>
              <w:rPr>
                <w:rFonts w:ascii="宋体" w:hAnsi="宋体"/>
                <w:b/>
                <w:color w:val="auto"/>
                <w:szCs w:val="21"/>
                <w:highlight w:val="none"/>
              </w:rPr>
            </w:pPr>
          </w:p>
        </w:tc>
        <w:tc>
          <w:tcPr>
            <w:tcW w:w="987" w:type="dxa"/>
            <w:vAlign w:val="center"/>
          </w:tcPr>
          <w:p>
            <w:pPr>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人员组织方案</w:t>
            </w:r>
          </w:p>
        </w:tc>
        <w:tc>
          <w:tcPr>
            <w:tcW w:w="550" w:type="dxa"/>
            <w:vAlign w:val="center"/>
          </w:tcPr>
          <w:p>
            <w:pPr>
              <w:adjustRightInd w:val="0"/>
              <w:snapToGrid w:val="0"/>
              <w:jc w:val="center"/>
              <w:rPr>
                <w:rFonts w:ascii="宋体" w:hAnsi="宋体"/>
                <w:bCs/>
                <w:color w:val="auto"/>
                <w:szCs w:val="21"/>
                <w:highlight w:val="none"/>
              </w:rPr>
            </w:pPr>
            <w:r>
              <w:rPr>
                <w:rFonts w:hint="eastAsia" w:ascii="宋体" w:hAnsi="宋体"/>
                <w:bCs/>
                <w:color w:val="auto"/>
                <w:szCs w:val="21"/>
                <w:highlight w:val="none"/>
              </w:rPr>
              <w:t>2</w:t>
            </w:r>
          </w:p>
        </w:tc>
        <w:tc>
          <w:tcPr>
            <w:tcW w:w="5628" w:type="dxa"/>
            <w:vAlign w:val="center"/>
          </w:tcPr>
          <w:p>
            <w:pPr>
              <w:widowControl/>
              <w:tabs>
                <w:tab w:val="right" w:pos="2100"/>
              </w:tabs>
              <w:snapToGrid w:val="0"/>
              <w:spacing w:line="360" w:lineRule="atLeast"/>
              <w:ind w:firstLine="210"/>
              <w:rPr>
                <w:rFonts w:ascii="宋体" w:hAnsi="宋体"/>
                <w:color w:val="auto"/>
                <w:kern w:val="0"/>
                <w:szCs w:val="21"/>
                <w:highlight w:val="none"/>
              </w:rPr>
            </w:pPr>
            <w:r>
              <w:rPr>
                <w:rFonts w:hint="eastAsia" w:ascii="宋体" w:hAnsi="宋体"/>
                <w:color w:val="auto"/>
                <w:kern w:val="0"/>
                <w:szCs w:val="21"/>
                <w:highlight w:val="none"/>
              </w:rPr>
              <w:t>一般，得</w:t>
            </w:r>
            <w:r>
              <w:rPr>
                <w:rFonts w:ascii="宋体" w:hAnsi="宋体"/>
                <w:color w:val="auto"/>
                <w:kern w:val="0"/>
                <w:szCs w:val="21"/>
                <w:highlight w:val="none"/>
              </w:rPr>
              <w:t>1.2</w:t>
            </w:r>
            <w:r>
              <w:rPr>
                <w:rFonts w:hint="eastAsia" w:ascii="宋体" w:hAnsi="宋体"/>
                <w:color w:val="auto"/>
                <w:kern w:val="0"/>
                <w:szCs w:val="21"/>
                <w:highlight w:val="none"/>
              </w:rPr>
              <w:t>～</w:t>
            </w:r>
            <w:r>
              <w:rPr>
                <w:rFonts w:ascii="宋体" w:hAnsi="宋体"/>
                <w:color w:val="auto"/>
                <w:kern w:val="0"/>
                <w:szCs w:val="21"/>
                <w:highlight w:val="none"/>
              </w:rPr>
              <w:t>1.6</w:t>
            </w:r>
            <w:r>
              <w:rPr>
                <w:rFonts w:hint="eastAsia" w:ascii="宋体" w:hAnsi="宋体"/>
                <w:color w:val="auto"/>
                <w:kern w:val="0"/>
                <w:szCs w:val="21"/>
                <w:highlight w:val="none"/>
              </w:rPr>
              <w:t>分；</w:t>
            </w:r>
          </w:p>
          <w:p>
            <w:pPr>
              <w:widowControl/>
              <w:snapToGrid w:val="0"/>
              <w:spacing w:line="360" w:lineRule="auto"/>
              <w:ind w:firstLine="210" w:firstLineChars="100"/>
              <w:rPr>
                <w:rFonts w:ascii="宋体" w:hAnsi="宋体"/>
                <w:b/>
                <w:color w:val="auto"/>
                <w:szCs w:val="21"/>
                <w:highlight w:val="none"/>
              </w:rPr>
            </w:pPr>
            <w:r>
              <w:rPr>
                <w:rFonts w:hint="eastAsia" w:ascii="宋体" w:hAnsi="宋体"/>
                <w:color w:val="auto"/>
                <w:kern w:val="0"/>
                <w:szCs w:val="21"/>
                <w:highlight w:val="none"/>
              </w:rPr>
              <w:t>较好，得</w:t>
            </w:r>
            <w:r>
              <w:rPr>
                <w:rFonts w:ascii="宋体" w:hAnsi="宋体"/>
                <w:color w:val="auto"/>
                <w:kern w:val="0"/>
                <w:szCs w:val="21"/>
                <w:highlight w:val="none"/>
              </w:rPr>
              <w:t>1.6</w:t>
            </w:r>
            <w:r>
              <w:rPr>
                <w:rFonts w:hint="eastAsia" w:ascii="宋体" w:hAnsi="宋体"/>
                <w:color w:val="auto"/>
                <w:kern w:val="0"/>
                <w:szCs w:val="21"/>
                <w:highlight w:val="none"/>
              </w:rPr>
              <w:t>～</w:t>
            </w:r>
            <w:r>
              <w:rPr>
                <w:rFonts w:ascii="宋体" w:hAnsi="宋体"/>
                <w:color w:val="auto"/>
                <w:kern w:val="0"/>
                <w:szCs w:val="21"/>
                <w:highlight w:val="none"/>
              </w:rPr>
              <w:t>2.0</w:t>
            </w:r>
            <w:r>
              <w:rPr>
                <w:rFonts w:hint="eastAsia" w:ascii="宋体" w:hAnsi="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ascii="宋体" w:hAnsi="宋体"/>
                <w:b/>
                <w:color w:val="auto"/>
                <w:szCs w:val="21"/>
                <w:highlight w:val="none"/>
              </w:rPr>
            </w:pPr>
          </w:p>
        </w:tc>
        <w:tc>
          <w:tcPr>
            <w:tcW w:w="692" w:type="dxa"/>
            <w:gridSpan w:val="2"/>
            <w:vMerge w:val="continue"/>
            <w:vAlign w:val="center"/>
          </w:tcPr>
          <w:p>
            <w:pPr>
              <w:adjustRightInd w:val="0"/>
              <w:snapToGrid w:val="0"/>
              <w:jc w:val="center"/>
              <w:rPr>
                <w:rFonts w:ascii="宋体" w:hAnsi="宋体"/>
                <w:b/>
                <w:color w:val="auto"/>
                <w:szCs w:val="21"/>
                <w:highlight w:val="none"/>
              </w:rPr>
            </w:pPr>
          </w:p>
        </w:tc>
        <w:tc>
          <w:tcPr>
            <w:tcW w:w="538" w:type="dxa"/>
            <w:vMerge w:val="continue"/>
            <w:vAlign w:val="center"/>
          </w:tcPr>
          <w:p>
            <w:pPr>
              <w:adjustRightInd w:val="0"/>
              <w:snapToGrid w:val="0"/>
              <w:jc w:val="center"/>
              <w:rPr>
                <w:rFonts w:ascii="宋体" w:hAnsi="宋体"/>
                <w:b/>
                <w:color w:val="auto"/>
                <w:szCs w:val="21"/>
                <w:highlight w:val="none"/>
              </w:rPr>
            </w:pPr>
          </w:p>
        </w:tc>
        <w:tc>
          <w:tcPr>
            <w:tcW w:w="987" w:type="dxa"/>
            <w:vAlign w:val="center"/>
          </w:tcPr>
          <w:p>
            <w:pPr>
              <w:snapToGrid w:val="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工期、质量、安全保证措施</w:t>
            </w:r>
          </w:p>
        </w:tc>
        <w:tc>
          <w:tcPr>
            <w:tcW w:w="550" w:type="dxa"/>
            <w:vAlign w:val="center"/>
          </w:tcPr>
          <w:p>
            <w:pPr>
              <w:autoSpaceDE w:val="0"/>
              <w:autoSpaceDN w:val="0"/>
              <w:adjustRightInd w:val="0"/>
              <w:snapToGrid w:val="0"/>
              <w:jc w:val="center"/>
              <w:rPr>
                <w:rFonts w:ascii="宋体" w:hAnsi="宋体"/>
                <w:bCs/>
                <w:color w:val="auto"/>
                <w:szCs w:val="21"/>
                <w:highlight w:val="none"/>
              </w:rPr>
            </w:pPr>
            <w:r>
              <w:rPr>
                <w:rFonts w:ascii="宋体" w:hAnsi="宋体" w:cs="宋体"/>
                <w:bCs/>
                <w:color w:val="auto"/>
                <w:szCs w:val="21"/>
                <w:highlight w:val="none"/>
                <w:lang w:val="zh-CN"/>
              </w:rPr>
              <w:t>4</w:t>
            </w:r>
          </w:p>
        </w:tc>
        <w:tc>
          <w:tcPr>
            <w:tcW w:w="5628" w:type="dxa"/>
            <w:vAlign w:val="center"/>
          </w:tcPr>
          <w:p>
            <w:pPr>
              <w:widowControl/>
              <w:tabs>
                <w:tab w:val="right" w:pos="2100"/>
              </w:tabs>
              <w:snapToGrid w:val="0"/>
              <w:spacing w:line="360" w:lineRule="atLeast"/>
              <w:ind w:firstLine="210"/>
              <w:rPr>
                <w:rFonts w:ascii="宋体" w:hAnsi="宋体"/>
                <w:color w:val="auto"/>
                <w:kern w:val="0"/>
                <w:szCs w:val="21"/>
                <w:highlight w:val="none"/>
              </w:rPr>
            </w:pPr>
            <w:r>
              <w:rPr>
                <w:rFonts w:hint="eastAsia" w:ascii="宋体" w:hAnsi="宋体"/>
                <w:color w:val="auto"/>
                <w:kern w:val="0"/>
                <w:szCs w:val="21"/>
                <w:highlight w:val="none"/>
              </w:rPr>
              <w:t>一般，得</w:t>
            </w:r>
            <w:r>
              <w:rPr>
                <w:rFonts w:ascii="宋体" w:hAnsi="宋体"/>
                <w:color w:val="auto"/>
                <w:kern w:val="0"/>
                <w:szCs w:val="21"/>
                <w:highlight w:val="none"/>
              </w:rPr>
              <w:t>2.4</w:t>
            </w:r>
            <w:r>
              <w:rPr>
                <w:rFonts w:hint="eastAsia" w:ascii="宋体" w:hAnsi="宋体"/>
                <w:color w:val="auto"/>
                <w:kern w:val="0"/>
                <w:szCs w:val="21"/>
                <w:highlight w:val="none"/>
              </w:rPr>
              <w:t>～</w:t>
            </w:r>
            <w:r>
              <w:rPr>
                <w:rFonts w:ascii="宋体" w:hAnsi="宋体"/>
                <w:color w:val="auto"/>
                <w:kern w:val="0"/>
                <w:szCs w:val="21"/>
                <w:highlight w:val="none"/>
              </w:rPr>
              <w:t>3.2</w:t>
            </w:r>
            <w:r>
              <w:rPr>
                <w:rFonts w:hint="eastAsia" w:ascii="宋体" w:hAnsi="宋体"/>
                <w:color w:val="auto"/>
                <w:kern w:val="0"/>
                <w:szCs w:val="21"/>
                <w:highlight w:val="none"/>
              </w:rPr>
              <w:t>分；</w:t>
            </w:r>
          </w:p>
          <w:p>
            <w:pPr>
              <w:widowControl/>
              <w:tabs>
                <w:tab w:val="right" w:pos="2100"/>
              </w:tabs>
              <w:snapToGrid w:val="0"/>
              <w:spacing w:line="340" w:lineRule="atLeast"/>
              <w:ind w:firstLine="210"/>
              <w:rPr>
                <w:rFonts w:ascii="宋体" w:hAnsi="宋体"/>
                <w:b/>
                <w:color w:val="auto"/>
                <w:szCs w:val="21"/>
                <w:highlight w:val="none"/>
              </w:rPr>
            </w:pPr>
            <w:r>
              <w:rPr>
                <w:rFonts w:hint="eastAsia" w:ascii="宋体" w:hAnsi="宋体"/>
                <w:color w:val="auto"/>
                <w:kern w:val="0"/>
                <w:szCs w:val="21"/>
                <w:highlight w:val="none"/>
              </w:rPr>
              <w:t>较好，得</w:t>
            </w:r>
            <w:r>
              <w:rPr>
                <w:rFonts w:ascii="宋体" w:hAnsi="宋体"/>
                <w:color w:val="auto"/>
                <w:kern w:val="0"/>
                <w:szCs w:val="21"/>
                <w:highlight w:val="none"/>
              </w:rPr>
              <w:t>3.2</w:t>
            </w:r>
            <w:r>
              <w:rPr>
                <w:rFonts w:hint="eastAsia" w:ascii="宋体" w:hAnsi="宋体"/>
                <w:color w:val="auto"/>
                <w:kern w:val="0"/>
                <w:szCs w:val="21"/>
                <w:highlight w:val="none"/>
              </w:rPr>
              <w:t>～</w:t>
            </w:r>
            <w:r>
              <w:rPr>
                <w:rFonts w:ascii="宋体" w:hAnsi="宋体"/>
                <w:color w:val="auto"/>
                <w:kern w:val="0"/>
                <w:szCs w:val="21"/>
                <w:highlight w:val="none"/>
              </w:rPr>
              <w:t>4.0</w:t>
            </w:r>
            <w:r>
              <w:rPr>
                <w:rFonts w:hint="eastAsia" w:ascii="宋体" w:hAnsi="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Merge w:val="continue"/>
            <w:vAlign w:val="center"/>
          </w:tcPr>
          <w:p>
            <w:pPr>
              <w:adjustRightInd w:val="0"/>
              <w:snapToGrid w:val="0"/>
              <w:jc w:val="center"/>
              <w:rPr>
                <w:rFonts w:ascii="宋体" w:hAnsi="宋体"/>
                <w:b/>
                <w:color w:val="auto"/>
                <w:szCs w:val="21"/>
                <w:highlight w:val="none"/>
              </w:rPr>
            </w:pPr>
          </w:p>
        </w:tc>
        <w:tc>
          <w:tcPr>
            <w:tcW w:w="692" w:type="dxa"/>
            <w:gridSpan w:val="2"/>
            <w:vMerge w:val="continue"/>
            <w:vAlign w:val="center"/>
          </w:tcPr>
          <w:p>
            <w:pPr>
              <w:adjustRightInd w:val="0"/>
              <w:snapToGrid w:val="0"/>
              <w:jc w:val="center"/>
              <w:rPr>
                <w:rFonts w:ascii="宋体" w:hAnsi="宋体"/>
                <w:b/>
                <w:color w:val="auto"/>
                <w:szCs w:val="21"/>
                <w:highlight w:val="none"/>
              </w:rPr>
            </w:pPr>
          </w:p>
        </w:tc>
        <w:tc>
          <w:tcPr>
            <w:tcW w:w="538" w:type="dxa"/>
            <w:vMerge w:val="continue"/>
            <w:vAlign w:val="center"/>
          </w:tcPr>
          <w:p>
            <w:pPr>
              <w:adjustRightInd w:val="0"/>
              <w:snapToGrid w:val="0"/>
              <w:jc w:val="center"/>
              <w:rPr>
                <w:rFonts w:ascii="宋体" w:hAnsi="宋体"/>
                <w:b/>
                <w:color w:val="auto"/>
                <w:szCs w:val="21"/>
                <w:highlight w:val="none"/>
              </w:rPr>
            </w:pPr>
          </w:p>
        </w:tc>
        <w:tc>
          <w:tcPr>
            <w:tcW w:w="987" w:type="dxa"/>
            <w:vAlign w:val="center"/>
          </w:tcPr>
          <w:p>
            <w:pPr>
              <w:snapToGrid w:val="0"/>
              <w:jc w:val="left"/>
              <w:rPr>
                <w:rFonts w:ascii="宋体" w:hAnsi="宋体"/>
                <w:b/>
                <w:color w:val="auto"/>
                <w:szCs w:val="21"/>
                <w:highlight w:val="none"/>
              </w:rPr>
            </w:pPr>
            <w:r>
              <w:rPr>
                <w:rFonts w:hint="eastAsia" w:ascii="宋体" w:hAnsi="宋体" w:cs="宋体"/>
                <w:bCs/>
                <w:color w:val="auto"/>
                <w:szCs w:val="21"/>
                <w:highlight w:val="none"/>
                <w:lang w:val="zh-CN"/>
              </w:rPr>
              <w:t>培训方案及售后服务</w:t>
            </w:r>
          </w:p>
        </w:tc>
        <w:tc>
          <w:tcPr>
            <w:tcW w:w="55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cs="宋体"/>
                <w:bCs/>
                <w:color w:val="auto"/>
                <w:szCs w:val="21"/>
                <w:highlight w:val="none"/>
                <w:lang w:val="zh-CN"/>
              </w:rPr>
              <w:t>2</w:t>
            </w:r>
          </w:p>
        </w:tc>
        <w:tc>
          <w:tcPr>
            <w:tcW w:w="5628" w:type="dxa"/>
            <w:vAlign w:val="center"/>
          </w:tcPr>
          <w:p>
            <w:pPr>
              <w:widowControl/>
              <w:tabs>
                <w:tab w:val="right" w:pos="2100"/>
              </w:tabs>
              <w:snapToGrid w:val="0"/>
              <w:spacing w:line="360" w:lineRule="atLeast"/>
              <w:ind w:firstLine="210"/>
              <w:rPr>
                <w:rFonts w:ascii="宋体" w:hAnsi="宋体"/>
                <w:color w:val="auto"/>
                <w:kern w:val="0"/>
                <w:szCs w:val="21"/>
                <w:highlight w:val="none"/>
              </w:rPr>
            </w:pPr>
            <w:r>
              <w:rPr>
                <w:rFonts w:hint="eastAsia" w:ascii="宋体" w:hAnsi="宋体"/>
                <w:color w:val="auto"/>
                <w:kern w:val="0"/>
                <w:szCs w:val="21"/>
                <w:highlight w:val="none"/>
              </w:rPr>
              <w:t>一般，得</w:t>
            </w:r>
            <w:r>
              <w:rPr>
                <w:rFonts w:ascii="宋体" w:hAnsi="宋体"/>
                <w:color w:val="auto"/>
                <w:kern w:val="0"/>
                <w:szCs w:val="21"/>
                <w:highlight w:val="none"/>
              </w:rPr>
              <w:t>1.2</w:t>
            </w:r>
            <w:r>
              <w:rPr>
                <w:rFonts w:hint="eastAsia" w:ascii="宋体" w:hAnsi="宋体"/>
                <w:color w:val="auto"/>
                <w:kern w:val="0"/>
                <w:szCs w:val="21"/>
                <w:highlight w:val="none"/>
              </w:rPr>
              <w:t>～</w:t>
            </w:r>
            <w:r>
              <w:rPr>
                <w:rFonts w:ascii="宋体" w:hAnsi="宋体"/>
                <w:color w:val="auto"/>
                <w:kern w:val="0"/>
                <w:szCs w:val="21"/>
                <w:highlight w:val="none"/>
              </w:rPr>
              <w:t>1.6</w:t>
            </w:r>
            <w:r>
              <w:rPr>
                <w:rFonts w:hint="eastAsia" w:ascii="宋体" w:hAnsi="宋体"/>
                <w:color w:val="auto"/>
                <w:kern w:val="0"/>
                <w:szCs w:val="21"/>
                <w:highlight w:val="none"/>
              </w:rPr>
              <w:t>分；</w:t>
            </w:r>
          </w:p>
          <w:p>
            <w:pPr>
              <w:widowControl/>
              <w:tabs>
                <w:tab w:val="right" w:pos="2100"/>
              </w:tabs>
              <w:snapToGrid w:val="0"/>
              <w:spacing w:line="340" w:lineRule="atLeast"/>
              <w:ind w:firstLine="210"/>
              <w:rPr>
                <w:rFonts w:ascii="宋体" w:hAnsi="宋体"/>
                <w:b/>
                <w:color w:val="auto"/>
                <w:szCs w:val="21"/>
                <w:highlight w:val="none"/>
              </w:rPr>
            </w:pPr>
            <w:r>
              <w:rPr>
                <w:rFonts w:hint="eastAsia" w:ascii="宋体" w:hAnsi="宋体"/>
                <w:color w:val="auto"/>
                <w:kern w:val="0"/>
                <w:szCs w:val="21"/>
                <w:highlight w:val="none"/>
              </w:rPr>
              <w:t>较好，得</w:t>
            </w:r>
            <w:r>
              <w:rPr>
                <w:rFonts w:ascii="宋体" w:hAnsi="宋体"/>
                <w:color w:val="auto"/>
                <w:kern w:val="0"/>
                <w:szCs w:val="21"/>
                <w:highlight w:val="none"/>
              </w:rPr>
              <w:t>1.6</w:t>
            </w:r>
            <w:r>
              <w:rPr>
                <w:rFonts w:hint="eastAsia" w:ascii="宋体" w:hAnsi="宋体"/>
                <w:color w:val="auto"/>
                <w:kern w:val="0"/>
                <w:szCs w:val="21"/>
                <w:highlight w:val="none"/>
              </w:rPr>
              <w:t>～</w:t>
            </w:r>
            <w:r>
              <w:rPr>
                <w:rFonts w:ascii="宋体" w:hAnsi="宋体"/>
                <w:color w:val="auto"/>
                <w:kern w:val="0"/>
                <w:szCs w:val="21"/>
                <w:highlight w:val="none"/>
              </w:rPr>
              <w:t>2.0</w:t>
            </w:r>
            <w:r>
              <w:rPr>
                <w:rFonts w:hint="eastAsia" w:ascii="宋体" w:hAnsi="宋体"/>
                <w:color w:val="auto"/>
                <w:kern w:val="0"/>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2.2.4</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692" w:type="dxa"/>
            <w:gridSpan w:val="2"/>
            <w:vMerge w:val="restart"/>
            <w:textDirection w:val="tbRlV"/>
            <w:vAlign w:val="center"/>
          </w:tcPr>
          <w:p>
            <w:pPr>
              <w:adjustRightInd w:val="0"/>
              <w:snapToGrid w:val="0"/>
              <w:ind w:left="113" w:right="113"/>
              <w:jc w:val="center"/>
              <w:rPr>
                <w:rFonts w:ascii="宋体" w:hAnsi="宋体"/>
                <w:color w:val="auto"/>
                <w:szCs w:val="21"/>
                <w:highlight w:val="none"/>
              </w:rPr>
            </w:pPr>
            <w:r>
              <w:rPr>
                <w:rFonts w:hint="eastAsia" w:ascii="宋体" w:hAnsi="宋体"/>
                <w:snapToGrid w:val="0"/>
                <w:color w:val="auto"/>
                <w:kern w:val="0"/>
                <w:szCs w:val="21"/>
                <w:highlight w:val="none"/>
              </w:rPr>
              <w:t>主要人员</w:t>
            </w:r>
          </w:p>
        </w:tc>
        <w:tc>
          <w:tcPr>
            <w:tcW w:w="538"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10分</w:t>
            </w: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项目经理</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任职业绩</w:t>
            </w:r>
          </w:p>
        </w:tc>
        <w:tc>
          <w:tcPr>
            <w:tcW w:w="55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6分</w:t>
            </w:r>
          </w:p>
        </w:tc>
        <w:tc>
          <w:tcPr>
            <w:tcW w:w="5628" w:type="dxa"/>
            <w:vAlign w:val="center"/>
          </w:tcPr>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满足资格审查条件最低要求，得</w:t>
            </w:r>
            <w:r>
              <w:rPr>
                <w:rFonts w:ascii="宋体" w:hAnsi="宋体"/>
                <w:color w:val="auto"/>
                <w:szCs w:val="21"/>
                <w:highlight w:val="none"/>
              </w:rPr>
              <w:t>3.6</w:t>
            </w:r>
            <w:r>
              <w:rPr>
                <w:rFonts w:hint="eastAsia" w:ascii="宋体" w:hAnsi="宋体"/>
                <w:color w:val="auto"/>
                <w:szCs w:val="21"/>
                <w:highlight w:val="none"/>
              </w:rPr>
              <w:t>分；</w:t>
            </w:r>
          </w:p>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在最低要求的基础上，每增加1项高速公路机电工程的项目经理任职业绩加2.4分，最多加2.4分。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continue"/>
            <w:vAlign w:val="center"/>
          </w:tcPr>
          <w:p>
            <w:pPr>
              <w:widowControl/>
              <w:snapToGrid w:val="0"/>
              <w:jc w:val="left"/>
              <w:rPr>
                <w:rFonts w:ascii="宋体" w:hAnsi="宋体"/>
                <w:color w:val="auto"/>
                <w:szCs w:val="21"/>
                <w:highlight w:val="none"/>
              </w:rPr>
            </w:pPr>
          </w:p>
        </w:tc>
        <w:tc>
          <w:tcPr>
            <w:tcW w:w="692" w:type="dxa"/>
            <w:gridSpan w:val="2"/>
            <w:vMerge w:val="continue"/>
            <w:vAlign w:val="center"/>
          </w:tcPr>
          <w:p>
            <w:pPr>
              <w:widowControl/>
              <w:snapToGrid w:val="0"/>
              <w:jc w:val="left"/>
              <w:rPr>
                <w:rFonts w:ascii="宋体" w:hAnsi="宋体"/>
                <w:color w:val="auto"/>
                <w:szCs w:val="21"/>
                <w:highlight w:val="none"/>
              </w:rPr>
            </w:pPr>
          </w:p>
        </w:tc>
        <w:tc>
          <w:tcPr>
            <w:tcW w:w="538" w:type="dxa"/>
            <w:vMerge w:val="continue"/>
            <w:vAlign w:val="center"/>
          </w:tcPr>
          <w:p>
            <w:pPr>
              <w:widowControl/>
              <w:snapToGrid w:val="0"/>
              <w:jc w:val="left"/>
              <w:rPr>
                <w:rFonts w:ascii="宋体" w:hAnsi="宋体"/>
                <w:color w:val="auto"/>
                <w:szCs w:val="21"/>
                <w:highlight w:val="none"/>
              </w:rPr>
            </w:pP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项目总工</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任职业绩</w:t>
            </w:r>
          </w:p>
        </w:tc>
        <w:tc>
          <w:tcPr>
            <w:tcW w:w="55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4分</w:t>
            </w:r>
          </w:p>
        </w:tc>
        <w:tc>
          <w:tcPr>
            <w:tcW w:w="5628" w:type="dxa"/>
            <w:vAlign w:val="center"/>
          </w:tcPr>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满足资格审查条件最低要求，得2.4分；</w:t>
            </w:r>
          </w:p>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在最低要求的基础上，每增加1项高速公路机电工程的项目总工任职业绩加1.6分，最多加1.6分。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2.2.4</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692" w:type="dxa"/>
            <w:gridSpan w:val="2"/>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评标价</w:t>
            </w:r>
          </w:p>
        </w:tc>
        <w:tc>
          <w:tcPr>
            <w:tcW w:w="538"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50分</w:t>
            </w:r>
          </w:p>
        </w:tc>
        <w:tc>
          <w:tcPr>
            <w:tcW w:w="7165" w:type="dxa"/>
            <w:gridSpan w:val="3"/>
            <w:vAlign w:val="center"/>
          </w:tcPr>
          <w:p>
            <w:pPr>
              <w:pStyle w:val="124"/>
              <w:tabs>
                <w:tab w:val="left" w:pos="914"/>
              </w:tabs>
              <w:snapToGrid w:val="0"/>
              <w:spacing w:before="0" w:line="360" w:lineRule="auto"/>
              <w:ind w:firstLine="210"/>
              <w:jc w:val="left"/>
              <w:rPr>
                <w:color w:val="auto"/>
                <w:kern w:val="2"/>
                <w:sz w:val="21"/>
                <w:szCs w:val="21"/>
                <w:highlight w:val="none"/>
                <w:lang w:val="en-US"/>
              </w:rPr>
            </w:pPr>
            <w:r>
              <w:rPr>
                <w:rFonts w:hint="eastAsia"/>
                <w:color w:val="auto"/>
                <w:kern w:val="2"/>
                <w:sz w:val="21"/>
                <w:szCs w:val="21"/>
                <w:highlight w:val="none"/>
                <w:lang w:val="en-US"/>
              </w:rPr>
              <w:t>（1）如果投标人的评标价＞评标基准价，则</w:t>
            </w:r>
          </w:p>
          <w:p>
            <w:pPr>
              <w:pStyle w:val="124"/>
              <w:tabs>
                <w:tab w:val="left" w:pos="914"/>
              </w:tabs>
              <w:snapToGrid w:val="0"/>
              <w:spacing w:before="0" w:line="360" w:lineRule="auto"/>
              <w:ind w:firstLine="1680" w:firstLineChars="800"/>
              <w:jc w:val="left"/>
              <w:rPr>
                <w:color w:val="auto"/>
                <w:kern w:val="2"/>
                <w:sz w:val="21"/>
                <w:szCs w:val="21"/>
                <w:highlight w:val="none"/>
                <w:lang w:val="en-US"/>
              </w:rPr>
            </w:pPr>
            <w:r>
              <w:rPr>
                <w:rFonts w:hint="eastAsia"/>
                <w:color w:val="auto"/>
                <w:kern w:val="2"/>
                <w:sz w:val="21"/>
                <w:szCs w:val="21"/>
                <w:highlight w:val="none"/>
                <w:lang w:val="en-US"/>
              </w:rPr>
              <w:t>评标价得分＝</w:t>
            </w:r>
            <w:r>
              <w:rPr>
                <w:rFonts w:ascii="Times New Roman" w:hAnsi="Times New Roman"/>
                <w:i/>
                <w:color w:val="auto"/>
                <w:kern w:val="2"/>
                <w:sz w:val="21"/>
                <w:szCs w:val="21"/>
                <w:highlight w:val="none"/>
                <w:lang w:val="en-US"/>
              </w:rPr>
              <w:t>F</w:t>
            </w:r>
            <w:r>
              <w:rPr>
                <w:rFonts w:hint="eastAsia"/>
                <w:color w:val="auto"/>
                <w:kern w:val="2"/>
                <w:sz w:val="21"/>
                <w:szCs w:val="21"/>
                <w:highlight w:val="none"/>
                <w:lang w:val="en-US"/>
              </w:rPr>
              <w:t>－偏差率×100×</w:t>
            </w:r>
            <w:r>
              <w:rPr>
                <w:b/>
                <w:color w:val="auto"/>
                <w:kern w:val="2"/>
                <w:sz w:val="21"/>
                <w:szCs w:val="21"/>
                <w:highlight w:val="none"/>
                <w:lang w:val="en-US"/>
              </w:rPr>
              <w:t>0.5</w:t>
            </w:r>
            <w:r>
              <w:rPr>
                <w:rFonts w:hint="eastAsia"/>
                <w:color w:val="auto"/>
                <w:kern w:val="2"/>
                <w:sz w:val="21"/>
                <w:szCs w:val="21"/>
                <w:highlight w:val="none"/>
                <w:lang w:val="en-US"/>
              </w:rPr>
              <w:t>；</w:t>
            </w:r>
          </w:p>
          <w:p>
            <w:pPr>
              <w:pStyle w:val="124"/>
              <w:tabs>
                <w:tab w:val="left" w:pos="914"/>
              </w:tabs>
              <w:snapToGrid w:val="0"/>
              <w:spacing w:before="0" w:line="360" w:lineRule="auto"/>
              <w:ind w:firstLine="210"/>
              <w:jc w:val="left"/>
              <w:rPr>
                <w:color w:val="auto"/>
                <w:kern w:val="2"/>
                <w:sz w:val="21"/>
                <w:szCs w:val="21"/>
                <w:highlight w:val="none"/>
                <w:lang w:val="en-US"/>
              </w:rPr>
            </w:pPr>
            <w:r>
              <w:rPr>
                <w:rFonts w:hint="eastAsia"/>
                <w:color w:val="auto"/>
                <w:kern w:val="2"/>
                <w:sz w:val="21"/>
                <w:szCs w:val="21"/>
                <w:highlight w:val="none"/>
                <w:lang w:val="en-US"/>
              </w:rPr>
              <w:t>（2）如果投标人的评标价≤评标基准价，则</w:t>
            </w:r>
          </w:p>
          <w:p>
            <w:pPr>
              <w:pStyle w:val="124"/>
              <w:tabs>
                <w:tab w:val="left" w:pos="914"/>
              </w:tabs>
              <w:snapToGrid w:val="0"/>
              <w:spacing w:before="0" w:line="360" w:lineRule="auto"/>
              <w:ind w:firstLine="1680" w:firstLineChars="800"/>
              <w:jc w:val="left"/>
              <w:rPr>
                <w:color w:val="auto"/>
                <w:kern w:val="2"/>
                <w:sz w:val="21"/>
                <w:szCs w:val="21"/>
                <w:highlight w:val="none"/>
                <w:lang w:val="en-US"/>
              </w:rPr>
            </w:pPr>
            <w:r>
              <w:rPr>
                <w:rFonts w:hint="eastAsia"/>
                <w:color w:val="auto"/>
                <w:kern w:val="2"/>
                <w:sz w:val="21"/>
                <w:szCs w:val="21"/>
                <w:highlight w:val="none"/>
                <w:lang w:val="en-US"/>
              </w:rPr>
              <w:t>评标价得分＝</w:t>
            </w:r>
            <w:r>
              <w:rPr>
                <w:rFonts w:hint="eastAsia" w:ascii="Times New Roman" w:hAnsi="Times New Roman"/>
                <w:i/>
                <w:color w:val="auto"/>
                <w:kern w:val="2"/>
                <w:sz w:val="21"/>
                <w:szCs w:val="21"/>
                <w:highlight w:val="none"/>
                <w:lang w:val="en-US"/>
              </w:rPr>
              <w:t>F</w:t>
            </w:r>
            <w:r>
              <w:rPr>
                <w:rFonts w:hint="eastAsia"/>
                <w:color w:val="auto"/>
                <w:kern w:val="2"/>
                <w:sz w:val="21"/>
                <w:szCs w:val="21"/>
                <w:highlight w:val="none"/>
                <w:lang w:val="en-US"/>
              </w:rPr>
              <w:t>＋偏差率×100×</w:t>
            </w:r>
            <w:r>
              <w:rPr>
                <w:b/>
                <w:color w:val="auto"/>
                <w:kern w:val="2"/>
                <w:sz w:val="21"/>
                <w:szCs w:val="21"/>
                <w:highlight w:val="none"/>
                <w:lang w:val="en-US"/>
              </w:rPr>
              <w:t>0.3</w:t>
            </w:r>
            <w:r>
              <w:rPr>
                <w:rFonts w:hint="eastAsia"/>
                <w:color w:val="auto"/>
                <w:kern w:val="2"/>
                <w:sz w:val="21"/>
                <w:szCs w:val="21"/>
                <w:highlight w:val="none"/>
                <w:lang w:val="en-US"/>
              </w:rPr>
              <w:t>。</w:t>
            </w:r>
          </w:p>
          <w:p>
            <w:pPr>
              <w:pStyle w:val="124"/>
              <w:tabs>
                <w:tab w:val="left" w:pos="914"/>
              </w:tabs>
              <w:snapToGrid w:val="0"/>
              <w:spacing w:before="0" w:line="360" w:lineRule="auto"/>
              <w:ind w:firstLine="210"/>
              <w:jc w:val="left"/>
              <w:rPr>
                <w:color w:val="auto"/>
                <w:sz w:val="21"/>
                <w:szCs w:val="21"/>
                <w:highlight w:val="none"/>
              </w:rPr>
            </w:pPr>
            <w:r>
              <w:rPr>
                <w:rFonts w:hint="eastAsia"/>
                <w:color w:val="auto"/>
                <w:kern w:val="2"/>
                <w:sz w:val="21"/>
                <w:szCs w:val="21"/>
                <w:highlight w:val="none"/>
                <w:lang w:val="en-US"/>
              </w:rPr>
              <w:t>其中：</w:t>
            </w:r>
            <w:r>
              <w:rPr>
                <w:rFonts w:hint="eastAsia" w:ascii="Times New Roman" w:hAnsi="Times New Roman"/>
                <w:i/>
                <w:color w:val="auto"/>
                <w:kern w:val="2"/>
                <w:sz w:val="21"/>
                <w:szCs w:val="21"/>
                <w:highlight w:val="none"/>
                <w:lang w:val="en-US"/>
              </w:rPr>
              <w:t xml:space="preserve">F </w:t>
            </w:r>
            <w:r>
              <w:rPr>
                <w:rFonts w:hint="eastAsia"/>
                <w:color w:val="auto"/>
                <w:kern w:val="2"/>
                <w:sz w:val="21"/>
                <w:szCs w:val="21"/>
                <w:highlight w:val="none"/>
                <w:lang w:val="en-US"/>
              </w:rPr>
              <w:t>是评标价所占的权重分值，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Merge w:val="restart"/>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4</w:t>
            </w:r>
          </w:p>
          <w:p>
            <w:pPr>
              <w:widowControl/>
              <w:snapToGrid w:val="0"/>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p>
        </w:tc>
        <w:tc>
          <w:tcPr>
            <w:tcW w:w="346" w:type="dxa"/>
            <w:vMerge w:val="restart"/>
            <w:textDirection w:val="tbRlV"/>
            <w:vAlign w:val="center"/>
          </w:tcPr>
          <w:p>
            <w:pPr>
              <w:widowControl/>
              <w:snapToGrid w:val="0"/>
              <w:jc w:val="center"/>
              <w:rPr>
                <w:rFonts w:ascii="宋体" w:hAnsi="宋体"/>
                <w:color w:val="auto"/>
                <w:szCs w:val="21"/>
                <w:highlight w:val="none"/>
              </w:rPr>
            </w:pPr>
            <w:r>
              <w:rPr>
                <w:rFonts w:hint="eastAsia" w:ascii="宋体" w:hAnsi="宋体"/>
                <w:color w:val="auto"/>
                <w:szCs w:val="21"/>
                <w:highlight w:val="none"/>
              </w:rPr>
              <w:t>其他因素</w:t>
            </w:r>
          </w:p>
        </w:tc>
        <w:tc>
          <w:tcPr>
            <w:tcW w:w="346" w:type="dxa"/>
            <w:textDirection w:val="tbRlV"/>
            <w:vAlign w:val="center"/>
          </w:tcPr>
          <w:p>
            <w:pPr>
              <w:widowControl/>
              <w:snapToGrid w:val="0"/>
              <w:ind w:left="113" w:right="113"/>
              <w:jc w:val="center"/>
              <w:rPr>
                <w:rFonts w:ascii="宋体" w:hAnsi="宋体"/>
                <w:color w:val="auto"/>
                <w:szCs w:val="21"/>
                <w:highlight w:val="none"/>
              </w:rPr>
            </w:pPr>
            <w:r>
              <w:rPr>
                <w:rFonts w:hint="eastAsia" w:ascii="宋体" w:hAnsi="宋体"/>
                <w:color w:val="auto"/>
                <w:szCs w:val="21"/>
                <w:highlight w:val="none"/>
              </w:rPr>
              <w:t>业绩</w:t>
            </w:r>
          </w:p>
        </w:tc>
        <w:tc>
          <w:tcPr>
            <w:tcW w:w="538" w:type="dxa"/>
            <w:vAlign w:val="center"/>
          </w:tcPr>
          <w:p>
            <w:pPr>
              <w:widowControl/>
              <w:snapToGrid w:val="0"/>
              <w:jc w:val="cente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分</w:t>
            </w: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企业业绩</w:t>
            </w:r>
          </w:p>
        </w:tc>
        <w:tc>
          <w:tcPr>
            <w:tcW w:w="55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7分</w:t>
            </w:r>
          </w:p>
        </w:tc>
        <w:tc>
          <w:tcPr>
            <w:tcW w:w="5628" w:type="dxa"/>
            <w:vAlign w:val="center"/>
          </w:tcPr>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JD01标段满足最低资格要求得4.2分，自2015年1月1日后（以交工日期为准）完成过150公里至750公里的施工业绩，自4.2分至7分内插计算得分。</w:t>
            </w:r>
          </w:p>
          <w:p>
            <w:pPr>
              <w:adjustRightInd w:val="0"/>
              <w:snapToGrid w:val="0"/>
              <w:spacing w:line="360" w:lineRule="auto"/>
              <w:ind w:left="210" w:leftChars="100"/>
              <w:rPr>
                <w:rFonts w:ascii="宋体" w:hAnsi="宋体"/>
                <w:color w:val="auto"/>
                <w:szCs w:val="21"/>
                <w:highlight w:val="none"/>
              </w:rPr>
            </w:pPr>
          </w:p>
          <w:p>
            <w:pPr>
              <w:adjustRightInd w:val="0"/>
              <w:snapToGrid w:val="0"/>
              <w:spacing w:line="360" w:lineRule="auto"/>
              <w:ind w:left="210" w:leftChars="100"/>
              <w:rPr>
                <w:rFonts w:ascii="宋体" w:hAnsi="宋体"/>
                <w:color w:val="auto"/>
                <w:szCs w:val="21"/>
                <w:highlight w:val="none"/>
              </w:rPr>
            </w:pPr>
            <w:r>
              <w:rPr>
                <w:rFonts w:hint="eastAsia" w:ascii="宋体" w:hAnsi="宋体"/>
                <w:color w:val="auto"/>
                <w:szCs w:val="21"/>
                <w:highlight w:val="none"/>
              </w:rPr>
              <w:t>JD02标段满足最低资格要求得4.2分，自2015年1月1日后（以交工日期为准）每增加1项有效的施工业绩加1.4分，最多加2.8分。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59" w:type="dxa"/>
            <w:vMerge w:val="continue"/>
            <w:vAlign w:val="center"/>
          </w:tcPr>
          <w:p>
            <w:pPr>
              <w:snapToGrid w:val="0"/>
              <w:jc w:val="left"/>
              <w:rPr>
                <w:rFonts w:ascii="宋体" w:hAnsi="宋体"/>
                <w:color w:val="auto"/>
                <w:szCs w:val="21"/>
                <w:highlight w:val="none"/>
              </w:rPr>
            </w:pPr>
          </w:p>
        </w:tc>
        <w:tc>
          <w:tcPr>
            <w:tcW w:w="346" w:type="dxa"/>
            <w:vMerge w:val="continue"/>
            <w:vAlign w:val="center"/>
          </w:tcPr>
          <w:p>
            <w:pPr>
              <w:widowControl/>
              <w:snapToGrid w:val="0"/>
              <w:ind w:left="113"/>
              <w:jc w:val="left"/>
              <w:rPr>
                <w:rFonts w:ascii="宋体" w:hAnsi="宋体"/>
                <w:color w:val="auto"/>
                <w:szCs w:val="21"/>
                <w:highlight w:val="none"/>
              </w:rPr>
            </w:pPr>
          </w:p>
        </w:tc>
        <w:tc>
          <w:tcPr>
            <w:tcW w:w="346" w:type="dxa"/>
            <w:textDirection w:val="tbRlV"/>
            <w:vAlign w:val="center"/>
          </w:tcPr>
          <w:p>
            <w:pPr>
              <w:snapToGrid w:val="0"/>
              <w:ind w:left="113" w:right="113"/>
              <w:jc w:val="center"/>
              <w:rPr>
                <w:rFonts w:ascii="宋体" w:hAnsi="宋体"/>
                <w:color w:val="auto"/>
                <w:szCs w:val="21"/>
                <w:highlight w:val="none"/>
              </w:rPr>
            </w:pPr>
            <w:r>
              <w:rPr>
                <w:rFonts w:ascii="宋体" w:hAnsi="宋体"/>
                <w:color w:val="auto"/>
                <w:highlight w:val="none"/>
              </w:rPr>
              <w:t>履约信誉</w:t>
            </w:r>
          </w:p>
        </w:tc>
        <w:tc>
          <w:tcPr>
            <w:tcW w:w="538" w:type="dxa"/>
            <w:vAlign w:val="center"/>
          </w:tcPr>
          <w:p>
            <w:pPr>
              <w:widowControl/>
              <w:snapToGrid w:val="0"/>
              <w:jc w:val="center"/>
              <w:rPr>
                <w:rFonts w:ascii="宋体" w:hAnsi="宋体"/>
                <w:color w:val="auto"/>
                <w:szCs w:val="21"/>
                <w:highlight w:val="none"/>
              </w:rPr>
            </w:pPr>
            <w:r>
              <w:rPr>
                <w:rFonts w:hint="eastAsia" w:ascii="宋体" w:hAnsi="宋体"/>
                <w:color w:val="auto"/>
                <w:highlight w:val="none"/>
              </w:rPr>
              <w:t>3分</w:t>
            </w: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信用</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评价</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结果</w:t>
            </w:r>
          </w:p>
        </w:tc>
        <w:tc>
          <w:tcPr>
            <w:tcW w:w="550" w:type="dxa"/>
            <w:vAlign w:val="center"/>
          </w:tcPr>
          <w:p>
            <w:pPr>
              <w:adjustRightInd w:val="0"/>
              <w:snapToGrid w:val="0"/>
              <w:jc w:val="center"/>
              <w:rPr>
                <w:rFonts w:ascii="宋体" w:hAnsi="宋体"/>
                <w:color w:val="auto"/>
                <w:szCs w:val="21"/>
                <w:highlight w:val="none"/>
              </w:rPr>
            </w:pPr>
            <w:r>
              <w:rPr>
                <w:rFonts w:hint="eastAsia" w:ascii="宋体" w:hAnsi="宋体"/>
                <w:color w:val="auto"/>
                <w:highlight w:val="none"/>
              </w:rPr>
              <w:t>3分</w:t>
            </w:r>
          </w:p>
        </w:tc>
        <w:tc>
          <w:tcPr>
            <w:tcW w:w="5628" w:type="dxa"/>
            <w:vAlign w:val="center"/>
          </w:tcPr>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1）以投标人的吉林省省级综合信用评价结果（以下简称“吉林省评价”）或全国综合信用评价结果（以下简称“全国评价”）计算其履约信誉得分。</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2）投标人的信用评价结果采用原则如下：</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首先应用其</w:t>
            </w:r>
            <w:r>
              <w:rPr>
                <w:rFonts w:ascii="宋体" w:hAnsi="宋体"/>
                <w:color w:val="auto"/>
                <w:szCs w:val="21"/>
                <w:highlight w:val="none"/>
              </w:rPr>
              <w:t>2019</w:t>
            </w:r>
            <w:r>
              <w:rPr>
                <w:rFonts w:hint="eastAsia" w:ascii="宋体" w:hAnsi="宋体"/>
                <w:color w:val="auto"/>
                <w:szCs w:val="21"/>
                <w:highlight w:val="none"/>
              </w:rPr>
              <w:t>年度吉林省评价或全国评价：</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2019</w:t>
            </w:r>
            <w:r>
              <w:rPr>
                <w:rFonts w:hint="eastAsia" w:ascii="宋体" w:hAnsi="宋体"/>
                <w:color w:val="auto"/>
                <w:szCs w:val="21"/>
                <w:highlight w:val="none"/>
              </w:rPr>
              <w:t>年度吉林省评价：〔《关于发布</w:t>
            </w:r>
            <w:r>
              <w:rPr>
                <w:rFonts w:ascii="宋体" w:hAnsi="宋体"/>
                <w:color w:val="auto"/>
                <w:szCs w:val="21"/>
                <w:highlight w:val="none"/>
              </w:rPr>
              <w:t>2019年度公路设计、施工企业吉林省省级综合评价结果的通告》（2020</w:t>
            </w:r>
            <w:r>
              <w:rPr>
                <w:rFonts w:hint="eastAsia" w:ascii="宋体" w:hAnsi="宋体"/>
                <w:color w:val="auto"/>
                <w:szCs w:val="21"/>
                <w:highlight w:val="none"/>
              </w:rPr>
              <w:t>年第</w:t>
            </w:r>
            <w:r>
              <w:rPr>
                <w:rFonts w:ascii="宋体" w:hAnsi="宋体"/>
                <w:color w:val="auto"/>
                <w:szCs w:val="21"/>
                <w:highlight w:val="none"/>
              </w:rPr>
              <w:t>2</w:t>
            </w:r>
            <w:r>
              <w:rPr>
                <w:rFonts w:hint="eastAsia" w:ascii="宋体" w:hAnsi="宋体"/>
                <w:color w:val="auto"/>
                <w:szCs w:val="21"/>
                <w:highlight w:val="none"/>
              </w:rPr>
              <w:t>号）〕；</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2019</w:t>
            </w:r>
            <w:r>
              <w:rPr>
                <w:rFonts w:hint="eastAsia" w:ascii="宋体" w:hAnsi="宋体"/>
                <w:color w:val="auto"/>
                <w:szCs w:val="21"/>
                <w:highlight w:val="none"/>
              </w:rPr>
              <w:t>年度全国评价：目前正在公示，若在投标截止时间前发布了结果公告，则应用；若未发布公告，则不应用；</w:t>
            </w:r>
          </w:p>
          <w:p>
            <w:pPr>
              <w:adjustRightInd w:val="0"/>
              <w:snapToGrid w:val="0"/>
              <w:spacing w:line="280" w:lineRule="atLeast"/>
              <w:ind w:left="210" w:leftChars="100" w:firstLine="0"/>
              <w:textAlignment w:val="baseline"/>
              <w:rPr>
                <w:rFonts w:ascii="宋体" w:hAnsi="宋体"/>
                <w:color w:val="auto"/>
                <w:szCs w:val="21"/>
                <w:highlight w:val="none"/>
              </w:rPr>
            </w:pPr>
            <w:r>
              <w:rPr>
                <w:rFonts w:hint="eastAsia" w:ascii="宋体" w:hAnsi="宋体"/>
                <w:color w:val="auto"/>
                <w:szCs w:val="21"/>
                <w:highlight w:val="none"/>
              </w:rPr>
              <w:t>投标人在</w:t>
            </w:r>
            <w:r>
              <w:rPr>
                <w:rFonts w:ascii="宋体" w:hAnsi="宋体"/>
                <w:color w:val="auto"/>
                <w:szCs w:val="21"/>
                <w:highlight w:val="none"/>
              </w:rPr>
              <w:t>2019</w:t>
            </w:r>
            <w:r>
              <w:rPr>
                <w:rFonts w:hint="eastAsia" w:ascii="宋体" w:hAnsi="宋体"/>
                <w:color w:val="auto"/>
                <w:szCs w:val="21"/>
                <w:highlight w:val="none"/>
              </w:rPr>
              <w:t>年度既有吉林省评价也有全国评价的，采用等级较低的评价结果。</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b.投标人在2019</w:t>
            </w:r>
            <w:r>
              <w:rPr>
                <w:rFonts w:hint="eastAsia" w:ascii="宋体" w:hAnsi="宋体"/>
                <w:color w:val="auto"/>
                <w:szCs w:val="21"/>
                <w:highlight w:val="none"/>
              </w:rPr>
              <w:t>年度既没有吉林省评价也没有全国评价的，则应用其</w:t>
            </w:r>
            <w:r>
              <w:rPr>
                <w:rFonts w:ascii="宋体" w:hAnsi="宋体"/>
                <w:color w:val="auto"/>
                <w:szCs w:val="21"/>
                <w:highlight w:val="none"/>
              </w:rPr>
              <w:t>2018</w:t>
            </w:r>
            <w:r>
              <w:rPr>
                <w:rFonts w:hint="eastAsia" w:ascii="宋体" w:hAnsi="宋体"/>
                <w:color w:val="auto"/>
                <w:szCs w:val="21"/>
                <w:highlight w:val="none"/>
              </w:rPr>
              <w:t>年度吉林省评价或全国评价：</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2018</w:t>
            </w:r>
            <w:r>
              <w:rPr>
                <w:rFonts w:hint="eastAsia" w:ascii="宋体" w:hAnsi="宋体"/>
                <w:color w:val="auto"/>
                <w:szCs w:val="21"/>
                <w:highlight w:val="none"/>
              </w:rPr>
              <w:t>年度吉林省评价：〔《关于发布</w:t>
            </w:r>
            <w:r>
              <w:rPr>
                <w:rFonts w:ascii="宋体" w:hAnsi="宋体"/>
                <w:color w:val="auto"/>
                <w:szCs w:val="21"/>
                <w:highlight w:val="none"/>
              </w:rPr>
              <w:t>2018年度公路设计、施工企业吉林省省级综合评价结果的公告》（2019</w:t>
            </w:r>
            <w:r>
              <w:rPr>
                <w:rFonts w:hint="eastAsia" w:ascii="宋体" w:hAnsi="宋体"/>
                <w:color w:val="auto"/>
                <w:szCs w:val="21"/>
                <w:highlight w:val="none"/>
              </w:rPr>
              <w:t>年第</w:t>
            </w:r>
            <w:r>
              <w:rPr>
                <w:rFonts w:ascii="宋体" w:hAnsi="宋体"/>
                <w:color w:val="auto"/>
                <w:szCs w:val="21"/>
                <w:highlight w:val="none"/>
              </w:rPr>
              <w:t>1号）〕；</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2018</w:t>
            </w:r>
            <w:r>
              <w:rPr>
                <w:rFonts w:hint="eastAsia" w:ascii="宋体" w:hAnsi="宋体"/>
                <w:color w:val="auto"/>
                <w:szCs w:val="21"/>
                <w:highlight w:val="none"/>
              </w:rPr>
              <w:t>年度全国评价：〔《交通运输部关于公布</w:t>
            </w:r>
            <w:r>
              <w:rPr>
                <w:rFonts w:ascii="宋体" w:hAnsi="宋体"/>
                <w:color w:val="auto"/>
                <w:szCs w:val="21"/>
                <w:highlight w:val="none"/>
              </w:rPr>
              <w:t>2018年度公路建设市场全国综合信用评价结果的公告》（交通运输部公告第67号）〕；</w:t>
            </w:r>
          </w:p>
          <w:p>
            <w:pPr>
              <w:adjustRightInd w:val="0"/>
              <w:snapToGrid w:val="0"/>
              <w:spacing w:line="280" w:lineRule="atLeast"/>
              <w:ind w:left="210" w:leftChars="100" w:firstLine="0"/>
              <w:textAlignment w:val="baseline"/>
              <w:rPr>
                <w:rFonts w:ascii="宋体" w:hAnsi="宋体"/>
                <w:color w:val="auto"/>
                <w:szCs w:val="21"/>
                <w:highlight w:val="none"/>
              </w:rPr>
            </w:pPr>
            <w:r>
              <w:rPr>
                <w:rFonts w:hint="eastAsia" w:ascii="宋体" w:hAnsi="宋体"/>
                <w:color w:val="auto"/>
                <w:szCs w:val="21"/>
                <w:highlight w:val="none"/>
              </w:rPr>
              <w:t>投标人在</w:t>
            </w:r>
            <w:r>
              <w:rPr>
                <w:rFonts w:ascii="宋体" w:hAnsi="宋体"/>
                <w:color w:val="auto"/>
                <w:szCs w:val="21"/>
                <w:highlight w:val="none"/>
              </w:rPr>
              <w:t>2018</w:t>
            </w:r>
            <w:r>
              <w:rPr>
                <w:rFonts w:hint="eastAsia" w:ascii="宋体" w:hAnsi="宋体"/>
                <w:color w:val="auto"/>
                <w:szCs w:val="21"/>
                <w:highlight w:val="none"/>
              </w:rPr>
              <w:t>年度既有吉林省评价也有全国评价的，采用等级较低的评价结果。</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投标人在</w:t>
            </w:r>
            <w:r>
              <w:rPr>
                <w:rFonts w:ascii="宋体" w:hAnsi="宋体"/>
                <w:color w:val="auto"/>
                <w:szCs w:val="21"/>
                <w:highlight w:val="none"/>
              </w:rPr>
              <w:t>2018</w:t>
            </w:r>
            <w:r>
              <w:rPr>
                <w:rFonts w:hint="eastAsia" w:ascii="宋体" w:hAnsi="宋体"/>
                <w:color w:val="auto"/>
                <w:szCs w:val="21"/>
                <w:highlight w:val="none"/>
              </w:rPr>
              <w:t>年度既没有吉林省评价也没有全国评价的，若无不良信用记录，最高可按“</w:t>
            </w:r>
            <w:r>
              <w:rPr>
                <w:rFonts w:ascii="宋体" w:hAnsi="宋体"/>
                <w:color w:val="auto"/>
                <w:szCs w:val="21"/>
                <w:highlight w:val="none"/>
              </w:rPr>
              <w:t>A级”认定，但不得高于其最近年度原评价等级的上一等级。若有不良信用记录，按其他等级认定。</w:t>
            </w:r>
          </w:p>
          <w:p>
            <w:pPr>
              <w:adjustRightInd w:val="0"/>
              <w:snapToGrid w:val="0"/>
              <w:spacing w:line="280" w:lineRule="atLeast"/>
              <w:ind w:left="210" w:leftChars="100" w:firstLine="0"/>
              <w:textAlignment w:val="baseline"/>
              <w:rPr>
                <w:rFonts w:ascii="宋体" w:hAnsi="宋体"/>
                <w:color w:val="auto"/>
                <w:szCs w:val="21"/>
                <w:highlight w:val="none"/>
              </w:rPr>
            </w:pPr>
            <w:r>
              <w:rPr>
                <w:rFonts w:ascii="宋体" w:hAnsi="宋体"/>
                <w:color w:val="auto"/>
                <w:szCs w:val="21"/>
                <w:highlight w:val="none"/>
              </w:rPr>
              <w:t>3）评分标准如下：</w:t>
            </w:r>
          </w:p>
          <w:p>
            <w:pPr>
              <w:adjustRightInd w:val="0"/>
              <w:snapToGrid w:val="0"/>
              <w:spacing w:line="280" w:lineRule="atLeast"/>
              <w:ind w:left="210" w:leftChars="100"/>
              <w:jc w:val="left"/>
              <w:textAlignment w:val="baseline"/>
              <w:rPr>
                <w:rFonts w:ascii="宋体" w:hAnsi="宋体"/>
                <w:color w:val="auto"/>
                <w:szCs w:val="21"/>
                <w:highlight w:val="none"/>
              </w:rPr>
            </w:pPr>
            <w:r>
              <w:rPr>
                <w:rFonts w:ascii="宋体" w:hAnsi="宋体"/>
                <w:color w:val="auto"/>
                <w:szCs w:val="21"/>
                <w:highlight w:val="none"/>
              </w:rPr>
              <w:t>AA级、A级</w:t>
            </w:r>
            <w:r>
              <w:rPr>
                <w:rFonts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分</w:t>
            </w:r>
          </w:p>
          <w:p>
            <w:pPr>
              <w:adjustRightInd w:val="0"/>
              <w:snapToGrid w:val="0"/>
              <w:spacing w:line="280" w:lineRule="atLeast"/>
              <w:ind w:firstLine="210" w:firstLineChars="100"/>
              <w:jc w:val="left"/>
              <w:textAlignment w:val="baseline"/>
              <w:rPr>
                <w:rFonts w:ascii="宋体" w:hAnsi="宋体"/>
                <w:color w:val="auto"/>
                <w:szCs w:val="21"/>
                <w:highlight w:val="none"/>
              </w:rPr>
            </w:pPr>
            <w:r>
              <w:rPr>
                <w:rFonts w:hint="eastAsia" w:ascii="宋体" w:hAnsi="宋体"/>
                <w:color w:val="auto"/>
                <w:szCs w:val="21"/>
                <w:highlight w:val="none"/>
              </w:rPr>
              <w:t>其他等级</w:t>
            </w:r>
            <w:r>
              <w:rPr>
                <w:rFonts w:ascii="宋体" w:hAnsi="宋体"/>
                <w:color w:val="auto"/>
                <w:szCs w:val="21"/>
                <w:highlight w:val="none"/>
              </w:rPr>
              <w:tab/>
            </w:r>
            <w:r>
              <w:rPr>
                <w:rFonts w:ascii="宋体" w:hAnsi="宋体"/>
                <w:color w:val="auto"/>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34" w:hRule="atLeast"/>
        </w:trPr>
        <w:tc>
          <w:tcPr>
            <w:tcW w:w="659" w:type="dxa"/>
            <w:vAlign w:val="center"/>
          </w:tcPr>
          <w:p>
            <w:pPr>
              <w:snapToGrid w:val="0"/>
              <w:jc w:val="left"/>
              <w:rPr>
                <w:rFonts w:ascii="宋体" w:hAnsi="宋体"/>
                <w:color w:val="auto"/>
                <w:szCs w:val="21"/>
                <w:highlight w:val="none"/>
              </w:rPr>
            </w:pPr>
          </w:p>
        </w:tc>
        <w:tc>
          <w:tcPr>
            <w:tcW w:w="346" w:type="dxa"/>
            <w:textDirection w:val="tbLrV"/>
            <w:vAlign w:val="center"/>
          </w:tcPr>
          <w:p>
            <w:pPr>
              <w:snapToGrid w:val="0"/>
              <w:ind w:left="113" w:right="113"/>
              <w:jc w:val="center"/>
              <w:rPr>
                <w:rStyle w:val="93"/>
                <w:color w:val="auto"/>
                <w:sz w:val="21"/>
                <w:szCs w:val="21"/>
                <w:highlight w:val="none"/>
                <w:lang w:eastAsia="zh-CN"/>
              </w:rPr>
            </w:pPr>
          </w:p>
        </w:tc>
        <w:tc>
          <w:tcPr>
            <w:tcW w:w="346" w:type="dxa"/>
            <w:textDirection w:val="tbLrV"/>
            <w:vAlign w:val="center"/>
          </w:tcPr>
          <w:p>
            <w:pPr>
              <w:snapToGrid w:val="0"/>
              <w:ind w:left="113" w:right="113"/>
              <w:jc w:val="center"/>
              <w:rPr>
                <w:rStyle w:val="93"/>
                <w:color w:val="auto"/>
                <w:sz w:val="21"/>
                <w:szCs w:val="21"/>
                <w:highlight w:val="none"/>
                <w:lang w:eastAsia="zh-CN"/>
              </w:rPr>
            </w:pPr>
            <w:r>
              <w:rPr>
                <w:rStyle w:val="93"/>
                <w:rFonts w:hint="eastAsia"/>
                <w:color w:val="auto"/>
                <w:sz w:val="21"/>
                <w:szCs w:val="21"/>
                <w:highlight w:val="none"/>
                <w:lang w:eastAsia="zh-CN"/>
              </w:rPr>
              <w:t>售后服务</w:t>
            </w:r>
          </w:p>
        </w:tc>
        <w:tc>
          <w:tcPr>
            <w:tcW w:w="538" w:type="dxa"/>
            <w:vAlign w:val="center"/>
          </w:tcPr>
          <w:p>
            <w:pPr>
              <w:widowControl/>
              <w:snapToGrid w:val="0"/>
              <w:jc w:val="center"/>
              <w:rPr>
                <w:rFonts w:ascii="宋体" w:hAnsi="宋体"/>
                <w:color w:val="auto"/>
                <w:highlight w:val="none"/>
              </w:rPr>
            </w:pPr>
            <w:r>
              <w:rPr>
                <w:rFonts w:ascii="宋体" w:hAnsi="宋体"/>
                <w:color w:val="auto"/>
                <w:szCs w:val="21"/>
                <w:highlight w:val="none"/>
              </w:rPr>
              <w:t>3</w:t>
            </w:r>
            <w:r>
              <w:rPr>
                <w:rFonts w:hint="eastAsia" w:ascii="宋体" w:hAnsi="宋体"/>
                <w:color w:val="auto"/>
                <w:szCs w:val="21"/>
                <w:highlight w:val="none"/>
              </w:rPr>
              <w:t>分</w:t>
            </w: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缺陷责任期</w:t>
            </w:r>
          </w:p>
        </w:tc>
        <w:tc>
          <w:tcPr>
            <w:tcW w:w="550"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3</w:t>
            </w:r>
          </w:p>
          <w:p>
            <w:pPr>
              <w:adjustRightInd w:val="0"/>
              <w:snapToGrid w:val="0"/>
              <w:jc w:val="center"/>
              <w:rPr>
                <w:rFonts w:ascii="宋体" w:hAnsi="宋体"/>
                <w:color w:val="auto"/>
                <w:highlight w:val="none"/>
              </w:rPr>
            </w:pPr>
            <w:r>
              <w:rPr>
                <w:rFonts w:hint="eastAsia" w:ascii="宋体" w:hAnsi="宋体"/>
                <w:color w:val="auto"/>
                <w:szCs w:val="21"/>
                <w:highlight w:val="none"/>
              </w:rPr>
              <w:t>分</w:t>
            </w:r>
          </w:p>
        </w:tc>
        <w:tc>
          <w:tcPr>
            <w:tcW w:w="5628" w:type="dxa"/>
            <w:vAlign w:val="center"/>
          </w:tcPr>
          <w:p>
            <w:pPr>
              <w:adjustRightInd w:val="0"/>
              <w:snapToGrid w:val="0"/>
              <w:spacing w:line="280" w:lineRule="atLeast"/>
              <w:ind w:left="210" w:leftChars="100"/>
              <w:textAlignment w:val="baseline"/>
              <w:rPr>
                <w:rFonts w:ascii="宋体" w:hAnsi="宋体"/>
                <w:color w:val="auto"/>
                <w:szCs w:val="21"/>
                <w:highlight w:val="none"/>
              </w:rPr>
            </w:pPr>
            <w:r>
              <w:rPr>
                <w:rFonts w:hint="eastAsia" w:ascii="宋体" w:hAnsi="宋体"/>
                <w:color w:val="auto"/>
                <w:szCs w:val="21"/>
                <w:highlight w:val="none"/>
              </w:rPr>
              <w:t>满足招标文件规定的缺陷责任期（免费保修与运维期）</w:t>
            </w:r>
            <w:r>
              <w:rPr>
                <w:rFonts w:ascii="宋体" w:hAnsi="宋体"/>
                <w:color w:val="auto"/>
                <w:szCs w:val="21"/>
                <w:highlight w:val="none"/>
              </w:rPr>
              <w:t>2</w:t>
            </w:r>
            <w:r>
              <w:rPr>
                <w:rFonts w:hint="eastAsia" w:ascii="宋体" w:hAnsi="宋体"/>
                <w:color w:val="auto"/>
                <w:szCs w:val="21"/>
                <w:highlight w:val="none"/>
              </w:rPr>
              <w:t>年的，得</w:t>
            </w:r>
            <w:r>
              <w:rPr>
                <w:rFonts w:ascii="宋体" w:hAnsi="宋体"/>
                <w:color w:val="auto"/>
                <w:szCs w:val="21"/>
                <w:highlight w:val="none"/>
              </w:rPr>
              <w:t>1.8</w:t>
            </w:r>
            <w:r>
              <w:rPr>
                <w:rFonts w:hint="eastAsia" w:ascii="宋体" w:hAnsi="宋体"/>
                <w:color w:val="auto"/>
                <w:szCs w:val="21"/>
                <w:highlight w:val="none"/>
              </w:rPr>
              <w:t>分。</w:t>
            </w:r>
          </w:p>
          <w:p>
            <w:pPr>
              <w:adjustRightInd w:val="0"/>
              <w:snapToGrid w:val="0"/>
              <w:spacing w:line="280" w:lineRule="atLeast"/>
              <w:ind w:left="210" w:leftChars="100"/>
              <w:textAlignment w:val="baseline"/>
              <w:rPr>
                <w:rFonts w:ascii="宋体" w:hAnsi="宋体"/>
                <w:color w:val="auto"/>
                <w:szCs w:val="21"/>
                <w:highlight w:val="none"/>
              </w:rPr>
            </w:pPr>
            <w:r>
              <w:rPr>
                <w:rFonts w:hint="eastAsia" w:ascii="宋体" w:hAnsi="宋体"/>
                <w:color w:val="auto"/>
                <w:szCs w:val="21"/>
                <w:highlight w:val="none"/>
              </w:rPr>
              <w:t>在此基础上，投标人承诺缺陷责任期（免费保修与运维期）每延长1年加</w:t>
            </w:r>
            <w:r>
              <w:rPr>
                <w:rFonts w:ascii="宋体" w:hAnsi="宋体"/>
                <w:color w:val="auto"/>
                <w:szCs w:val="21"/>
                <w:highlight w:val="none"/>
              </w:rPr>
              <w:t>0.4</w:t>
            </w:r>
            <w:r>
              <w:rPr>
                <w:rFonts w:hint="eastAsia" w:ascii="宋体" w:hAnsi="宋体"/>
                <w:color w:val="auto"/>
                <w:szCs w:val="21"/>
                <w:highlight w:val="none"/>
              </w:rPr>
              <w:t>分，最多加</w:t>
            </w:r>
            <w:r>
              <w:rPr>
                <w:rFonts w:ascii="宋体" w:hAnsi="宋体"/>
                <w:color w:val="auto"/>
                <w:szCs w:val="21"/>
                <w:highlight w:val="none"/>
              </w:rPr>
              <w:t>1.2</w:t>
            </w:r>
            <w:r>
              <w:rPr>
                <w:rFonts w:hint="eastAsia" w:ascii="宋体" w:hAnsi="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678" w:hRule="atLeast"/>
        </w:trPr>
        <w:tc>
          <w:tcPr>
            <w:tcW w:w="659" w:type="dxa"/>
            <w:vAlign w:val="center"/>
          </w:tcPr>
          <w:p>
            <w:pPr>
              <w:snapToGrid w:val="0"/>
              <w:jc w:val="left"/>
              <w:rPr>
                <w:rFonts w:ascii="宋体" w:hAnsi="宋体"/>
                <w:color w:val="auto"/>
                <w:szCs w:val="21"/>
                <w:highlight w:val="none"/>
              </w:rPr>
            </w:pPr>
          </w:p>
        </w:tc>
        <w:tc>
          <w:tcPr>
            <w:tcW w:w="346" w:type="dxa"/>
            <w:vAlign w:val="center"/>
          </w:tcPr>
          <w:p>
            <w:pPr>
              <w:widowControl/>
              <w:snapToGrid w:val="0"/>
              <w:ind w:left="113"/>
              <w:jc w:val="left"/>
              <w:rPr>
                <w:rFonts w:ascii="宋体" w:hAnsi="宋体"/>
                <w:color w:val="auto"/>
                <w:szCs w:val="21"/>
                <w:highlight w:val="none"/>
              </w:rPr>
            </w:pPr>
          </w:p>
        </w:tc>
        <w:tc>
          <w:tcPr>
            <w:tcW w:w="346" w:type="dxa"/>
            <w:textDirection w:val="tbRlV"/>
            <w:vAlign w:val="center"/>
          </w:tcPr>
          <w:p>
            <w:pPr>
              <w:snapToGrid w:val="0"/>
              <w:ind w:left="113" w:right="113"/>
              <w:jc w:val="center"/>
              <w:rPr>
                <w:rFonts w:ascii="宋体" w:hAnsi="宋体"/>
                <w:color w:val="auto"/>
                <w:highlight w:val="none"/>
              </w:rPr>
            </w:pPr>
            <w:r>
              <w:rPr>
                <w:rStyle w:val="93"/>
                <w:rFonts w:hint="eastAsia"/>
                <w:color w:val="auto"/>
                <w:sz w:val="21"/>
                <w:szCs w:val="21"/>
                <w:highlight w:val="none"/>
                <w:lang w:eastAsia="zh-CN"/>
              </w:rPr>
              <w:t>主要设备</w:t>
            </w:r>
          </w:p>
        </w:tc>
        <w:tc>
          <w:tcPr>
            <w:tcW w:w="538" w:type="dxa"/>
            <w:vAlign w:val="center"/>
          </w:tcPr>
          <w:p>
            <w:pPr>
              <w:widowControl/>
              <w:snapToGrid w:val="0"/>
              <w:jc w:val="center"/>
              <w:rPr>
                <w:rFonts w:ascii="宋体" w:hAnsi="宋体"/>
                <w:color w:val="auto"/>
                <w:highlight w:val="none"/>
              </w:rPr>
            </w:pPr>
            <w:r>
              <w:rPr>
                <w:rFonts w:hint="eastAsia" w:ascii="宋体" w:hAnsi="宋体"/>
                <w:color w:val="auto"/>
                <w:szCs w:val="21"/>
                <w:highlight w:val="none"/>
              </w:rPr>
              <w:t>7分</w:t>
            </w:r>
          </w:p>
        </w:tc>
        <w:tc>
          <w:tcPr>
            <w:tcW w:w="98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设备品牌与应用</w:t>
            </w:r>
          </w:p>
        </w:tc>
        <w:tc>
          <w:tcPr>
            <w:tcW w:w="550" w:type="dxa"/>
            <w:vAlign w:val="center"/>
          </w:tcPr>
          <w:p>
            <w:pPr>
              <w:adjustRightInd w:val="0"/>
              <w:snapToGrid w:val="0"/>
              <w:jc w:val="center"/>
              <w:rPr>
                <w:rFonts w:ascii="宋体" w:hAnsi="宋体"/>
                <w:color w:val="auto"/>
                <w:highlight w:val="none"/>
              </w:rPr>
            </w:pPr>
            <w:r>
              <w:rPr>
                <w:rFonts w:hint="eastAsia" w:ascii="宋体" w:hAnsi="宋体"/>
                <w:color w:val="auto"/>
                <w:szCs w:val="21"/>
                <w:highlight w:val="none"/>
              </w:rPr>
              <w:t>7分</w:t>
            </w:r>
          </w:p>
        </w:tc>
        <w:tc>
          <w:tcPr>
            <w:tcW w:w="5628" w:type="dxa"/>
            <w:vAlign w:val="center"/>
          </w:tcPr>
          <w:p>
            <w:pPr>
              <w:adjustRightInd w:val="0"/>
              <w:snapToGrid w:val="0"/>
              <w:spacing w:line="360" w:lineRule="auto"/>
              <w:ind w:firstLine="210"/>
              <w:textAlignment w:val="baseline"/>
              <w:rPr>
                <w:rFonts w:ascii="宋体" w:hAnsi="宋体"/>
                <w:color w:val="auto"/>
                <w:szCs w:val="21"/>
                <w:highlight w:val="none"/>
              </w:rPr>
            </w:pPr>
            <w:r>
              <w:rPr>
                <w:rFonts w:hint="eastAsia" w:ascii="宋体" w:hAnsi="宋体"/>
                <w:color w:val="auto"/>
                <w:szCs w:val="21"/>
                <w:highlight w:val="none"/>
              </w:rPr>
              <w:t>见附件</w:t>
            </w:r>
          </w:p>
        </w:tc>
      </w:tr>
    </w:tbl>
    <w:p>
      <w:pPr>
        <w:widowControl/>
        <w:jc w:val="left"/>
        <w:rPr>
          <w:rFonts w:ascii="黑体" w:hAnsi="黑体" w:eastAsia="黑体"/>
          <w:color w:val="auto"/>
          <w:sz w:val="28"/>
          <w:szCs w:val="28"/>
          <w:highlight w:val="none"/>
        </w:rPr>
      </w:pPr>
      <w:r>
        <w:rPr>
          <w:rFonts w:ascii="黑体" w:hAnsi="黑体" w:eastAsia="黑体"/>
          <w:color w:val="auto"/>
          <w:sz w:val="28"/>
          <w:szCs w:val="28"/>
          <w:highlight w:val="none"/>
        </w:rPr>
        <w:br w:type="page"/>
      </w:r>
    </w:p>
    <w:p>
      <w:pPr>
        <w:spacing w:before="240" w:beforeLines="100" w:after="100" w:afterAutospacing="1" w:line="320" w:lineRule="exact"/>
        <w:jc w:val="left"/>
        <w:rPr>
          <w:rFonts w:ascii="黑体" w:hAnsi="黑体" w:eastAsia="黑体"/>
          <w:bCs/>
          <w:color w:val="auto"/>
          <w:sz w:val="28"/>
          <w:szCs w:val="28"/>
          <w:highlight w:val="none"/>
          <w:lang w:val="zh-CN"/>
        </w:rPr>
      </w:pPr>
      <w:r>
        <w:rPr>
          <w:rFonts w:hint="eastAsia" w:ascii="黑体" w:hAnsi="黑体" w:eastAsia="黑体"/>
          <w:bCs/>
          <w:color w:val="auto"/>
          <w:sz w:val="28"/>
          <w:szCs w:val="28"/>
          <w:highlight w:val="none"/>
          <w:lang w:val="zh-CN"/>
        </w:rPr>
        <w:t>附件：主要机电设备品牌、应用评分标准</w:t>
      </w:r>
    </w:p>
    <w:p>
      <w:pPr>
        <w:rPr>
          <w:rFonts w:ascii="楷体" w:hAnsi="楷体" w:eastAsia="楷体"/>
          <w:color w:val="auto"/>
          <w:highlight w:val="none"/>
        </w:rPr>
      </w:pPr>
      <w:r>
        <w:rPr>
          <w:rFonts w:hint="eastAsia" w:ascii="楷体" w:hAnsi="楷体" w:eastAsia="楷体"/>
          <w:color w:val="auto"/>
          <w:highlight w:val="none"/>
        </w:rPr>
        <w:t>说明：</w:t>
      </w:r>
    </w:p>
    <w:p>
      <w:pPr>
        <w:rPr>
          <w:rFonts w:ascii="楷体" w:hAnsi="楷体" w:eastAsia="楷体"/>
          <w:color w:val="auto"/>
          <w:highlight w:val="none"/>
        </w:rPr>
      </w:pPr>
      <w:r>
        <w:rPr>
          <w:rFonts w:hint="eastAsia" w:ascii="楷体" w:hAnsi="楷体" w:eastAsia="楷体"/>
          <w:color w:val="auto"/>
          <w:highlight w:val="none"/>
        </w:rPr>
        <w:t>1.主要机电设备品牌、应用评分的计算方法：每个设备品牌、应用得分=品牌、应用得分×品牌、应用加权系数；</w:t>
      </w:r>
    </w:p>
    <w:p>
      <w:pPr>
        <w:rPr>
          <w:rFonts w:ascii="楷体" w:hAnsi="楷体" w:eastAsia="楷体"/>
          <w:color w:val="auto"/>
          <w:highlight w:val="none"/>
        </w:rPr>
      </w:pPr>
      <w:r>
        <w:rPr>
          <w:rFonts w:hint="eastAsia" w:ascii="楷体" w:hAnsi="楷体" w:eastAsia="楷体"/>
          <w:color w:val="auto"/>
          <w:highlight w:val="none"/>
        </w:rPr>
        <w:t>2.设备品牌、应用评分标准（见下表）；</w:t>
      </w:r>
    </w:p>
    <w:p>
      <w:pPr>
        <w:rPr>
          <w:rFonts w:ascii="楷体" w:hAnsi="楷体" w:eastAsia="楷体"/>
          <w:color w:val="auto"/>
          <w:highlight w:val="none"/>
        </w:rPr>
      </w:pPr>
      <w:r>
        <w:rPr>
          <w:rFonts w:hint="eastAsia" w:ascii="楷体" w:hAnsi="楷体" w:eastAsia="楷体"/>
          <w:color w:val="auto"/>
          <w:highlight w:val="none"/>
        </w:rPr>
        <w:t>3.得分计算保留两位小数，小数点后第三位“四舍五入”。</w:t>
      </w:r>
    </w:p>
    <w:p>
      <w:pPr>
        <w:rPr>
          <w:rFonts w:ascii="楷体" w:hAnsi="楷体" w:eastAsia="楷体"/>
          <w:color w:val="auto"/>
          <w:highlight w:val="none"/>
        </w:rPr>
      </w:pPr>
    </w:p>
    <w:p>
      <w:pPr>
        <w:rPr>
          <w:rFonts w:hint="eastAsia" w:ascii="楷体" w:hAnsi="楷体" w:eastAsia="楷体"/>
          <w:b/>
          <w:bCs/>
          <w:color w:val="auto"/>
          <w:highlight w:val="none"/>
        </w:rPr>
      </w:pPr>
      <w:r>
        <w:rPr>
          <w:rFonts w:hint="eastAsia" w:ascii="楷体" w:hAnsi="楷体" w:eastAsia="楷体"/>
          <w:b/>
          <w:bCs/>
          <w:color w:val="auto"/>
          <w:highlight w:val="none"/>
        </w:rPr>
        <w:t>JD01标段</w:t>
      </w:r>
    </w:p>
    <w:tbl>
      <w:tblPr>
        <w:tblStyle w:val="43"/>
        <w:tblpPr w:leftFromText="180" w:rightFromText="180" w:vertAnchor="text" w:horzAnchor="margin" w:tblpX="1" w:tblpY="17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9"/>
        <w:gridCol w:w="3851"/>
        <w:gridCol w:w="1134"/>
        <w:gridCol w:w="116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851"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1134"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得分</w:t>
            </w:r>
          </w:p>
        </w:tc>
        <w:tc>
          <w:tcPr>
            <w:tcW w:w="1166"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加权系数</w:t>
            </w:r>
          </w:p>
        </w:tc>
        <w:tc>
          <w:tcPr>
            <w:tcW w:w="241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加权系数标准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流媒体转发服务器</w:t>
            </w:r>
          </w:p>
        </w:tc>
        <w:tc>
          <w:tcPr>
            <w:tcW w:w="1134"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1166" w:type="dxa"/>
            <w:vMerge w:val="restart"/>
            <w:vAlign w:val="center"/>
          </w:tcPr>
          <w:p>
            <w:pPr>
              <w:jc w:val="center"/>
              <w:rPr>
                <w:rFonts w:ascii="宋体" w:hAnsi="宋体" w:cs="宋体"/>
                <w:color w:val="auto"/>
                <w:kern w:val="0"/>
                <w:szCs w:val="21"/>
                <w:highlight w:val="none"/>
              </w:rPr>
            </w:pPr>
            <w:r>
              <w:rPr>
                <w:rFonts w:hint="eastAsia" w:ascii="宋体" w:hAnsi="宋体"/>
                <w:color w:val="auto"/>
                <w:szCs w:val="21"/>
                <w:highlight w:val="none"/>
                <w:lang w:val="en-US" w:eastAsia="zh-CN"/>
              </w:rPr>
              <w:t>0.6</w:t>
            </w:r>
            <w:r>
              <w:rPr>
                <w:rFonts w:hint="eastAsia" w:ascii="宋体" w:hAnsi="宋体"/>
                <w:color w:val="auto"/>
                <w:szCs w:val="21"/>
                <w:highlight w:val="none"/>
              </w:rPr>
              <w:t>～</w:t>
            </w:r>
            <w:r>
              <w:rPr>
                <w:rFonts w:hint="eastAsia" w:ascii="宋体" w:hAnsi="宋体"/>
                <w:color w:val="auto"/>
                <w:szCs w:val="21"/>
                <w:highlight w:val="none"/>
                <w:lang w:val="en-US" w:eastAsia="zh-CN"/>
              </w:rPr>
              <w:t>1</w:t>
            </w:r>
          </w:p>
        </w:tc>
        <w:tc>
          <w:tcPr>
            <w:tcW w:w="2410" w:type="dxa"/>
            <w:vMerge w:val="restart"/>
            <w:vAlign w:val="center"/>
          </w:tcPr>
          <w:p>
            <w:pPr>
              <w:rPr>
                <w:rFonts w:ascii="宋体" w:hAnsi="宋体"/>
                <w:color w:val="auto"/>
                <w:szCs w:val="21"/>
                <w:highlight w:val="none"/>
              </w:rPr>
            </w:pPr>
            <w:r>
              <w:rPr>
                <w:rFonts w:hint="eastAsia" w:ascii="宋体" w:hAnsi="宋体"/>
                <w:color w:val="auto"/>
                <w:szCs w:val="21"/>
                <w:highlight w:val="none"/>
              </w:rPr>
              <w:t>选用知名品牌、在国内行业中大范围使用的取</w:t>
            </w:r>
            <w:r>
              <w:rPr>
                <w:rFonts w:hint="eastAsia" w:ascii="宋体" w:hAnsi="宋体"/>
                <w:color w:val="auto"/>
                <w:szCs w:val="21"/>
                <w:highlight w:val="none"/>
                <w:lang w:val="en-US" w:eastAsia="zh-CN"/>
              </w:rPr>
              <w:t>1</w:t>
            </w:r>
            <w:r>
              <w:rPr>
                <w:rFonts w:hint="eastAsia" w:ascii="宋体" w:hAnsi="宋体"/>
                <w:color w:val="auto"/>
                <w:szCs w:val="21"/>
                <w:highlight w:val="none"/>
              </w:rPr>
              <w:t>；</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选用一般品牌、在国内行业中有一定比例使用的取</w:t>
            </w:r>
            <w:r>
              <w:rPr>
                <w:rFonts w:hint="eastAsia" w:ascii="宋体" w:hAnsi="宋体"/>
                <w:color w:val="auto"/>
                <w:szCs w:val="21"/>
                <w:highlight w:val="none"/>
                <w:lang w:val="en-US" w:eastAsia="zh-CN"/>
              </w:rPr>
              <w:t>0.8</w:t>
            </w:r>
            <w:r>
              <w:rPr>
                <w:rFonts w:hint="eastAsia" w:ascii="宋体" w:hAnsi="宋体"/>
                <w:color w:val="auto"/>
                <w:szCs w:val="21"/>
                <w:highlight w:val="none"/>
              </w:rPr>
              <w:t>；</w:t>
            </w:r>
          </w:p>
          <w:p>
            <w:pPr>
              <w:rPr>
                <w:rFonts w:ascii="宋体" w:hAnsi="宋体"/>
                <w:color w:val="auto"/>
                <w:szCs w:val="21"/>
                <w:highlight w:val="none"/>
              </w:rPr>
            </w:pPr>
          </w:p>
          <w:p>
            <w:pPr>
              <w:jc w:val="left"/>
              <w:rPr>
                <w:rFonts w:ascii="宋体" w:hAnsi="宋体" w:cs="宋体"/>
                <w:color w:val="auto"/>
                <w:kern w:val="0"/>
                <w:szCs w:val="21"/>
                <w:highlight w:val="none"/>
              </w:rPr>
            </w:pPr>
            <w:r>
              <w:rPr>
                <w:rFonts w:hint="eastAsia" w:ascii="宋体" w:hAnsi="宋体"/>
                <w:color w:val="auto"/>
                <w:szCs w:val="21"/>
                <w:highlight w:val="none"/>
              </w:rPr>
              <w:t>选用不知名品牌、在国内行业中有较少比例使用的取</w:t>
            </w:r>
            <w:r>
              <w:rPr>
                <w:rFonts w:hint="eastAsia" w:ascii="宋体" w:hAnsi="宋体"/>
                <w:color w:val="auto"/>
                <w:szCs w:val="21"/>
                <w:highlight w:val="none"/>
                <w:lang w:val="en-US" w:eastAsia="zh-CN"/>
              </w:rPr>
              <w:t>0.6</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万兆核心交换机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jc w:val="center"/>
              <w:rPr>
                <w:rFonts w:ascii="宋体" w:hAnsi="宋体" w:cs="宋体"/>
                <w:color w:val="auto"/>
                <w:kern w:val="0"/>
                <w:szCs w:val="21"/>
                <w:highlight w:val="none"/>
              </w:rPr>
            </w:pPr>
          </w:p>
        </w:tc>
        <w:tc>
          <w:tcPr>
            <w:tcW w:w="2410" w:type="dxa"/>
            <w:vMerge w:val="continue"/>
            <w:vAlign w:val="center"/>
          </w:tcPr>
          <w:p>
            <w:pPr>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80公里万兆光模块</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jc w:val="center"/>
              <w:rPr>
                <w:rFonts w:ascii="宋体" w:hAnsi="宋体" w:cs="宋体"/>
                <w:color w:val="auto"/>
                <w:kern w:val="0"/>
                <w:szCs w:val="21"/>
                <w:highlight w:val="none"/>
              </w:rPr>
            </w:pPr>
          </w:p>
        </w:tc>
        <w:tc>
          <w:tcPr>
            <w:tcW w:w="2410" w:type="dxa"/>
            <w:vMerge w:val="continue"/>
            <w:vAlign w:val="center"/>
          </w:tcPr>
          <w:p>
            <w:pPr>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汇聚交换机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接入交换机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环网工业以太网交换机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磁盘阵列</w:t>
            </w:r>
          </w:p>
        </w:tc>
        <w:tc>
          <w:tcPr>
            <w:tcW w:w="1134" w:type="dxa"/>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4390" w:type="dxa"/>
            <w:gridSpan w:val="2"/>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7分</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bl>
    <w:p>
      <w:pPr>
        <w:rPr>
          <w:rFonts w:ascii="楷体" w:hAnsi="楷体" w:eastAsia="楷体"/>
          <w:b/>
          <w:bCs/>
          <w:color w:val="auto"/>
          <w:highlight w:val="none"/>
        </w:rPr>
      </w:pPr>
    </w:p>
    <w:p>
      <w:pPr>
        <w:widowControl/>
        <w:jc w:val="left"/>
        <w:rPr>
          <w:rFonts w:ascii="楷体" w:hAnsi="楷体" w:eastAsia="楷体"/>
          <w:b/>
          <w:bCs/>
          <w:color w:val="auto"/>
          <w:highlight w:val="none"/>
        </w:rPr>
      </w:pPr>
      <w:r>
        <w:rPr>
          <w:rFonts w:ascii="楷体" w:hAnsi="楷体" w:eastAsia="楷体"/>
          <w:b/>
          <w:bCs/>
          <w:color w:val="auto"/>
          <w:highlight w:val="none"/>
        </w:rPr>
        <w:br w:type="page"/>
      </w:r>
    </w:p>
    <w:p>
      <w:pPr>
        <w:rPr>
          <w:rFonts w:hint="eastAsia" w:ascii="楷体" w:hAnsi="楷体" w:eastAsia="楷体"/>
          <w:b/>
          <w:bCs/>
          <w:color w:val="auto"/>
          <w:highlight w:val="none"/>
        </w:rPr>
      </w:pPr>
      <w:r>
        <w:rPr>
          <w:rFonts w:hint="eastAsia" w:ascii="楷体" w:hAnsi="楷体" w:eastAsia="楷体"/>
          <w:b/>
          <w:bCs/>
          <w:color w:val="auto"/>
          <w:highlight w:val="none"/>
        </w:rPr>
        <w:t>JD0</w:t>
      </w:r>
      <w:r>
        <w:rPr>
          <w:rFonts w:ascii="楷体" w:hAnsi="楷体" w:eastAsia="楷体"/>
          <w:b/>
          <w:bCs/>
          <w:color w:val="auto"/>
          <w:highlight w:val="none"/>
        </w:rPr>
        <w:t>2</w:t>
      </w:r>
      <w:r>
        <w:rPr>
          <w:rFonts w:hint="eastAsia" w:ascii="楷体" w:hAnsi="楷体" w:eastAsia="楷体"/>
          <w:b/>
          <w:bCs/>
          <w:color w:val="auto"/>
          <w:highlight w:val="none"/>
        </w:rPr>
        <w:t>标段</w:t>
      </w:r>
    </w:p>
    <w:tbl>
      <w:tblPr>
        <w:tblStyle w:val="43"/>
        <w:tblpPr w:leftFromText="180" w:rightFromText="180" w:vertAnchor="text" w:horzAnchor="margin" w:tblpX="1" w:tblpY="177"/>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9"/>
        <w:gridCol w:w="3851"/>
        <w:gridCol w:w="1134"/>
        <w:gridCol w:w="116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851"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1134" w:type="dxa"/>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得分</w:t>
            </w:r>
          </w:p>
        </w:tc>
        <w:tc>
          <w:tcPr>
            <w:tcW w:w="1166"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加权系数</w:t>
            </w:r>
          </w:p>
        </w:tc>
        <w:tc>
          <w:tcPr>
            <w:tcW w:w="241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品牌、应用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加权系数标准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视频存储管理服务器</w:t>
            </w:r>
          </w:p>
        </w:tc>
        <w:tc>
          <w:tcPr>
            <w:tcW w:w="1134"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1166" w:type="dxa"/>
            <w:vMerge w:val="restart"/>
            <w:vAlign w:val="center"/>
          </w:tcPr>
          <w:p>
            <w:pPr>
              <w:jc w:val="center"/>
              <w:rPr>
                <w:rFonts w:ascii="宋体" w:hAnsi="宋体" w:cs="宋体"/>
                <w:color w:val="auto"/>
                <w:kern w:val="0"/>
                <w:szCs w:val="21"/>
                <w:highlight w:val="none"/>
              </w:rPr>
            </w:pPr>
            <w:r>
              <w:rPr>
                <w:rFonts w:hint="eastAsia" w:ascii="宋体" w:hAnsi="宋体"/>
                <w:color w:val="auto"/>
                <w:szCs w:val="21"/>
                <w:highlight w:val="none"/>
                <w:lang w:val="en-US" w:eastAsia="zh-CN"/>
              </w:rPr>
              <w:t>0.6</w:t>
            </w:r>
            <w:r>
              <w:rPr>
                <w:rFonts w:hint="eastAsia" w:ascii="宋体" w:hAnsi="宋体"/>
                <w:color w:val="auto"/>
                <w:szCs w:val="21"/>
                <w:highlight w:val="none"/>
              </w:rPr>
              <w:t>～</w:t>
            </w:r>
            <w:r>
              <w:rPr>
                <w:rFonts w:hint="eastAsia" w:ascii="宋体" w:hAnsi="宋体"/>
                <w:color w:val="auto"/>
                <w:szCs w:val="21"/>
                <w:highlight w:val="none"/>
                <w:lang w:val="en-US" w:eastAsia="zh-CN"/>
              </w:rPr>
              <w:t>1</w:t>
            </w:r>
          </w:p>
        </w:tc>
        <w:tc>
          <w:tcPr>
            <w:tcW w:w="2410" w:type="dxa"/>
            <w:vMerge w:val="restart"/>
            <w:vAlign w:val="center"/>
          </w:tcPr>
          <w:p>
            <w:pPr>
              <w:rPr>
                <w:rFonts w:ascii="宋体" w:hAnsi="宋体"/>
                <w:color w:val="auto"/>
                <w:szCs w:val="21"/>
                <w:highlight w:val="none"/>
              </w:rPr>
            </w:pPr>
            <w:r>
              <w:rPr>
                <w:rFonts w:hint="eastAsia" w:ascii="宋体" w:hAnsi="宋体"/>
                <w:color w:val="auto"/>
                <w:szCs w:val="21"/>
                <w:highlight w:val="none"/>
              </w:rPr>
              <w:t>选用知名品牌、在国内行业中大范围使用的取</w:t>
            </w:r>
            <w:r>
              <w:rPr>
                <w:rFonts w:hint="eastAsia" w:ascii="宋体" w:hAnsi="宋体"/>
                <w:color w:val="auto"/>
                <w:szCs w:val="21"/>
                <w:highlight w:val="none"/>
                <w:lang w:val="en-US" w:eastAsia="zh-CN"/>
              </w:rPr>
              <w:t>1</w:t>
            </w:r>
            <w:r>
              <w:rPr>
                <w:rFonts w:hint="eastAsia" w:ascii="宋体" w:hAnsi="宋体"/>
                <w:color w:val="auto"/>
                <w:szCs w:val="21"/>
                <w:highlight w:val="none"/>
              </w:rPr>
              <w:t>；</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选用一般品牌、在国内行业中有一定比例使用的取</w:t>
            </w:r>
            <w:r>
              <w:rPr>
                <w:rFonts w:hint="eastAsia" w:ascii="宋体" w:hAnsi="宋体"/>
                <w:color w:val="auto"/>
                <w:szCs w:val="21"/>
                <w:highlight w:val="none"/>
                <w:lang w:val="en-US" w:eastAsia="zh-CN"/>
              </w:rPr>
              <w:t>0.8</w:t>
            </w:r>
            <w:r>
              <w:rPr>
                <w:rFonts w:hint="eastAsia" w:ascii="宋体" w:hAnsi="宋体"/>
                <w:color w:val="auto"/>
                <w:szCs w:val="21"/>
                <w:highlight w:val="none"/>
              </w:rPr>
              <w:t>；</w:t>
            </w:r>
          </w:p>
          <w:p>
            <w:pPr>
              <w:rPr>
                <w:rFonts w:ascii="宋体" w:hAnsi="宋体"/>
                <w:color w:val="auto"/>
                <w:szCs w:val="21"/>
                <w:highlight w:val="none"/>
              </w:rPr>
            </w:pPr>
          </w:p>
          <w:p>
            <w:pPr>
              <w:jc w:val="left"/>
              <w:rPr>
                <w:rFonts w:ascii="宋体" w:hAnsi="宋体" w:cs="宋体"/>
                <w:color w:val="auto"/>
                <w:kern w:val="0"/>
                <w:szCs w:val="21"/>
                <w:highlight w:val="none"/>
              </w:rPr>
            </w:pPr>
            <w:r>
              <w:rPr>
                <w:rFonts w:hint="eastAsia" w:ascii="宋体" w:hAnsi="宋体"/>
                <w:color w:val="auto"/>
                <w:szCs w:val="21"/>
                <w:highlight w:val="none"/>
              </w:rPr>
              <w:t>选用不知名品牌、在国内行业中有较少比例使用的取</w:t>
            </w:r>
            <w:r>
              <w:rPr>
                <w:rFonts w:hint="eastAsia" w:ascii="宋体" w:hAnsi="宋体"/>
                <w:color w:val="auto"/>
                <w:szCs w:val="21"/>
                <w:highlight w:val="none"/>
                <w:lang w:val="en-US" w:eastAsia="zh-CN"/>
              </w:rPr>
              <w:t>0.6</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汇聚交换机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jc w:val="center"/>
              <w:rPr>
                <w:rFonts w:ascii="宋体" w:hAnsi="宋体" w:cs="宋体"/>
                <w:color w:val="auto"/>
                <w:kern w:val="0"/>
                <w:szCs w:val="21"/>
                <w:highlight w:val="none"/>
              </w:rPr>
            </w:pPr>
          </w:p>
        </w:tc>
        <w:tc>
          <w:tcPr>
            <w:tcW w:w="2410" w:type="dxa"/>
            <w:vMerge w:val="continue"/>
            <w:vAlign w:val="center"/>
          </w:tcPr>
          <w:p>
            <w:pPr>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环网工业以太网交换机</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jc w:val="center"/>
              <w:rPr>
                <w:rFonts w:ascii="宋体" w:hAnsi="宋体" w:cs="宋体"/>
                <w:color w:val="auto"/>
                <w:kern w:val="0"/>
                <w:szCs w:val="21"/>
                <w:highlight w:val="none"/>
              </w:rPr>
            </w:pPr>
          </w:p>
        </w:tc>
        <w:tc>
          <w:tcPr>
            <w:tcW w:w="2410" w:type="dxa"/>
            <w:vMerge w:val="continue"/>
            <w:vAlign w:val="center"/>
          </w:tcPr>
          <w:p>
            <w:pPr>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视频上云网关（100路）</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视频上云网关（200路）</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磁盘阵列</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539"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851"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高清网络遥控摄像机</w:t>
            </w:r>
          </w:p>
        </w:tc>
        <w:tc>
          <w:tcPr>
            <w:tcW w:w="1134" w:type="dxa"/>
            <w:vAlign w:val="center"/>
          </w:tcPr>
          <w:p>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trPr>
        <w:tc>
          <w:tcPr>
            <w:tcW w:w="4390" w:type="dxa"/>
            <w:gridSpan w:val="2"/>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134"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7分</w:t>
            </w:r>
          </w:p>
        </w:tc>
        <w:tc>
          <w:tcPr>
            <w:tcW w:w="1166" w:type="dxa"/>
            <w:vMerge w:val="continue"/>
            <w:vAlign w:val="center"/>
          </w:tcPr>
          <w:p>
            <w:pPr>
              <w:widowControl/>
              <w:jc w:val="center"/>
              <w:rPr>
                <w:rFonts w:ascii="宋体" w:hAnsi="宋体" w:cs="宋体"/>
                <w:color w:val="auto"/>
                <w:kern w:val="0"/>
                <w:szCs w:val="21"/>
                <w:highlight w:val="none"/>
              </w:rPr>
            </w:pPr>
          </w:p>
        </w:tc>
        <w:tc>
          <w:tcPr>
            <w:tcW w:w="2410" w:type="dxa"/>
            <w:vMerge w:val="continue"/>
            <w:vAlign w:val="center"/>
          </w:tcPr>
          <w:p>
            <w:pPr>
              <w:widowControl/>
              <w:jc w:val="center"/>
              <w:rPr>
                <w:rFonts w:ascii="宋体" w:hAnsi="宋体" w:cs="宋体"/>
                <w:color w:val="auto"/>
                <w:kern w:val="0"/>
                <w:szCs w:val="21"/>
                <w:highlight w:val="none"/>
              </w:rPr>
            </w:pPr>
          </w:p>
        </w:tc>
      </w:tr>
    </w:tbl>
    <w:p>
      <w:pPr>
        <w:widowControl/>
        <w:jc w:val="left"/>
        <w:rPr>
          <w:rFonts w:ascii="黑体" w:hAnsi="黑体" w:eastAsia="黑体"/>
          <w:color w:val="auto"/>
          <w:sz w:val="28"/>
          <w:szCs w:val="28"/>
          <w:highlight w:val="none"/>
        </w:rPr>
      </w:pPr>
    </w:p>
    <w:p>
      <w:pPr>
        <w:adjustRightInd w:val="0"/>
        <w:snapToGrid w:val="0"/>
        <w:jc w:val="center"/>
        <w:rPr>
          <w:rFonts w:ascii="宋体" w:hAnsi="宋体" w:eastAsia="宋体" w:cs="Times New Roman"/>
          <w:b/>
          <w:sz w:val="28"/>
          <w:szCs w:val="28"/>
        </w:rPr>
      </w:pPr>
      <w:bookmarkStart w:id="20" w:name="_Toc46746196"/>
      <w:r>
        <w:rPr>
          <w:rFonts w:hint="eastAsia" w:ascii="宋体" w:hAnsi="宋体" w:eastAsia="宋体" w:cs="Times New Roman"/>
          <w:b/>
          <w:sz w:val="28"/>
          <w:szCs w:val="28"/>
        </w:rPr>
        <w:t>评标办法正文</w:t>
      </w:r>
      <w:bookmarkEnd w:id="20"/>
    </w:p>
    <w:p>
      <w:pPr>
        <w:snapToGrid w:val="0"/>
        <w:ind w:firstLine="420" w:firstLineChars="200"/>
        <w:rPr>
          <w:rFonts w:ascii="宋体" w:hAnsi="宋体" w:eastAsia="宋体"/>
          <w:szCs w:val="21"/>
        </w:rPr>
      </w:pPr>
    </w:p>
    <w:p>
      <w:pPr>
        <w:snapToGrid w:val="0"/>
        <w:ind w:firstLine="420" w:firstLineChars="200"/>
        <w:rPr>
          <w:rFonts w:ascii="宋体" w:hAnsi="宋体" w:eastAsia="宋体"/>
          <w:szCs w:val="21"/>
        </w:rPr>
      </w:pPr>
      <w:r>
        <w:rPr>
          <w:rFonts w:hint="eastAsia" w:ascii="宋体" w:hAnsi="宋体" w:eastAsia="宋体"/>
          <w:szCs w:val="21"/>
        </w:rPr>
        <w:t>见《公路工程标准文件》（2018年版）</w:t>
      </w:r>
    </w:p>
    <w:p>
      <w:pPr>
        <w:widowControl/>
        <w:snapToGrid w:val="0"/>
        <w:spacing w:line="20" w:lineRule="exact"/>
        <w:jc w:val="left"/>
        <w:rPr>
          <w:rFonts w:ascii="黑体" w:hAnsi="黑体" w:eastAsia="黑体"/>
          <w:color w:val="auto"/>
          <w:sz w:val="28"/>
          <w:szCs w:val="28"/>
          <w:highlight w:val="none"/>
        </w:rPr>
      </w:pPr>
    </w:p>
    <w:p>
      <w:pPr>
        <w:widowControl/>
        <w:snapToGrid w:val="0"/>
        <w:spacing w:line="20" w:lineRule="exact"/>
        <w:jc w:val="left"/>
        <w:rPr>
          <w:rFonts w:ascii="黑体" w:hAnsi="黑体" w:eastAsia="黑体"/>
          <w:color w:val="auto"/>
          <w:sz w:val="28"/>
          <w:szCs w:val="28"/>
          <w:highlight w:val="none"/>
        </w:rPr>
      </w:pPr>
    </w:p>
    <w:p>
      <w:pPr>
        <w:rPr>
          <w:color w:val="auto"/>
          <w:sz w:val="30"/>
          <w:szCs w:val="30"/>
          <w:highlight w:val="none"/>
        </w:rPr>
      </w:pPr>
      <w:bookmarkStart w:id="21" w:name="_Toc11728"/>
      <w:bookmarkStart w:id="22" w:name="_Toc484950609"/>
      <w:r>
        <w:rPr>
          <w:b w:val="0"/>
          <w:bCs w:val="0"/>
          <w:color w:val="auto"/>
          <w:highlight w:val="none"/>
        </w:rPr>
        <w:br w:type="textWrapping"/>
      </w:r>
      <w:bookmarkEnd w:id="18"/>
      <w:bookmarkEnd w:id="21"/>
      <w:bookmarkEnd w:id="22"/>
    </w:p>
    <w:sectPr>
      <w:headerReference r:id="rId4" w:type="default"/>
      <w:footerReference r:id="rId5" w:type="default"/>
      <w:footnotePr>
        <w:numFmt w:val="decimalEnclosedCircleChinese"/>
        <w:numRestart w:val="eachPage"/>
      </w:footnotePr>
      <w:pgSz w:w="11907" w:h="16840"/>
      <w:pgMar w:top="1418" w:right="1418" w:bottom="1418" w:left="1418"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超粗黑简体">
    <w:altName w:val="黑体"/>
    <w:panose1 w:val="00000000000000000000"/>
    <w:charset w:val="86"/>
    <w:family w:val="script"/>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lang w:val="en-US"/>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28"/>
                    </w:pPr>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3"/>
        <w:jc w:val="both"/>
        <w:rPr>
          <w:rFonts w:ascii="宋体" w:hAnsi="宋体"/>
        </w:rPr>
      </w:pPr>
      <w:r>
        <w:rPr>
          <w:rStyle w:val="55"/>
        </w:rPr>
        <w:footnoteRef/>
      </w:r>
      <w:r>
        <w:rPr>
          <w:rFonts w:hint="eastAsia"/>
        </w:rPr>
        <w:t xml:space="preserve"> </w:t>
      </w:r>
      <w:r>
        <w:rPr>
          <w:rFonts w:hint="eastAsia" w:ascii="宋体" w:hAnsi="宋体"/>
        </w:rPr>
        <w:t>a.“投标人须知前附表”用于进一步明确正文中的未尽事宜，凡“投标人须知前附表”对本章正文内容进行补充和细化的，均以“投标人须知前附表”为准；未进行补充和细化的，以本章正文内容为准。</w:t>
      </w:r>
    </w:p>
    <w:p>
      <w:pPr>
        <w:pStyle w:val="33"/>
        <w:ind w:firstLine="180" w:firstLineChars="100"/>
        <w:jc w:val="both"/>
        <w:rPr>
          <w:rFonts w:ascii="宋体" w:hAnsi="宋体"/>
        </w:rPr>
      </w:pPr>
      <w:r>
        <w:rPr>
          <w:rFonts w:hint="eastAsia" w:ascii="宋体" w:hAnsi="宋体"/>
        </w:rPr>
        <w:t>b.“投标人须知前附表”中的附录表格同属“投标人须知前附表”内容，具有同等效力。</w:t>
      </w:r>
    </w:p>
  </w:footnote>
  <w:footnote w:id="1">
    <w:p>
      <w:pPr>
        <w:pStyle w:val="33"/>
      </w:pPr>
      <w:r>
        <w:rPr>
          <w:rStyle w:val="55"/>
        </w:rPr>
        <w:footnoteRef/>
      </w:r>
      <w:r>
        <w:rPr>
          <w:rFonts w:hint="eastAsia"/>
          <w:b/>
          <w:lang w:val="en-US"/>
        </w:rPr>
        <w:t>本表中投标人自有人员</w:t>
      </w:r>
      <w:r>
        <w:rPr>
          <w:rFonts w:hint="eastAsia"/>
          <w:lang w:val="en-US"/>
        </w:rPr>
        <w:t>指投标人为其缴纳社会保险（指养老保险）的人员，</w:t>
      </w:r>
      <w:r>
        <w:rPr>
          <w:lang w:val="en-US"/>
        </w:rPr>
        <w:t>参保截止日期应在申请截止时间前3个月内</w:t>
      </w:r>
      <w:r>
        <w:rPr>
          <w:rFonts w:hint="eastAsia"/>
          <w:lang w:val="en-US"/>
        </w:rPr>
        <w:t>。</w:t>
      </w:r>
    </w:p>
  </w:footnote>
  <w:footnote w:id="2">
    <w:p>
      <w:pPr>
        <w:pStyle w:val="33"/>
        <w:spacing w:line="320" w:lineRule="exact"/>
        <w:jc w:val="both"/>
      </w:pPr>
      <w:r>
        <w:rPr>
          <w:rStyle w:val="55"/>
        </w:rPr>
        <w:footnoteRef/>
      </w:r>
      <w:r>
        <w:t xml:space="preserve"> </w:t>
      </w:r>
      <w:r>
        <w:rPr>
          <w:rFonts w:hint="eastAsia"/>
        </w:rPr>
        <w:t>“评标办法前附表”用于进一步明确正文中的未尽事宜，凡“评标办法前附表”对本章正文内容进行修改、完善和补充的，均以“评标办法前附表”为准；未进行补充、完善、修改和说明的，以本章正文内容为准。</w:t>
      </w:r>
    </w:p>
  </w:footnote>
  <w:footnote w:id="3">
    <w:p>
      <w:pPr>
        <w:pStyle w:val="33"/>
        <w:jc w:val="both"/>
      </w:pPr>
      <w:r>
        <w:rPr>
          <w:rStyle w:val="55"/>
        </w:rPr>
        <w:footnoteRef/>
      </w:r>
      <w:r>
        <w:t xml:space="preserve"> </w:t>
      </w:r>
      <w:r>
        <w:rPr>
          <w:rFonts w:hint="eastAsia"/>
        </w:rPr>
        <w:t>各评分因素（评标价和履约信誉评分项除外）得分一般不得低于其权重分值的 60%，且各评分因素得分应以评标委员会各成员的打分平均值确定，评标委员会成员总数为7人以上时，该平均值以去掉一个最高分和一个最低分后计算。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72C0C1D"/>
    <w:multiLevelType w:val="singleLevel"/>
    <w:tmpl w:val="572C0C1D"/>
    <w:lvl w:ilvl="0" w:tentative="0">
      <w:start w:val="1"/>
      <w:numFmt w:val="decimal"/>
      <w:suff w:val="nothing"/>
      <w:lvlText w:val="（%1）"/>
      <w:lvlJc w:val="left"/>
    </w:lvl>
  </w:abstractNum>
  <w:abstractNum w:abstractNumId="2">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hideSpellingErrors/>
  <w:hideGrammaticalErrors/>
  <w:documentProtection w:enforcement="0"/>
  <w:defaultTabStop w:val="720"/>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FA0"/>
    <w:rsid w:val="00054061"/>
    <w:rsid w:val="00060264"/>
    <w:rsid w:val="00081969"/>
    <w:rsid w:val="000A6EF0"/>
    <w:rsid w:val="000B302D"/>
    <w:rsid w:val="000B302F"/>
    <w:rsid w:val="000B65DD"/>
    <w:rsid w:val="000C0DD0"/>
    <w:rsid w:val="000E4E91"/>
    <w:rsid w:val="000E4F70"/>
    <w:rsid w:val="000E727F"/>
    <w:rsid w:val="00112EA1"/>
    <w:rsid w:val="001149C9"/>
    <w:rsid w:val="00170DE4"/>
    <w:rsid w:val="00172A27"/>
    <w:rsid w:val="00192C1D"/>
    <w:rsid w:val="0019533C"/>
    <w:rsid w:val="001B446F"/>
    <w:rsid w:val="001B54B6"/>
    <w:rsid w:val="001F1E02"/>
    <w:rsid w:val="0021267C"/>
    <w:rsid w:val="00217563"/>
    <w:rsid w:val="00232CE0"/>
    <w:rsid w:val="002663B3"/>
    <w:rsid w:val="00267976"/>
    <w:rsid w:val="00274177"/>
    <w:rsid w:val="00292772"/>
    <w:rsid w:val="002965D0"/>
    <w:rsid w:val="002E49BB"/>
    <w:rsid w:val="003254AD"/>
    <w:rsid w:val="00327CD7"/>
    <w:rsid w:val="00332494"/>
    <w:rsid w:val="003562A5"/>
    <w:rsid w:val="00356806"/>
    <w:rsid w:val="00366DB5"/>
    <w:rsid w:val="003D02A6"/>
    <w:rsid w:val="003D4B01"/>
    <w:rsid w:val="0040417E"/>
    <w:rsid w:val="00406697"/>
    <w:rsid w:val="00442D45"/>
    <w:rsid w:val="00462880"/>
    <w:rsid w:val="00462B03"/>
    <w:rsid w:val="00463861"/>
    <w:rsid w:val="004A78B7"/>
    <w:rsid w:val="004C1A85"/>
    <w:rsid w:val="004C3BEF"/>
    <w:rsid w:val="004D5FDB"/>
    <w:rsid w:val="004E1F3A"/>
    <w:rsid w:val="00506990"/>
    <w:rsid w:val="00517FD1"/>
    <w:rsid w:val="00521D3C"/>
    <w:rsid w:val="005304C2"/>
    <w:rsid w:val="005402D4"/>
    <w:rsid w:val="00561333"/>
    <w:rsid w:val="00592E4C"/>
    <w:rsid w:val="005A3349"/>
    <w:rsid w:val="005F382F"/>
    <w:rsid w:val="005F6AF0"/>
    <w:rsid w:val="00627E56"/>
    <w:rsid w:val="00652186"/>
    <w:rsid w:val="00673CA8"/>
    <w:rsid w:val="00676472"/>
    <w:rsid w:val="00683E0D"/>
    <w:rsid w:val="006846FF"/>
    <w:rsid w:val="0069365A"/>
    <w:rsid w:val="00721CEE"/>
    <w:rsid w:val="00734609"/>
    <w:rsid w:val="00746DF7"/>
    <w:rsid w:val="0076235F"/>
    <w:rsid w:val="007A7E93"/>
    <w:rsid w:val="007D1521"/>
    <w:rsid w:val="007D19FF"/>
    <w:rsid w:val="007D7F0E"/>
    <w:rsid w:val="007F4F59"/>
    <w:rsid w:val="00801561"/>
    <w:rsid w:val="00815C8D"/>
    <w:rsid w:val="00820735"/>
    <w:rsid w:val="00821B00"/>
    <w:rsid w:val="00826B79"/>
    <w:rsid w:val="008660CD"/>
    <w:rsid w:val="00894C81"/>
    <w:rsid w:val="008A515B"/>
    <w:rsid w:val="008B4365"/>
    <w:rsid w:val="008C4DF1"/>
    <w:rsid w:val="008D739F"/>
    <w:rsid w:val="008E11B5"/>
    <w:rsid w:val="00944FAA"/>
    <w:rsid w:val="00964FD6"/>
    <w:rsid w:val="00983D13"/>
    <w:rsid w:val="00986C3D"/>
    <w:rsid w:val="009A33EB"/>
    <w:rsid w:val="009B00AB"/>
    <w:rsid w:val="009B0FFC"/>
    <w:rsid w:val="009B4E2A"/>
    <w:rsid w:val="009D4C19"/>
    <w:rsid w:val="00A1446F"/>
    <w:rsid w:val="00A26C02"/>
    <w:rsid w:val="00A50A30"/>
    <w:rsid w:val="00A776AA"/>
    <w:rsid w:val="00AA5181"/>
    <w:rsid w:val="00AE4C19"/>
    <w:rsid w:val="00AF1E7F"/>
    <w:rsid w:val="00B01E4E"/>
    <w:rsid w:val="00B1362E"/>
    <w:rsid w:val="00B30370"/>
    <w:rsid w:val="00B309A2"/>
    <w:rsid w:val="00B46BCD"/>
    <w:rsid w:val="00B51A2E"/>
    <w:rsid w:val="00B61C6B"/>
    <w:rsid w:val="00B7372E"/>
    <w:rsid w:val="00B8217D"/>
    <w:rsid w:val="00BA35D7"/>
    <w:rsid w:val="00BB3E32"/>
    <w:rsid w:val="00BC56C3"/>
    <w:rsid w:val="00BD3B6C"/>
    <w:rsid w:val="00BE6544"/>
    <w:rsid w:val="00C01B90"/>
    <w:rsid w:val="00C05EFF"/>
    <w:rsid w:val="00C40648"/>
    <w:rsid w:val="00C61BC6"/>
    <w:rsid w:val="00C632BE"/>
    <w:rsid w:val="00C87C8D"/>
    <w:rsid w:val="00CA2AAE"/>
    <w:rsid w:val="00CA6200"/>
    <w:rsid w:val="00CB5A12"/>
    <w:rsid w:val="00CD12C2"/>
    <w:rsid w:val="00D22E9D"/>
    <w:rsid w:val="00D35232"/>
    <w:rsid w:val="00D4239C"/>
    <w:rsid w:val="00D54D3D"/>
    <w:rsid w:val="00D567EA"/>
    <w:rsid w:val="00D67163"/>
    <w:rsid w:val="00D73326"/>
    <w:rsid w:val="00D83488"/>
    <w:rsid w:val="00D90E6F"/>
    <w:rsid w:val="00DA2619"/>
    <w:rsid w:val="00DA5D07"/>
    <w:rsid w:val="00DA78F6"/>
    <w:rsid w:val="00DD0B45"/>
    <w:rsid w:val="00DE15A2"/>
    <w:rsid w:val="00DE4942"/>
    <w:rsid w:val="00E045AC"/>
    <w:rsid w:val="00E21020"/>
    <w:rsid w:val="00E27C14"/>
    <w:rsid w:val="00E27CF1"/>
    <w:rsid w:val="00E334F0"/>
    <w:rsid w:val="00E46375"/>
    <w:rsid w:val="00E73689"/>
    <w:rsid w:val="00EA3B37"/>
    <w:rsid w:val="00EB1FB4"/>
    <w:rsid w:val="00EB3743"/>
    <w:rsid w:val="00ED59C8"/>
    <w:rsid w:val="00ED5AD6"/>
    <w:rsid w:val="00EE1A7B"/>
    <w:rsid w:val="00EF09EC"/>
    <w:rsid w:val="00EF6E3F"/>
    <w:rsid w:val="00F1187B"/>
    <w:rsid w:val="00F11F1C"/>
    <w:rsid w:val="00F20F34"/>
    <w:rsid w:val="00F22CF0"/>
    <w:rsid w:val="00F23AFF"/>
    <w:rsid w:val="00F62932"/>
    <w:rsid w:val="00F83E33"/>
    <w:rsid w:val="00F853A7"/>
    <w:rsid w:val="00FB2A51"/>
    <w:rsid w:val="00FB5E8A"/>
    <w:rsid w:val="00FB7204"/>
    <w:rsid w:val="00FD48E0"/>
    <w:rsid w:val="00FE2F31"/>
    <w:rsid w:val="00FF3BDB"/>
    <w:rsid w:val="02AC456A"/>
    <w:rsid w:val="03B52F6C"/>
    <w:rsid w:val="03D7050A"/>
    <w:rsid w:val="03E2643E"/>
    <w:rsid w:val="04025E52"/>
    <w:rsid w:val="041D3CB7"/>
    <w:rsid w:val="044D73EB"/>
    <w:rsid w:val="0450794D"/>
    <w:rsid w:val="064E0D3E"/>
    <w:rsid w:val="06961542"/>
    <w:rsid w:val="06B745E1"/>
    <w:rsid w:val="07056E4B"/>
    <w:rsid w:val="078F5860"/>
    <w:rsid w:val="07B52D65"/>
    <w:rsid w:val="07CB1FED"/>
    <w:rsid w:val="085D4240"/>
    <w:rsid w:val="08A57DDC"/>
    <w:rsid w:val="08F00E52"/>
    <w:rsid w:val="09610B54"/>
    <w:rsid w:val="09975AB0"/>
    <w:rsid w:val="09E65EA4"/>
    <w:rsid w:val="0A1D7A82"/>
    <w:rsid w:val="0A373100"/>
    <w:rsid w:val="0A497D0E"/>
    <w:rsid w:val="0B2F597E"/>
    <w:rsid w:val="0BF03850"/>
    <w:rsid w:val="0BFC0DB5"/>
    <w:rsid w:val="0C5771C0"/>
    <w:rsid w:val="0C905810"/>
    <w:rsid w:val="0CE00A0A"/>
    <w:rsid w:val="0D5C72B8"/>
    <w:rsid w:val="0D7F6920"/>
    <w:rsid w:val="0DBB53F8"/>
    <w:rsid w:val="0E392C60"/>
    <w:rsid w:val="0E9F5F23"/>
    <w:rsid w:val="0EE10099"/>
    <w:rsid w:val="0FF010AB"/>
    <w:rsid w:val="11293D61"/>
    <w:rsid w:val="1179594D"/>
    <w:rsid w:val="12765EA0"/>
    <w:rsid w:val="135551A4"/>
    <w:rsid w:val="13AD571F"/>
    <w:rsid w:val="15511F64"/>
    <w:rsid w:val="17D85AF1"/>
    <w:rsid w:val="19456466"/>
    <w:rsid w:val="19704F26"/>
    <w:rsid w:val="19CA46B0"/>
    <w:rsid w:val="19E42E80"/>
    <w:rsid w:val="1A0D1083"/>
    <w:rsid w:val="1AD16136"/>
    <w:rsid w:val="1AE3280D"/>
    <w:rsid w:val="1B4A0E76"/>
    <w:rsid w:val="1BB47718"/>
    <w:rsid w:val="1C242655"/>
    <w:rsid w:val="1C426521"/>
    <w:rsid w:val="1C431FA2"/>
    <w:rsid w:val="1C665164"/>
    <w:rsid w:val="1D9D18FA"/>
    <w:rsid w:val="1E674533"/>
    <w:rsid w:val="1EB65281"/>
    <w:rsid w:val="1F894FA0"/>
    <w:rsid w:val="215C60FD"/>
    <w:rsid w:val="218369FA"/>
    <w:rsid w:val="22794501"/>
    <w:rsid w:val="22B8272E"/>
    <w:rsid w:val="234555D4"/>
    <w:rsid w:val="23B31757"/>
    <w:rsid w:val="23EE03B9"/>
    <w:rsid w:val="242F53C1"/>
    <w:rsid w:val="251D4CA6"/>
    <w:rsid w:val="25A62DC0"/>
    <w:rsid w:val="26266A91"/>
    <w:rsid w:val="262F1AF6"/>
    <w:rsid w:val="2680114E"/>
    <w:rsid w:val="28384247"/>
    <w:rsid w:val="2AC9694E"/>
    <w:rsid w:val="2AD461B2"/>
    <w:rsid w:val="2B993F6B"/>
    <w:rsid w:val="2C117B63"/>
    <w:rsid w:val="2C1F4A94"/>
    <w:rsid w:val="2C973AF5"/>
    <w:rsid w:val="2CC242DB"/>
    <w:rsid w:val="2CCE7CBC"/>
    <w:rsid w:val="2D421C9E"/>
    <w:rsid w:val="31300C6A"/>
    <w:rsid w:val="336121A5"/>
    <w:rsid w:val="33FF4EA6"/>
    <w:rsid w:val="353B4AF6"/>
    <w:rsid w:val="357A0B61"/>
    <w:rsid w:val="36720A6A"/>
    <w:rsid w:val="36781576"/>
    <w:rsid w:val="3692222C"/>
    <w:rsid w:val="369505CD"/>
    <w:rsid w:val="376A7060"/>
    <w:rsid w:val="392C74FD"/>
    <w:rsid w:val="39A802B0"/>
    <w:rsid w:val="39E84B38"/>
    <w:rsid w:val="3A340D03"/>
    <w:rsid w:val="3A751015"/>
    <w:rsid w:val="3B657BE8"/>
    <w:rsid w:val="3C1E6017"/>
    <w:rsid w:val="3E20672A"/>
    <w:rsid w:val="3E9215DE"/>
    <w:rsid w:val="3F0B37DA"/>
    <w:rsid w:val="3FA26379"/>
    <w:rsid w:val="417A6199"/>
    <w:rsid w:val="42AE6C80"/>
    <w:rsid w:val="43305E2C"/>
    <w:rsid w:val="43AF0602"/>
    <w:rsid w:val="43D911A9"/>
    <w:rsid w:val="44F30128"/>
    <w:rsid w:val="452071D3"/>
    <w:rsid w:val="4558050F"/>
    <w:rsid w:val="457B17C6"/>
    <w:rsid w:val="45E93184"/>
    <w:rsid w:val="46892E8E"/>
    <w:rsid w:val="46D804E5"/>
    <w:rsid w:val="47D172A2"/>
    <w:rsid w:val="47D6457B"/>
    <w:rsid w:val="4836783E"/>
    <w:rsid w:val="49B978AA"/>
    <w:rsid w:val="4B1E7ED9"/>
    <w:rsid w:val="4B970A4B"/>
    <w:rsid w:val="4BA35C0F"/>
    <w:rsid w:val="4C5F6B80"/>
    <w:rsid w:val="4CF82206"/>
    <w:rsid w:val="4E1168B8"/>
    <w:rsid w:val="4ED628AE"/>
    <w:rsid w:val="4F4367FE"/>
    <w:rsid w:val="4F861FCE"/>
    <w:rsid w:val="4F9D0689"/>
    <w:rsid w:val="504A4F5E"/>
    <w:rsid w:val="50694670"/>
    <w:rsid w:val="50A1633F"/>
    <w:rsid w:val="51007C40"/>
    <w:rsid w:val="52111746"/>
    <w:rsid w:val="5352050A"/>
    <w:rsid w:val="54011CE8"/>
    <w:rsid w:val="546376CB"/>
    <w:rsid w:val="549E4136"/>
    <w:rsid w:val="55DE7AB4"/>
    <w:rsid w:val="5649343A"/>
    <w:rsid w:val="586C4264"/>
    <w:rsid w:val="59C04BEF"/>
    <w:rsid w:val="59FC6598"/>
    <w:rsid w:val="5A625397"/>
    <w:rsid w:val="5B512B7C"/>
    <w:rsid w:val="5BC41816"/>
    <w:rsid w:val="5BD46115"/>
    <w:rsid w:val="5C51279C"/>
    <w:rsid w:val="5CAA2C7D"/>
    <w:rsid w:val="5CBD654B"/>
    <w:rsid w:val="5D867C50"/>
    <w:rsid w:val="5DE80038"/>
    <w:rsid w:val="5E8D0A5D"/>
    <w:rsid w:val="5EBE4469"/>
    <w:rsid w:val="60A02C60"/>
    <w:rsid w:val="610D21DD"/>
    <w:rsid w:val="61A80C8E"/>
    <w:rsid w:val="626F0D5C"/>
    <w:rsid w:val="62B45365"/>
    <w:rsid w:val="633C1DBF"/>
    <w:rsid w:val="63471111"/>
    <w:rsid w:val="636661D5"/>
    <w:rsid w:val="644C135F"/>
    <w:rsid w:val="64E86B08"/>
    <w:rsid w:val="64FE1C86"/>
    <w:rsid w:val="6544028E"/>
    <w:rsid w:val="66040F89"/>
    <w:rsid w:val="69150844"/>
    <w:rsid w:val="6A2A442B"/>
    <w:rsid w:val="6A910A01"/>
    <w:rsid w:val="6A9513E0"/>
    <w:rsid w:val="6D933050"/>
    <w:rsid w:val="6F050FD5"/>
    <w:rsid w:val="6F1A0B49"/>
    <w:rsid w:val="6F43798C"/>
    <w:rsid w:val="6FA850B1"/>
    <w:rsid w:val="6FC56470"/>
    <w:rsid w:val="7001347D"/>
    <w:rsid w:val="70410DCF"/>
    <w:rsid w:val="71671512"/>
    <w:rsid w:val="733E06F8"/>
    <w:rsid w:val="739113DD"/>
    <w:rsid w:val="73B039BD"/>
    <w:rsid w:val="75B23840"/>
    <w:rsid w:val="76C5551A"/>
    <w:rsid w:val="781E7F8C"/>
    <w:rsid w:val="798D39D6"/>
    <w:rsid w:val="7A7E1788"/>
    <w:rsid w:val="7B7B3E89"/>
    <w:rsid w:val="7B8A64E5"/>
    <w:rsid w:val="7C211249"/>
    <w:rsid w:val="7C994722"/>
    <w:rsid w:val="7C9D4BC8"/>
    <w:rsid w:val="7D036659"/>
    <w:rsid w:val="7D701C53"/>
    <w:rsid w:val="7D8F1EF7"/>
    <w:rsid w:val="7EBC324B"/>
    <w:rsid w:val="7EE251ED"/>
    <w:rsid w:val="7F9A03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napToGrid w:val="0"/>
      <w:jc w:val="center"/>
      <w:outlineLvl w:val="0"/>
    </w:pPr>
    <w:rPr>
      <w:rFonts w:ascii="黑体" w:hAnsi="黑体" w:eastAsia="黑体"/>
      <w:b/>
      <w:bCs/>
      <w:kern w:val="44"/>
      <w:sz w:val="52"/>
      <w:szCs w:val="52"/>
      <w:lang w:val="zh-CN"/>
    </w:rPr>
  </w:style>
  <w:style w:type="paragraph" w:styleId="3">
    <w:name w:val="heading 2"/>
    <w:basedOn w:val="1"/>
    <w:next w:val="4"/>
    <w:link w:val="59"/>
    <w:qFormat/>
    <w:uiPriority w:val="9"/>
    <w:pPr>
      <w:keepNext/>
      <w:keepLines/>
      <w:snapToGrid w:val="0"/>
      <w:outlineLvl w:val="1"/>
    </w:pPr>
    <w:rPr>
      <w:rFonts w:ascii="黑体" w:hAnsi="黑体" w:eastAsia="黑体"/>
      <w:b/>
      <w:bCs/>
      <w:sz w:val="36"/>
      <w:szCs w:val="36"/>
      <w:lang w:val="zh-CN"/>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62"/>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63"/>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lang w:val="zh-CN"/>
    </w:rPr>
  </w:style>
  <w:style w:type="paragraph" w:styleId="9">
    <w:name w:val="heading 7"/>
    <w:basedOn w:val="1"/>
    <w:next w:val="1"/>
    <w:link w:val="64"/>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0">
    <w:name w:val="heading 8"/>
    <w:basedOn w:val="1"/>
    <w:next w:val="1"/>
    <w:link w:val="6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1">
    <w:name w:val="heading 9"/>
    <w:basedOn w:val="1"/>
    <w:next w:val="1"/>
    <w:link w:val="6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toc 7"/>
    <w:basedOn w:val="1"/>
    <w:next w:val="1"/>
    <w:unhideWhenUsed/>
    <w:qFormat/>
    <w:uiPriority w:val="39"/>
    <w:pPr>
      <w:ind w:left="1260"/>
      <w:jc w:val="left"/>
    </w:pPr>
    <w:rPr>
      <w:rFonts w:asciiTheme="minorHAnsi" w:eastAsiaTheme="minorHAnsi"/>
      <w:sz w:val="18"/>
      <w:szCs w:val="18"/>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65"/>
    <w:qFormat/>
    <w:uiPriority w:val="0"/>
    <w:pPr>
      <w:shd w:val="clear" w:color="auto" w:fill="000080"/>
    </w:pPr>
    <w:rPr>
      <w:lang w:val="zh-CN"/>
    </w:rPr>
  </w:style>
  <w:style w:type="paragraph" w:styleId="15">
    <w:name w:val="annotation text"/>
    <w:basedOn w:val="1"/>
    <w:link w:val="96"/>
    <w:qFormat/>
    <w:uiPriority w:val="99"/>
    <w:pPr>
      <w:jc w:val="left"/>
    </w:pPr>
    <w:rPr>
      <w:lang w:val="zh-CN"/>
    </w:rPr>
  </w:style>
  <w:style w:type="paragraph" w:styleId="16">
    <w:name w:val="Body Text 3"/>
    <w:basedOn w:val="1"/>
    <w:link w:val="146"/>
    <w:qFormat/>
    <w:uiPriority w:val="0"/>
    <w:rPr>
      <w:rFonts w:ascii="宋体"/>
      <w:sz w:val="24"/>
      <w:szCs w:val="20"/>
      <w:lang w:val="zh-CN"/>
    </w:rPr>
  </w:style>
  <w:style w:type="paragraph" w:styleId="17">
    <w:name w:val="Body Text"/>
    <w:basedOn w:val="1"/>
    <w:link w:val="143"/>
    <w:qFormat/>
    <w:uiPriority w:val="0"/>
    <w:pPr>
      <w:spacing w:after="120"/>
    </w:pPr>
    <w:rPr>
      <w:lang w:val="zh-CN"/>
    </w:rPr>
  </w:style>
  <w:style w:type="paragraph" w:styleId="18">
    <w:name w:val="Body Text Indent"/>
    <w:basedOn w:val="1"/>
    <w:link w:val="97"/>
    <w:qFormat/>
    <w:uiPriority w:val="0"/>
    <w:pPr>
      <w:spacing w:after="120"/>
      <w:ind w:left="420" w:leftChars="200"/>
    </w:pPr>
    <w:rPr>
      <w:lang w:val="zh-CN"/>
    </w:rPr>
  </w:style>
  <w:style w:type="paragraph" w:styleId="19">
    <w:name w:val="index 4"/>
    <w:basedOn w:val="1"/>
    <w:next w:val="1"/>
    <w:unhideWhenUsed/>
    <w:qFormat/>
    <w:uiPriority w:val="0"/>
    <w:pPr>
      <w:ind w:left="600" w:leftChars="600"/>
    </w:pPr>
  </w:style>
  <w:style w:type="paragraph" w:styleId="20">
    <w:name w:val="toc 5"/>
    <w:basedOn w:val="1"/>
    <w:next w:val="1"/>
    <w:unhideWhenUsed/>
    <w:qFormat/>
    <w:uiPriority w:val="39"/>
    <w:pPr>
      <w:ind w:left="840"/>
      <w:jc w:val="left"/>
    </w:pPr>
    <w:rPr>
      <w:rFonts w:asciiTheme="minorHAnsi" w:eastAsiaTheme="minorHAnsi"/>
      <w:sz w:val="18"/>
      <w:szCs w:val="18"/>
    </w:rPr>
  </w:style>
  <w:style w:type="paragraph" w:styleId="21">
    <w:name w:val="toc 3"/>
    <w:basedOn w:val="1"/>
    <w:next w:val="1"/>
    <w:qFormat/>
    <w:uiPriority w:val="39"/>
    <w:pPr>
      <w:ind w:left="420"/>
      <w:jc w:val="left"/>
    </w:pPr>
    <w:rPr>
      <w:rFonts w:asciiTheme="minorHAnsi" w:eastAsiaTheme="minorHAnsi"/>
      <w:i/>
      <w:iCs/>
      <w:sz w:val="20"/>
      <w:szCs w:val="20"/>
    </w:rPr>
  </w:style>
  <w:style w:type="paragraph" w:styleId="22">
    <w:name w:val="Plain Text"/>
    <w:basedOn w:val="1"/>
    <w:link w:val="111"/>
    <w:qFormat/>
    <w:uiPriority w:val="0"/>
    <w:rPr>
      <w:rFonts w:ascii="宋体" w:hAnsi="Courier New"/>
      <w:color w:val="000000"/>
      <w:szCs w:val="20"/>
      <w:lang w:val="zh-CN"/>
    </w:rPr>
  </w:style>
  <w:style w:type="paragraph" w:styleId="23">
    <w:name w:val="toc 8"/>
    <w:basedOn w:val="1"/>
    <w:next w:val="1"/>
    <w:unhideWhenUsed/>
    <w:qFormat/>
    <w:uiPriority w:val="39"/>
    <w:pPr>
      <w:ind w:left="1470"/>
      <w:jc w:val="left"/>
    </w:pPr>
    <w:rPr>
      <w:rFonts w:asciiTheme="minorHAnsi" w:eastAsiaTheme="minorHAnsi"/>
      <w:sz w:val="18"/>
      <w:szCs w:val="18"/>
    </w:rPr>
  </w:style>
  <w:style w:type="paragraph" w:styleId="24">
    <w:name w:val="Date"/>
    <w:basedOn w:val="1"/>
    <w:next w:val="1"/>
    <w:link w:val="161"/>
    <w:qFormat/>
    <w:uiPriority w:val="0"/>
    <w:pPr>
      <w:ind w:left="100" w:leftChars="2500"/>
    </w:pPr>
    <w:rPr>
      <w:lang w:val="zh-CN"/>
    </w:rPr>
  </w:style>
  <w:style w:type="paragraph" w:styleId="25">
    <w:name w:val="Body Text Indent 2"/>
    <w:basedOn w:val="1"/>
    <w:link w:val="140"/>
    <w:qFormat/>
    <w:uiPriority w:val="0"/>
    <w:pPr>
      <w:ind w:firstLine="624"/>
    </w:pPr>
    <w:rPr>
      <w:rFonts w:ascii="仿宋_GB2312" w:eastAsia="仿宋_GB2312"/>
      <w:sz w:val="28"/>
      <w:lang w:val="zh-CN"/>
    </w:rPr>
  </w:style>
  <w:style w:type="paragraph" w:styleId="26">
    <w:name w:val="endnote text"/>
    <w:basedOn w:val="1"/>
    <w:link w:val="120"/>
    <w:qFormat/>
    <w:uiPriority w:val="0"/>
    <w:pPr>
      <w:snapToGrid w:val="0"/>
      <w:jc w:val="left"/>
    </w:pPr>
    <w:rPr>
      <w:lang w:val="zh-CN"/>
    </w:rPr>
  </w:style>
  <w:style w:type="paragraph" w:styleId="27">
    <w:name w:val="Balloon Text"/>
    <w:basedOn w:val="1"/>
    <w:link w:val="160"/>
    <w:qFormat/>
    <w:uiPriority w:val="0"/>
    <w:rPr>
      <w:sz w:val="18"/>
      <w:szCs w:val="18"/>
      <w:lang w:val="zh-CN"/>
    </w:rPr>
  </w:style>
  <w:style w:type="paragraph" w:styleId="28">
    <w:name w:val="footer"/>
    <w:basedOn w:val="1"/>
    <w:link w:val="138"/>
    <w:qFormat/>
    <w:uiPriority w:val="0"/>
    <w:pPr>
      <w:tabs>
        <w:tab w:val="center" w:pos="4153"/>
        <w:tab w:val="right" w:pos="8306"/>
      </w:tabs>
      <w:snapToGrid w:val="0"/>
      <w:jc w:val="left"/>
    </w:pPr>
    <w:rPr>
      <w:sz w:val="18"/>
      <w:szCs w:val="18"/>
      <w:lang w:val="zh-CN"/>
    </w:rPr>
  </w:style>
  <w:style w:type="paragraph" w:styleId="29">
    <w:name w:val="header"/>
    <w:basedOn w:val="1"/>
    <w:link w:val="103"/>
    <w:qFormat/>
    <w:uiPriority w:val="0"/>
    <w:pPr>
      <w:pBdr>
        <w:bottom w:val="single" w:color="auto" w:sz="6" w:space="1"/>
      </w:pBdr>
      <w:tabs>
        <w:tab w:val="center" w:pos="4153"/>
        <w:tab w:val="right" w:pos="8306"/>
      </w:tabs>
      <w:snapToGrid w:val="0"/>
      <w:jc w:val="center"/>
    </w:pPr>
    <w:rPr>
      <w:sz w:val="18"/>
      <w:szCs w:val="18"/>
      <w:lang w:val="zh-CN"/>
    </w:rPr>
  </w:style>
  <w:style w:type="paragraph" w:styleId="30">
    <w:name w:val="toc 1"/>
    <w:basedOn w:val="1"/>
    <w:next w:val="1"/>
    <w:qFormat/>
    <w:uiPriority w:val="39"/>
    <w:pPr>
      <w:spacing w:before="120" w:after="120"/>
      <w:jc w:val="left"/>
    </w:pPr>
    <w:rPr>
      <w:rFonts w:asciiTheme="minorHAnsi" w:eastAsiaTheme="minorHAnsi"/>
      <w:b/>
      <w:bCs/>
      <w:caps/>
      <w:sz w:val="20"/>
      <w:szCs w:val="20"/>
    </w:rPr>
  </w:style>
  <w:style w:type="paragraph" w:styleId="31">
    <w:name w:val="toc 4"/>
    <w:basedOn w:val="1"/>
    <w:next w:val="1"/>
    <w:qFormat/>
    <w:uiPriority w:val="39"/>
    <w:pPr>
      <w:ind w:left="630"/>
      <w:jc w:val="left"/>
    </w:pPr>
    <w:rPr>
      <w:rFonts w:asciiTheme="minorHAnsi" w:eastAsiaTheme="minorHAnsi"/>
      <w:sz w:val="18"/>
      <w:szCs w:val="18"/>
    </w:rPr>
  </w:style>
  <w:style w:type="paragraph" w:styleId="32">
    <w:name w:val="Subtitle"/>
    <w:basedOn w:val="1"/>
    <w:next w:val="1"/>
    <w:link w:val="91"/>
    <w:qFormat/>
    <w:uiPriority w:val="0"/>
    <w:pPr>
      <w:spacing w:before="240" w:after="60" w:line="312" w:lineRule="auto"/>
      <w:jc w:val="center"/>
      <w:outlineLvl w:val="1"/>
    </w:pPr>
    <w:rPr>
      <w:rFonts w:ascii="Cambria" w:hAnsi="Cambria"/>
      <w:b/>
      <w:bCs/>
      <w:kern w:val="28"/>
      <w:sz w:val="32"/>
      <w:szCs w:val="32"/>
      <w:lang w:val="zh-CN"/>
    </w:rPr>
  </w:style>
  <w:style w:type="paragraph" w:styleId="33">
    <w:name w:val="footnote text"/>
    <w:basedOn w:val="1"/>
    <w:link w:val="163"/>
    <w:qFormat/>
    <w:uiPriority w:val="0"/>
    <w:pPr>
      <w:snapToGrid w:val="0"/>
      <w:jc w:val="left"/>
    </w:pPr>
    <w:rPr>
      <w:sz w:val="18"/>
      <w:szCs w:val="18"/>
      <w:lang w:val="zh-CN"/>
    </w:rPr>
  </w:style>
  <w:style w:type="paragraph" w:styleId="34">
    <w:name w:val="toc 6"/>
    <w:basedOn w:val="1"/>
    <w:next w:val="1"/>
    <w:unhideWhenUsed/>
    <w:qFormat/>
    <w:uiPriority w:val="39"/>
    <w:pPr>
      <w:ind w:left="1050"/>
      <w:jc w:val="left"/>
    </w:pPr>
    <w:rPr>
      <w:rFonts w:asciiTheme="minorHAnsi" w:eastAsiaTheme="minorHAnsi"/>
      <w:sz w:val="18"/>
      <w:szCs w:val="18"/>
    </w:rPr>
  </w:style>
  <w:style w:type="paragraph" w:styleId="35">
    <w:name w:val="Body Text Indent 3"/>
    <w:basedOn w:val="1"/>
    <w:link w:val="154"/>
    <w:qFormat/>
    <w:uiPriority w:val="0"/>
    <w:pPr>
      <w:spacing w:after="120"/>
      <w:ind w:left="420" w:leftChars="200"/>
    </w:pPr>
    <w:rPr>
      <w:sz w:val="16"/>
      <w:szCs w:val="16"/>
      <w:lang w:val="zh-CN"/>
    </w:rPr>
  </w:style>
  <w:style w:type="paragraph" w:styleId="36">
    <w:name w:val="toc 2"/>
    <w:basedOn w:val="1"/>
    <w:next w:val="1"/>
    <w:qFormat/>
    <w:uiPriority w:val="39"/>
    <w:pPr>
      <w:ind w:left="210"/>
      <w:jc w:val="left"/>
    </w:pPr>
    <w:rPr>
      <w:rFonts w:asciiTheme="minorHAnsi" w:eastAsiaTheme="minorHAnsi"/>
      <w:smallCaps/>
      <w:sz w:val="20"/>
      <w:szCs w:val="20"/>
    </w:rPr>
  </w:style>
  <w:style w:type="paragraph" w:styleId="37">
    <w:name w:val="toc 9"/>
    <w:basedOn w:val="1"/>
    <w:next w:val="1"/>
    <w:unhideWhenUsed/>
    <w:qFormat/>
    <w:uiPriority w:val="39"/>
    <w:pPr>
      <w:ind w:left="1680"/>
      <w:jc w:val="left"/>
    </w:pPr>
    <w:rPr>
      <w:rFonts w:asciiTheme="minorHAnsi" w:eastAsiaTheme="minorHAnsi"/>
      <w:sz w:val="18"/>
      <w:szCs w:val="18"/>
    </w:rPr>
  </w:style>
  <w:style w:type="paragraph" w:styleId="38">
    <w:name w:val="Body Text 2"/>
    <w:basedOn w:val="1"/>
    <w:link w:val="151"/>
    <w:qFormat/>
    <w:uiPriority w:val="0"/>
    <w:rPr>
      <w:rFonts w:ascii="宋体" w:hAnsi="宋体"/>
      <w:sz w:val="28"/>
      <w:lang w:val="zh-CN"/>
    </w:rPr>
  </w:style>
  <w:style w:type="paragraph" w:styleId="39">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Title"/>
    <w:basedOn w:val="1"/>
    <w:link w:val="135"/>
    <w:qFormat/>
    <w:uiPriority w:val="0"/>
    <w:pPr>
      <w:adjustRightInd w:val="0"/>
      <w:spacing w:before="240" w:after="60" w:line="420" w:lineRule="atLeast"/>
      <w:jc w:val="center"/>
      <w:textAlignment w:val="baseline"/>
      <w:outlineLvl w:val="0"/>
    </w:pPr>
    <w:rPr>
      <w:rFonts w:ascii="Arial" w:hAnsi="Arial"/>
      <w:b/>
      <w:kern w:val="0"/>
      <w:sz w:val="32"/>
      <w:szCs w:val="20"/>
      <w:lang w:val="zh-CN"/>
    </w:rPr>
  </w:style>
  <w:style w:type="paragraph" w:styleId="42">
    <w:name w:val="annotation subject"/>
    <w:basedOn w:val="15"/>
    <w:next w:val="15"/>
    <w:link w:val="158"/>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99"/>
    <w:rPr>
      <w:color w:val="800080"/>
      <w:u w:val="single"/>
    </w:rPr>
  </w:style>
  <w:style w:type="character" w:styleId="50">
    <w:name w:val="Emphasis"/>
    <w:qFormat/>
    <w:uiPriority w:val="0"/>
    <w:rPr>
      <w:i/>
      <w:iCs/>
    </w:rPr>
  </w:style>
  <w:style w:type="character" w:styleId="51">
    <w:name w:val="line number"/>
    <w:unhideWhenUsed/>
    <w:qFormat/>
    <w:uiPriority w:val="99"/>
  </w:style>
  <w:style w:type="character" w:styleId="52">
    <w:name w:val="Hyperlink"/>
    <w:qFormat/>
    <w:uiPriority w:val="99"/>
    <w:rPr>
      <w:color w:val="0000FF"/>
      <w:u w:val="single"/>
    </w:rPr>
  </w:style>
  <w:style w:type="character" w:styleId="53">
    <w:name w:val="HTML Code"/>
    <w:basedOn w:val="45"/>
    <w:qFormat/>
    <w:uiPriority w:val="0"/>
    <w:rPr>
      <w:rFonts w:hint="default" w:ascii="Menlo" w:hAnsi="Menlo" w:eastAsia="Menlo" w:cs="Menlo"/>
      <w:color w:val="C7254E"/>
      <w:sz w:val="21"/>
      <w:szCs w:val="21"/>
      <w:shd w:val="clear" w:color="auto" w:fill="F9F2F4"/>
    </w:rPr>
  </w:style>
  <w:style w:type="character" w:styleId="54">
    <w:name w:val="annotation reference"/>
    <w:qFormat/>
    <w:uiPriority w:val="99"/>
    <w:rPr>
      <w:sz w:val="21"/>
      <w:szCs w:val="21"/>
    </w:rPr>
  </w:style>
  <w:style w:type="character" w:styleId="55">
    <w:name w:val="footnote reference"/>
    <w:qFormat/>
    <w:uiPriority w:val="0"/>
    <w:rPr>
      <w:vertAlign w:val="superscript"/>
    </w:rPr>
  </w:style>
  <w:style w:type="character" w:styleId="56">
    <w:name w:val="HTML Keyboard"/>
    <w:basedOn w:val="45"/>
    <w:qFormat/>
    <w:uiPriority w:val="0"/>
    <w:rPr>
      <w:rFonts w:ascii="Menlo" w:hAnsi="Menlo" w:eastAsia="Menlo" w:cs="Menlo"/>
      <w:color w:val="FFFFFF"/>
      <w:sz w:val="21"/>
      <w:szCs w:val="21"/>
      <w:shd w:val="clear" w:color="auto" w:fill="333333"/>
    </w:rPr>
  </w:style>
  <w:style w:type="character" w:styleId="57">
    <w:name w:val="HTML Sample"/>
    <w:basedOn w:val="45"/>
    <w:qFormat/>
    <w:uiPriority w:val="0"/>
    <w:rPr>
      <w:rFonts w:hint="default" w:ascii="Menlo" w:hAnsi="Menlo" w:eastAsia="Menlo" w:cs="Menlo"/>
    </w:rPr>
  </w:style>
  <w:style w:type="character" w:customStyle="1" w:styleId="58">
    <w:name w:val="标题 1 字符"/>
    <w:link w:val="2"/>
    <w:qFormat/>
    <w:uiPriority w:val="0"/>
    <w:rPr>
      <w:rFonts w:ascii="黑体" w:hAnsi="黑体" w:eastAsia="黑体"/>
      <w:b/>
      <w:bCs/>
      <w:kern w:val="44"/>
      <w:sz w:val="52"/>
      <w:szCs w:val="52"/>
      <w:lang w:val="zh-CN" w:eastAsia="zh-CN"/>
    </w:rPr>
  </w:style>
  <w:style w:type="character" w:customStyle="1" w:styleId="59">
    <w:name w:val="标题 2 字符"/>
    <w:link w:val="3"/>
    <w:qFormat/>
    <w:uiPriority w:val="9"/>
    <w:rPr>
      <w:rFonts w:ascii="黑体" w:hAnsi="黑体" w:eastAsia="黑体"/>
      <w:b/>
      <w:bCs/>
      <w:kern w:val="2"/>
      <w:sz w:val="36"/>
      <w:szCs w:val="36"/>
      <w:lang w:val="zh-CN" w:eastAsia="zh-CN"/>
    </w:rPr>
  </w:style>
  <w:style w:type="character" w:customStyle="1" w:styleId="60">
    <w:name w:val="标题 3 字符"/>
    <w:link w:val="5"/>
    <w:qFormat/>
    <w:uiPriority w:val="0"/>
    <w:rPr>
      <w:b/>
      <w:bCs/>
      <w:kern w:val="2"/>
      <w:sz w:val="32"/>
      <w:szCs w:val="32"/>
    </w:rPr>
  </w:style>
  <w:style w:type="character" w:customStyle="1" w:styleId="61">
    <w:name w:val="标题 4 字符"/>
    <w:link w:val="6"/>
    <w:qFormat/>
    <w:uiPriority w:val="0"/>
    <w:rPr>
      <w:rFonts w:ascii="Arial" w:hAnsi="Arial" w:eastAsia="黑体"/>
      <w:b/>
      <w:bCs/>
      <w:kern w:val="2"/>
      <w:sz w:val="28"/>
      <w:szCs w:val="28"/>
    </w:rPr>
  </w:style>
  <w:style w:type="character" w:customStyle="1" w:styleId="62">
    <w:name w:val="标题 5 字符"/>
    <w:link w:val="7"/>
    <w:qFormat/>
    <w:uiPriority w:val="0"/>
    <w:rPr>
      <w:b/>
      <w:bCs/>
      <w:kern w:val="2"/>
      <w:sz w:val="28"/>
      <w:szCs w:val="28"/>
    </w:rPr>
  </w:style>
  <w:style w:type="character" w:customStyle="1" w:styleId="63">
    <w:name w:val="标题 6 字符"/>
    <w:link w:val="8"/>
    <w:qFormat/>
    <w:uiPriority w:val="0"/>
    <w:rPr>
      <w:rFonts w:ascii="Arial" w:hAnsi="Arial" w:eastAsia="黑体"/>
      <w:b/>
      <w:bCs/>
      <w:sz w:val="24"/>
      <w:szCs w:val="24"/>
    </w:rPr>
  </w:style>
  <w:style w:type="character" w:customStyle="1" w:styleId="64">
    <w:name w:val="标题 7 字符"/>
    <w:link w:val="9"/>
    <w:qFormat/>
    <w:uiPriority w:val="0"/>
    <w:rPr>
      <w:b/>
      <w:bCs/>
      <w:sz w:val="24"/>
      <w:szCs w:val="24"/>
    </w:rPr>
  </w:style>
  <w:style w:type="character" w:customStyle="1" w:styleId="65">
    <w:name w:val="标题 8 字符"/>
    <w:link w:val="10"/>
    <w:qFormat/>
    <w:uiPriority w:val="0"/>
    <w:rPr>
      <w:rFonts w:ascii="Arial" w:hAnsi="Arial" w:eastAsia="黑体"/>
      <w:sz w:val="24"/>
      <w:szCs w:val="24"/>
    </w:rPr>
  </w:style>
  <w:style w:type="character" w:customStyle="1" w:styleId="66">
    <w:name w:val="标题 9 字符"/>
    <w:link w:val="11"/>
    <w:qFormat/>
    <w:uiPriority w:val="0"/>
    <w:rPr>
      <w:rFonts w:ascii="Arial" w:hAnsi="Arial" w:eastAsia="黑体"/>
      <w:sz w:val="21"/>
      <w:szCs w:val="21"/>
    </w:rPr>
  </w:style>
  <w:style w:type="character" w:customStyle="1" w:styleId="67">
    <w:name w:val="副标题 Char1"/>
    <w:qFormat/>
    <w:uiPriority w:val="11"/>
    <w:rPr>
      <w:rFonts w:hint="default" w:ascii="Cambria" w:hAnsi="Cambria" w:cs="Times New Roman"/>
      <w:b/>
      <w:bCs/>
      <w:kern w:val="28"/>
      <w:sz w:val="32"/>
      <w:szCs w:val="32"/>
    </w:rPr>
  </w:style>
  <w:style w:type="character" w:customStyle="1" w:styleId="68">
    <w:name w:val="文档结构图 Char1"/>
    <w:qFormat/>
    <w:uiPriority w:val="0"/>
    <w:rPr>
      <w:rFonts w:hint="eastAsia" w:ascii="宋体" w:hAnsi="宋体" w:eastAsia="宋体"/>
      <w:kern w:val="2"/>
      <w:sz w:val="18"/>
      <w:szCs w:val="18"/>
    </w:rPr>
  </w:style>
  <w:style w:type="character" w:customStyle="1" w:styleId="6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70">
    <w:name w:val="批注文字 Char Char"/>
    <w:qFormat/>
    <w:uiPriority w:val="0"/>
    <w:rPr>
      <w:rFonts w:hint="eastAsia" w:ascii="宋体" w:hAnsi="Times New Roman" w:eastAsia="宋体" w:cs="Times New Roman"/>
      <w:sz w:val="28"/>
      <w:szCs w:val="20"/>
    </w:rPr>
  </w:style>
  <w:style w:type="character" w:customStyle="1" w:styleId="71">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72">
    <w:name w:val="引用 字符"/>
    <w:link w:val="73"/>
    <w:qFormat/>
    <w:uiPriority w:val="0"/>
    <w:rPr>
      <w:rFonts w:ascii="Calibri" w:hAnsi="Calibri"/>
      <w:i/>
      <w:iCs/>
      <w:color w:val="000000"/>
      <w:kern w:val="2"/>
      <w:sz w:val="21"/>
      <w:szCs w:val="22"/>
    </w:rPr>
  </w:style>
  <w:style w:type="paragraph" w:customStyle="1" w:styleId="73">
    <w:name w:val="引用1"/>
    <w:basedOn w:val="1"/>
    <w:next w:val="1"/>
    <w:link w:val="72"/>
    <w:qFormat/>
    <w:uiPriority w:val="0"/>
    <w:rPr>
      <w:rFonts w:ascii="Calibri" w:hAnsi="Calibri"/>
      <w:i/>
      <w:iCs/>
      <w:color w:val="000000"/>
      <w:szCs w:val="22"/>
      <w:lang w:val="zh-CN"/>
    </w:rPr>
  </w:style>
  <w:style w:type="character" w:customStyle="1" w:styleId="74">
    <w:name w:val="引用 Char1"/>
    <w:qFormat/>
    <w:uiPriority w:val="29"/>
    <w:rPr>
      <w:i/>
      <w:iCs/>
      <w:color w:val="000000"/>
      <w:kern w:val="2"/>
      <w:sz w:val="21"/>
      <w:szCs w:val="22"/>
    </w:rPr>
  </w:style>
  <w:style w:type="character" w:customStyle="1" w:styleId="75">
    <w:name w:val="标题 #6 + 间距 0 pt"/>
    <w:qFormat/>
    <w:uiPriority w:val="0"/>
    <w:rPr>
      <w:rFonts w:ascii="宋体" w:hAnsi="宋体" w:eastAsia="宋体" w:cs="宋体"/>
      <w:color w:val="000000"/>
      <w:spacing w:val="0"/>
      <w:w w:val="100"/>
      <w:position w:val="0"/>
      <w:sz w:val="26"/>
      <w:szCs w:val="26"/>
      <w:u w:val="none"/>
      <w:shd w:val="clear" w:color="auto" w:fill="FFFFFF"/>
      <w:lang w:val="zh-TW" w:eastAsia="zh-TW" w:bidi="zh-TW"/>
    </w:rPr>
  </w:style>
  <w:style w:type="character" w:customStyle="1" w:styleId="76">
    <w:name w:val="正文文本 (34)_"/>
    <w:link w:val="77"/>
    <w:qFormat/>
    <w:uiPriority w:val="0"/>
    <w:rPr>
      <w:rFonts w:eastAsia="Times New Roman"/>
      <w:shd w:val="clear" w:color="auto" w:fill="FFFFFF"/>
      <w:lang w:eastAsia="en-US" w:bidi="en-US"/>
    </w:rPr>
  </w:style>
  <w:style w:type="paragraph" w:customStyle="1" w:styleId="77">
    <w:name w:val="正文文本 (34)"/>
    <w:basedOn w:val="1"/>
    <w:link w:val="76"/>
    <w:qFormat/>
    <w:uiPriority w:val="0"/>
    <w:pPr>
      <w:shd w:val="clear" w:color="auto" w:fill="FFFFFF"/>
      <w:spacing w:line="401" w:lineRule="exact"/>
      <w:ind w:firstLine="500"/>
    </w:pPr>
    <w:rPr>
      <w:rFonts w:eastAsia="Times New Roman"/>
      <w:kern w:val="0"/>
      <w:sz w:val="20"/>
      <w:szCs w:val="20"/>
      <w:lang w:val="zh-CN" w:eastAsia="en-US" w:bidi="en-US"/>
    </w:rPr>
  </w:style>
  <w:style w:type="character" w:customStyle="1" w:styleId="78">
    <w:name w:val="正文文本 Char1"/>
    <w:qFormat/>
    <w:uiPriority w:val="0"/>
    <w:rPr>
      <w:kern w:val="2"/>
      <w:sz w:val="21"/>
      <w:szCs w:val="22"/>
    </w:rPr>
  </w:style>
  <w:style w:type="character" w:customStyle="1" w:styleId="79">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80">
    <w:name w:val="书籍标题1"/>
    <w:qFormat/>
    <w:uiPriority w:val="0"/>
    <w:rPr>
      <w:b/>
      <w:bCs/>
      <w:smallCaps/>
      <w:spacing w:val="5"/>
    </w:rPr>
  </w:style>
  <w:style w:type="character" w:customStyle="1" w:styleId="81">
    <w:name w:val="正文文本 (10) + 间距 0 pt"/>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82">
    <w:name w:val="正文文本 (7)_"/>
    <w:link w:val="83"/>
    <w:qFormat/>
    <w:uiPriority w:val="0"/>
    <w:rPr>
      <w:rFonts w:ascii="宋体" w:hAnsi="宋体" w:cs="宋体"/>
      <w:spacing w:val="10"/>
      <w:sz w:val="22"/>
      <w:szCs w:val="22"/>
      <w:shd w:val="clear" w:color="auto" w:fill="FFFFFF"/>
    </w:rPr>
  </w:style>
  <w:style w:type="paragraph" w:customStyle="1" w:styleId="83">
    <w:name w:val="正文文本 (7)"/>
    <w:basedOn w:val="1"/>
    <w:link w:val="82"/>
    <w:qFormat/>
    <w:uiPriority w:val="0"/>
    <w:pPr>
      <w:shd w:val="clear" w:color="auto" w:fill="FFFFFF"/>
      <w:spacing w:before="120" w:after="300" w:line="0" w:lineRule="atLeast"/>
      <w:jc w:val="center"/>
    </w:pPr>
    <w:rPr>
      <w:rFonts w:ascii="宋体" w:hAnsi="宋体"/>
      <w:spacing w:val="10"/>
      <w:kern w:val="0"/>
      <w:sz w:val="22"/>
      <w:szCs w:val="22"/>
      <w:lang w:val="zh-CN"/>
    </w:rPr>
  </w:style>
  <w:style w:type="character" w:customStyle="1" w:styleId="84">
    <w:name w:val="批注主题 Char1"/>
    <w:qFormat/>
    <w:uiPriority w:val="0"/>
    <w:rPr>
      <w:b/>
      <w:bCs/>
      <w:kern w:val="2"/>
      <w:sz w:val="21"/>
      <w:szCs w:val="22"/>
    </w:rPr>
  </w:style>
  <w:style w:type="character" w:customStyle="1" w:styleId="85">
    <w:name w:val="正文文本 (19) + 11 pt"/>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86">
    <w:name w:val="正文文本 (2) + 间距 -1 pt"/>
    <w:qFormat/>
    <w:uiPriority w:val="0"/>
    <w:rPr>
      <w:rFonts w:ascii="宋体" w:hAnsi="宋体" w:eastAsia="宋体" w:cs="宋体"/>
      <w:color w:val="000000"/>
      <w:spacing w:val="-20"/>
      <w:w w:val="100"/>
      <w:position w:val="0"/>
      <w:sz w:val="22"/>
      <w:szCs w:val="22"/>
      <w:u w:val="none"/>
      <w:shd w:val="clear" w:color="auto" w:fill="FFFFFF"/>
      <w:lang w:val="en-US" w:eastAsia="en-US" w:bidi="en-US"/>
    </w:rPr>
  </w:style>
  <w:style w:type="character" w:customStyle="1" w:styleId="87">
    <w:name w:val="正文文本 (46)_"/>
    <w:link w:val="88"/>
    <w:qFormat/>
    <w:uiPriority w:val="0"/>
    <w:rPr>
      <w:rFonts w:ascii="宋体" w:hAnsi="宋体" w:cs="宋体"/>
      <w:shd w:val="clear" w:color="auto" w:fill="FFFFFF"/>
    </w:rPr>
  </w:style>
  <w:style w:type="paragraph" w:customStyle="1" w:styleId="88">
    <w:name w:val="正文文本 (46)"/>
    <w:basedOn w:val="1"/>
    <w:link w:val="87"/>
    <w:qFormat/>
    <w:uiPriority w:val="0"/>
    <w:pPr>
      <w:shd w:val="clear" w:color="auto" w:fill="FFFFFF"/>
      <w:spacing w:before="660" w:line="341" w:lineRule="exact"/>
      <w:ind w:hanging="280"/>
      <w:jc w:val="left"/>
    </w:pPr>
    <w:rPr>
      <w:rFonts w:ascii="宋体" w:hAnsi="宋体"/>
      <w:kern w:val="0"/>
      <w:sz w:val="20"/>
      <w:szCs w:val="20"/>
      <w:lang w:val="zh-CN"/>
    </w:rPr>
  </w:style>
  <w:style w:type="character" w:customStyle="1" w:styleId="89">
    <w:name w:val="文档结构图 Char2"/>
    <w:semiHidden/>
    <w:qFormat/>
    <w:uiPriority w:val="99"/>
    <w:rPr>
      <w:rFonts w:hint="eastAsia" w:ascii="宋体" w:hAnsi="宋体" w:eastAsia="宋体"/>
      <w:kern w:val="2"/>
      <w:sz w:val="18"/>
      <w:szCs w:val="18"/>
    </w:rPr>
  </w:style>
  <w:style w:type="character" w:customStyle="1" w:styleId="90">
    <w:name w:val="标题 Char1"/>
    <w:qFormat/>
    <w:uiPriority w:val="10"/>
    <w:rPr>
      <w:rFonts w:hint="default" w:ascii="Cambria" w:hAnsi="Cambria" w:cs="Times New Roman"/>
      <w:b/>
      <w:bCs/>
      <w:kern w:val="2"/>
      <w:sz w:val="32"/>
      <w:szCs w:val="32"/>
    </w:rPr>
  </w:style>
  <w:style w:type="character" w:customStyle="1" w:styleId="91">
    <w:name w:val="副标题 字符"/>
    <w:link w:val="32"/>
    <w:qFormat/>
    <w:uiPriority w:val="0"/>
    <w:rPr>
      <w:rFonts w:ascii="Cambria" w:hAnsi="Cambria"/>
      <w:b/>
      <w:bCs/>
      <w:kern w:val="28"/>
      <w:sz w:val="32"/>
      <w:szCs w:val="32"/>
    </w:rPr>
  </w:style>
  <w:style w:type="character" w:customStyle="1" w:styleId="92">
    <w:name w:val="正文文本 (2) + 间距 2 pt"/>
    <w:qFormat/>
    <w:uiPriority w:val="0"/>
    <w:rPr>
      <w:rFonts w:ascii="宋体" w:hAnsi="宋体" w:eastAsia="宋体" w:cs="宋体"/>
      <w:color w:val="000000"/>
      <w:spacing w:val="40"/>
      <w:w w:val="100"/>
      <w:position w:val="0"/>
      <w:sz w:val="22"/>
      <w:szCs w:val="22"/>
      <w:u w:val="none"/>
      <w:shd w:val="clear" w:color="auto" w:fill="FFFFFF"/>
      <w:lang w:val="zh-TW" w:eastAsia="zh-TW" w:bidi="zh-TW"/>
    </w:rPr>
  </w:style>
  <w:style w:type="character" w:customStyle="1" w:styleId="93">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94">
    <w:name w:val="正文文本 (14)_"/>
    <w:link w:val="95"/>
    <w:qFormat/>
    <w:uiPriority w:val="0"/>
    <w:rPr>
      <w:rFonts w:ascii="宋体" w:hAnsi="宋体" w:cs="宋体"/>
      <w:sz w:val="18"/>
      <w:szCs w:val="18"/>
      <w:shd w:val="clear" w:color="auto" w:fill="FFFFFF"/>
    </w:rPr>
  </w:style>
  <w:style w:type="paragraph" w:customStyle="1" w:styleId="95">
    <w:name w:val="正文文本 (14)"/>
    <w:basedOn w:val="1"/>
    <w:link w:val="94"/>
    <w:qFormat/>
    <w:uiPriority w:val="0"/>
    <w:pPr>
      <w:shd w:val="clear" w:color="auto" w:fill="FFFFFF"/>
      <w:spacing w:before="300" w:line="300" w:lineRule="exact"/>
      <w:jc w:val="distribute"/>
    </w:pPr>
    <w:rPr>
      <w:rFonts w:ascii="宋体" w:hAnsi="宋体"/>
      <w:kern w:val="0"/>
      <w:sz w:val="18"/>
      <w:szCs w:val="18"/>
      <w:lang w:val="zh-CN"/>
    </w:rPr>
  </w:style>
  <w:style w:type="character" w:customStyle="1" w:styleId="96">
    <w:name w:val="批注文字 字符"/>
    <w:link w:val="15"/>
    <w:qFormat/>
    <w:uiPriority w:val="99"/>
    <w:rPr>
      <w:kern w:val="2"/>
      <w:sz w:val="21"/>
      <w:szCs w:val="24"/>
    </w:rPr>
  </w:style>
  <w:style w:type="character" w:customStyle="1" w:styleId="97">
    <w:name w:val="正文文本缩进 字符"/>
    <w:link w:val="18"/>
    <w:qFormat/>
    <w:uiPriority w:val="0"/>
    <w:rPr>
      <w:kern w:val="2"/>
      <w:sz w:val="21"/>
      <w:szCs w:val="24"/>
    </w:rPr>
  </w:style>
  <w:style w:type="character" w:customStyle="1" w:styleId="98">
    <w:name w:val="明显引用 字符"/>
    <w:link w:val="99"/>
    <w:qFormat/>
    <w:uiPriority w:val="0"/>
    <w:rPr>
      <w:rFonts w:ascii="Calibri" w:hAnsi="Calibri"/>
      <w:b/>
      <w:bCs/>
      <w:i/>
      <w:iCs/>
      <w:color w:val="4F81BD"/>
      <w:kern w:val="2"/>
      <w:sz w:val="21"/>
      <w:szCs w:val="22"/>
    </w:rPr>
  </w:style>
  <w:style w:type="paragraph" w:customStyle="1" w:styleId="99">
    <w:name w:val="明显引用1"/>
    <w:basedOn w:val="1"/>
    <w:next w:val="1"/>
    <w:link w:val="98"/>
    <w:qFormat/>
    <w:uiPriority w:val="0"/>
    <w:pPr>
      <w:pBdr>
        <w:bottom w:val="single" w:color="4F81BD" w:sz="4" w:space="4"/>
      </w:pBdr>
      <w:spacing w:before="200" w:after="280"/>
      <w:ind w:left="936" w:right="936"/>
    </w:pPr>
    <w:rPr>
      <w:rFonts w:ascii="Calibri" w:hAnsi="Calibri"/>
      <w:b/>
      <w:bCs/>
      <w:i/>
      <w:iCs/>
      <w:color w:val="4F81BD"/>
      <w:szCs w:val="22"/>
      <w:lang w:val="zh-CN"/>
    </w:rPr>
  </w:style>
  <w:style w:type="character" w:customStyle="1" w:styleId="100">
    <w:name w:val="不明显参考1"/>
    <w:qFormat/>
    <w:uiPriority w:val="0"/>
    <w:rPr>
      <w:smallCaps/>
      <w:color w:val="C0504D"/>
      <w:u w:val="single"/>
    </w:rPr>
  </w:style>
  <w:style w:type="character" w:customStyle="1" w:styleId="101">
    <w:name w:val="标题 #6 + 间距 5 pt"/>
    <w:qFormat/>
    <w:uiPriority w:val="0"/>
    <w:rPr>
      <w:rFonts w:ascii="宋体" w:hAnsi="宋体" w:eastAsia="宋体" w:cs="宋体"/>
      <w:color w:val="000000"/>
      <w:spacing w:val="100"/>
      <w:w w:val="100"/>
      <w:position w:val="0"/>
      <w:sz w:val="26"/>
      <w:szCs w:val="26"/>
      <w:u w:val="none"/>
      <w:shd w:val="clear" w:color="auto" w:fill="FFFFFF"/>
      <w:lang w:val="zh-TW" w:eastAsia="zh-TW" w:bidi="zh-TW"/>
    </w:rPr>
  </w:style>
  <w:style w:type="character" w:customStyle="1" w:styleId="102">
    <w:name w:val="正文文本 (46) Exact"/>
    <w:qFormat/>
    <w:uiPriority w:val="0"/>
    <w:rPr>
      <w:rFonts w:ascii="宋体" w:hAnsi="宋体" w:eastAsia="宋体" w:cs="宋体"/>
      <w:sz w:val="20"/>
      <w:szCs w:val="20"/>
      <w:u w:val="none"/>
    </w:rPr>
  </w:style>
  <w:style w:type="character" w:customStyle="1" w:styleId="103">
    <w:name w:val="页眉 字符"/>
    <w:link w:val="29"/>
    <w:qFormat/>
    <w:uiPriority w:val="99"/>
    <w:rPr>
      <w:kern w:val="2"/>
      <w:sz w:val="18"/>
      <w:szCs w:val="18"/>
    </w:rPr>
  </w:style>
  <w:style w:type="character" w:customStyle="1" w:styleId="104">
    <w:name w:val="日期 Char2"/>
    <w:semiHidden/>
    <w:qFormat/>
    <w:uiPriority w:val="99"/>
    <w:rPr>
      <w:kern w:val="2"/>
      <w:sz w:val="21"/>
      <w:szCs w:val="22"/>
    </w:rPr>
  </w:style>
  <w:style w:type="character" w:customStyle="1" w:styleId="105">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06">
    <w:name w:val="正文文本 (21)_"/>
    <w:link w:val="107"/>
    <w:qFormat/>
    <w:uiPriority w:val="0"/>
    <w:rPr>
      <w:rFonts w:eastAsia="Times New Roman"/>
      <w:shd w:val="clear" w:color="auto" w:fill="FFFFFF"/>
      <w:lang w:eastAsia="en-US" w:bidi="en-US"/>
    </w:rPr>
  </w:style>
  <w:style w:type="paragraph" w:customStyle="1" w:styleId="107">
    <w:name w:val="正文文本 (21)"/>
    <w:basedOn w:val="1"/>
    <w:link w:val="106"/>
    <w:qFormat/>
    <w:uiPriority w:val="0"/>
    <w:pPr>
      <w:shd w:val="clear" w:color="auto" w:fill="FFFFFF"/>
      <w:spacing w:before="420" w:line="401" w:lineRule="exact"/>
      <w:ind w:firstLine="520"/>
    </w:pPr>
    <w:rPr>
      <w:rFonts w:eastAsia="Times New Roman"/>
      <w:kern w:val="0"/>
      <w:sz w:val="20"/>
      <w:szCs w:val="20"/>
      <w:lang w:val="zh-CN" w:eastAsia="en-US" w:bidi="en-US"/>
    </w:rPr>
  </w:style>
  <w:style w:type="character" w:customStyle="1" w:styleId="108">
    <w:name w:val="标题4 Char Char"/>
    <w:link w:val="109"/>
    <w:qFormat/>
    <w:locked/>
    <w:uiPriority w:val="0"/>
    <w:rPr>
      <w:rFonts w:ascii="Arial" w:hAnsi="Arial" w:cs="Arial"/>
      <w:b/>
      <w:bCs/>
      <w:sz w:val="24"/>
      <w:szCs w:val="32"/>
    </w:rPr>
  </w:style>
  <w:style w:type="paragraph" w:customStyle="1" w:styleId="109">
    <w:name w:val="标题4"/>
    <w:basedOn w:val="3"/>
    <w:next w:val="19"/>
    <w:link w:val="108"/>
    <w:qFormat/>
    <w:uiPriority w:val="0"/>
    <w:pPr>
      <w:spacing w:line="412" w:lineRule="auto"/>
    </w:pPr>
    <w:rPr>
      <w:rFonts w:eastAsia="宋体"/>
      <w:kern w:val="0"/>
      <w:sz w:val="24"/>
    </w:rPr>
  </w:style>
  <w:style w:type="character" w:customStyle="1" w:styleId="110">
    <w:name w:val="Char2 Char"/>
    <w:qFormat/>
    <w:uiPriority w:val="0"/>
    <w:rPr>
      <w:sz w:val="18"/>
      <w:szCs w:val="18"/>
    </w:rPr>
  </w:style>
  <w:style w:type="character" w:customStyle="1" w:styleId="111">
    <w:name w:val="纯文本 字符"/>
    <w:link w:val="22"/>
    <w:qFormat/>
    <w:uiPriority w:val="0"/>
    <w:rPr>
      <w:rFonts w:ascii="宋体" w:hAnsi="Courier New"/>
      <w:color w:val="000000"/>
      <w:kern w:val="2"/>
      <w:sz w:val="21"/>
    </w:rPr>
  </w:style>
  <w:style w:type="character" w:customStyle="1" w:styleId="112">
    <w:name w:val="标题 #6 (5)_"/>
    <w:link w:val="113"/>
    <w:qFormat/>
    <w:uiPriority w:val="0"/>
    <w:rPr>
      <w:rFonts w:ascii="宋体" w:hAnsi="宋体" w:cs="宋体"/>
      <w:spacing w:val="50"/>
      <w:sz w:val="30"/>
      <w:szCs w:val="30"/>
      <w:shd w:val="clear" w:color="auto" w:fill="FFFFFF"/>
    </w:rPr>
  </w:style>
  <w:style w:type="paragraph" w:customStyle="1" w:styleId="113">
    <w:name w:val="标题 #6 (5)"/>
    <w:basedOn w:val="1"/>
    <w:link w:val="112"/>
    <w:qFormat/>
    <w:uiPriority w:val="0"/>
    <w:pPr>
      <w:shd w:val="clear" w:color="auto" w:fill="FFFFFF"/>
      <w:spacing w:line="559" w:lineRule="exact"/>
      <w:jc w:val="left"/>
      <w:outlineLvl w:val="5"/>
    </w:pPr>
    <w:rPr>
      <w:rFonts w:ascii="宋体" w:hAnsi="宋体"/>
      <w:spacing w:val="50"/>
      <w:kern w:val="0"/>
      <w:sz w:val="30"/>
      <w:szCs w:val="30"/>
      <w:lang w:val="zh-CN"/>
    </w:rPr>
  </w:style>
  <w:style w:type="character" w:customStyle="1" w:styleId="114">
    <w:name w:val="明显参考1"/>
    <w:qFormat/>
    <w:uiPriority w:val="0"/>
    <w:rPr>
      <w:b/>
      <w:bCs/>
      <w:smallCaps/>
      <w:color w:val="C0504D"/>
      <w:spacing w:val="5"/>
      <w:u w:val="single"/>
    </w:rPr>
  </w:style>
  <w:style w:type="character" w:customStyle="1" w:styleId="115">
    <w:name w:val="正文文本 (2) + 间距 1 pt"/>
    <w:qFormat/>
    <w:uiPriority w:val="0"/>
    <w:rPr>
      <w:rFonts w:ascii="宋体" w:hAnsi="宋体" w:eastAsia="宋体" w:cs="宋体"/>
      <w:color w:val="000000"/>
      <w:spacing w:val="30"/>
      <w:w w:val="100"/>
      <w:position w:val="0"/>
      <w:sz w:val="22"/>
      <w:szCs w:val="22"/>
      <w:u w:val="none"/>
      <w:shd w:val="clear" w:color="auto" w:fill="FFFFFF"/>
      <w:lang w:val="zh-TW" w:eastAsia="zh-TW" w:bidi="zh-TW"/>
    </w:rPr>
  </w:style>
  <w:style w:type="character" w:customStyle="1" w:styleId="116">
    <w:name w:val="正文文本 (14) + Sylfaen"/>
    <w:qFormat/>
    <w:uiPriority w:val="0"/>
    <w:rPr>
      <w:rFonts w:ascii="Sylfaen" w:hAnsi="Sylfaen" w:eastAsia="Sylfaen" w:cs="Sylfaen"/>
      <w:color w:val="000000"/>
      <w:spacing w:val="0"/>
      <w:w w:val="100"/>
      <w:position w:val="0"/>
      <w:sz w:val="18"/>
      <w:szCs w:val="18"/>
      <w:u w:val="none"/>
      <w:shd w:val="clear" w:color="auto" w:fill="FFFFFF"/>
      <w:lang w:val="en-US" w:eastAsia="en-US" w:bidi="en-US"/>
    </w:rPr>
  </w:style>
  <w:style w:type="character" w:customStyle="1" w:styleId="117">
    <w:name w:val="正文文本 (7) + 10 pt"/>
    <w:qFormat/>
    <w:uiPriority w:val="0"/>
    <w:rPr>
      <w:rFonts w:ascii="宋体" w:hAnsi="宋体" w:eastAsia="宋体" w:cs="宋体"/>
      <w:color w:val="000000"/>
      <w:spacing w:val="0"/>
      <w:w w:val="100"/>
      <w:position w:val="0"/>
      <w:sz w:val="20"/>
      <w:szCs w:val="20"/>
      <w:u w:val="none"/>
      <w:lang w:val="en-US" w:eastAsia="en-US" w:bidi="en-US"/>
    </w:rPr>
  </w:style>
  <w:style w:type="character" w:customStyle="1" w:styleId="118">
    <w:name w:val="批注框文本 Char1"/>
    <w:qFormat/>
    <w:uiPriority w:val="0"/>
    <w:rPr>
      <w:kern w:val="2"/>
      <w:sz w:val="18"/>
      <w:szCs w:val="18"/>
    </w:rPr>
  </w:style>
  <w:style w:type="character" w:customStyle="1" w:styleId="119">
    <w:name w:val="批注文字 Char1"/>
    <w:semiHidden/>
    <w:qFormat/>
    <w:uiPriority w:val="99"/>
    <w:rPr>
      <w:kern w:val="2"/>
      <w:sz w:val="21"/>
      <w:szCs w:val="22"/>
    </w:rPr>
  </w:style>
  <w:style w:type="character" w:customStyle="1" w:styleId="120">
    <w:name w:val="尾注文本 字符"/>
    <w:link w:val="26"/>
    <w:qFormat/>
    <w:uiPriority w:val="0"/>
    <w:rPr>
      <w:kern w:val="2"/>
      <w:sz w:val="21"/>
      <w:szCs w:val="24"/>
    </w:rPr>
  </w:style>
  <w:style w:type="character" w:customStyle="1" w:styleId="121">
    <w:name w:val="正文文本 (33)_"/>
    <w:link w:val="122"/>
    <w:qFormat/>
    <w:uiPriority w:val="0"/>
    <w:rPr>
      <w:rFonts w:eastAsia="Times New Roman"/>
      <w:shd w:val="clear" w:color="auto" w:fill="FFFFFF"/>
      <w:lang w:eastAsia="en-US" w:bidi="en-US"/>
    </w:rPr>
  </w:style>
  <w:style w:type="paragraph" w:customStyle="1" w:styleId="122">
    <w:name w:val="正文文本 (33)"/>
    <w:basedOn w:val="1"/>
    <w:link w:val="121"/>
    <w:qFormat/>
    <w:uiPriority w:val="0"/>
    <w:pPr>
      <w:shd w:val="clear" w:color="auto" w:fill="FFFFFF"/>
      <w:spacing w:before="360" w:line="401" w:lineRule="exact"/>
      <w:ind w:firstLine="500"/>
    </w:pPr>
    <w:rPr>
      <w:rFonts w:eastAsia="Times New Roman"/>
      <w:kern w:val="0"/>
      <w:sz w:val="20"/>
      <w:szCs w:val="20"/>
      <w:lang w:val="zh-CN" w:eastAsia="en-US" w:bidi="en-US"/>
    </w:rPr>
  </w:style>
  <w:style w:type="character" w:customStyle="1" w:styleId="123">
    <w:name w:val="正文文本 (2)_"/>
    <w:link w:val="124"/>
    <w:qFormat/>
    <w:uiPriority w:val="0"/>
    <w:rPr>
      <w:rFonts w:ascii="宋体" w:hAnsi="宋体" w:cs="宋体"/>
      <w:sz w:val="22"/>
      <w:szCs w:val="22"/>
      <w:shd w:val="clear" w:color="auto" w:fill="FFFFFF"/>
    </w:rPr>
  </w:style>
  <w:style w:type="paragraph" w:customStyle="1" w:styleId="124">
    <w:name w:val="正文文本 (2)"/>
    <w:basedOn w:val="1"/>
    <w:link w:val="123"/>
    <w:qFormat/>
    <w:uiPriority w:val="0"/>
    <w:pPr>
      <w:shd w:val="clear" w:color="auto" w:fill="FFFFFF"/>
      <w:spacing w:before="300" w:line="439" w:lineRule="exact"/>
      <w:jc w:val="distribute"/>
    </w:pPr>
    <w:rPr>
      <w:rFonts w:ascii="宋体" w:hAnsi="宋体"/>
      <w:kern w:val="0"/>
      <w:sz w:val="22"/>
      <w:szCs w:val="22"/>
      <w:lang w:val="zh-CN"/>
    </w:rPr>
  </w:style>
  <w:style w:type="character" w:customStyle="1" w:styleId="125">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26">
    <w:name w:val="不明显强调1"/>
    <w:qFormat/>
    <w:uiPriority w:val="0"/>
    <w:rPr>
      <w:i/>
      <w:iCs/>
      <w:color w:val="808080"/>
    </w:rPr>
  </w:style>
  <w:style w:type="character" w:customStyle="1" w:styleId="127">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28">
    <w:name w:val="标题 #6 (3) + 间距 1 pt"/>
    <w:qFormat/>
    <w:uiPriority w:val="0"/>
    <w:rPr>
      <w:rFonts w:ascii="宋体" w:hAnsi="宋体" w:eastAsia="宋体" w:cs="宋体"/>
      <w:color w:val="000000"/>
      <w:spacing w:val="30"/>
      <w:w w:val="100"/>
      <w:position w:val="0"/>
      <w:sz w:val="26"/>
      <w:szCs w:val="26"/>
      <w:u w:val="none"/>
      <w:lang w:val="zh-TW" w:eastAsia="zh-TW" w:bidi="zh-TW"/>
    </w:rPr>
  </w:style>
  <w:style w:type="character" w:customStyle="1" w:styleId="129">
    <w:name w:val="标题 #7_"/>
    <w:link w:val="130"/>
    <w:qFormat/>
    <w:uiPriority w:val="0"/>
    <w:rPr>
      <w:rFonts w:ascii="宋体" w:hAnsi="宋体" w:cs="宋体"/>
      <w:b/>
      <w:bCs/>
      <w:sz w:val="23"/>
      <w:szCs w:val="23"/>
      <w:shd w:val="clear" w:color="auto" w:fill="FFFFFF"/>
    </w:rPr>
  </w:style>
  <w:style w:type="paragraph" w:customStyle="1" w:styleId="130">
    <w:name w:val="标题 #7"/>
    <w:basedOn w:val="1"/>
    <w:link w:val="129"/>
    <w:qFormat/>
    <w:uiPriority w:val="0"/>
    <w:pPr>
      <w:shd w:val="clear" w:color="auto" w:fill="FFFFFF"/>
      <w:spacing w:before="120" w:after="420" w:line="0" w:lineRule="atLeast"/>
      <w:jc w:val="left"/>
      <w:outlineLvl w:val="6"/>
    </w:pPr>
    <w:rPr>
      <w:rFonts w:ascii="宋体" w:hAnsi="宋体"/>
      <w:b/>
      <w:bCs/>
      <w:kern w:val="0"/>
      <w:sz w:val="23"/>
      <w:szCs w:val="23"/>
      <w:lang w:val="zh-CN"/>
    </w:rPr>
  </w:style>
  <w:style w:type="character" w:customStyle="1" w:styleId="131">
    <w:name w:val="标题 #6 + 间距 1 pt"/>
    <w:qFormat/>
    <w:uiPriority w:val="0"/>
    <w:rPr>
      <w:rFonts w:ascii="宋体" w:hAnsi="宋体" w:eastAsia="宋体" w:cs="宋体"/>
      <w:color w:val="000000"/>
      <w:spacing w:val="20"/>
      <w:w w:val="100"/>
      <w:position w:val="0"/>
      <w:sz w:val="26"/>
      <w:szCs w:val="26"/>
      <w:u w:val="none"/>
      <w:lang w:val="zh-TW" w:eastAsia="zh-TW" w:bidi="zh-TW"/>
    </w:rPr>
  </w:style>
  <w:style w:type="character" w:customStyle="1" w:styleId="132">
    <w:name w:val="标题 #6 (3)_"/>
    <w:link w:val="133"/>
    <w:qFormat/>
    <w:uiPriority w:val="0"/>
    <w:rPr>
      <w:rFonts w:ascii="宋体" w:hAnsi="宋体" w:cs="宋体"/>
      <w:sz w:val="26"/>
      <w:szCs w:val="26"/>
      <w:shd w:val="clear" w:color="auto" w:fill="FFFFFF"/>
    </w:rPr>
  </w:style>
  <w:style w:type="paragraph" w:customStyle="1" w:styleId="133">
    <w:name w:val="标题 #6 (3)"/>
    <w:basedOn w:val="1"/>
    <w:link w:val="132"/>
    <w:qFormat/>
    <w:uiPriority w:val="0"/>
    <w:pPr>
      <w:shd w:val="clear" w:color="auto" w:fill="FFFFFF"/>
      <w:spacing w:after="960" w:line="0" w:lineRule="atLeast"/>
      <w:jc w:val="left"/>
      <w:outlineLvl w:val="5"/>
    </w:pPr>
    <w:rPr>
      <w:rFonts w:ascii="宋体" w:hAnsi="宋体"/>
      <w:kern w:val="0"/>
      <w:sz w:val="26"/>
      <w:szCs w:val="26"/>
      <w:lang w:val="zh-CN"/>
    </w:rPr>
  </w:style>
  <w:style w:type="character" w:customStyle="1" w:styleId="134">
    <w:name w:val="批注主题 Char2"/>
    <w:semiHidden/>
    <w:qFormat/>
    <w:uiPriority w:val="99"/>
    <w:rPr>
      <w:b/>
      <w:bCs/>
      <w:kern w:val="2"/>
      <w:sz w:val="21"/>
      <w:szCs w:val="22"/>
    </w:rPr>
  </w:style>
  <w:style w:type="character" w:customStyle="1" w:styleId="135">
    <w:name w:val="标题 字符"/>
    <w:link w:val="41"/>
    <w:qFormat/>
    <w:uiPriority w:val="0"/>
    <w:rPr>
      <w:rFonts w:ascii="Arial" w:hAnsi="Arial"/>
      <w:b/>
      <w:sz w:val="32"/>
    </w:rPr>
  </w:style>
  <w:style w:type="character" w:customStyle="1" w:styleId="136">
    <w:name w:val="正文文本 (5)_"/>
    <w:link w:val="137"/>
    <w:qFormat/>
    <w:uiPriority w:val="0"/>
    <w:rPr>
      <w:rFonts w:ascii="宋体" w:hAnsi="宋体" w:cs="宋体"/>
      <w:shd w:val="clear" w:color="auto" w:fill="FFFFFF"/>
    </w:rPr>
  </w:style>
  <w:style w:type="paragraph" w:customStyle="1" w:styleId="137">
    <w:name w:val="正文文本 (5)"/>
    <w:basedOn w:val="1"/>
    <w:link w:val="136"/>
    <w:qFormat/>
    <w:uiPriority w:val="0"/>
    <w:pPr>
      <w:shd w:val="clear" w:color="auto" w:fill="FFFFFF"/>
      <w:spacing w:before="5100" w:line="0" w:lineRule="atLeast"/>
      <w:jc w:val="left"/>
    </w:pPr>
    <w:rPr>
      <w:rFonts w:ascii="宋体" w:hAnsi="宋体"/>
      <w:kern w:val="0"/>
      <w:sz w:val="20"/>
      <w:szCs w:val="20"/>
      <w:lang w:val="zh-CN"/>
    </w:rPr>
  </w:style>
  <w:style w:type="character" w:customStyle="1" w:styleId="138">
    <w:name w:val="页脚 字符"/>
    <w:link w:val="28"/>
    <w:qFormat/>
    <w:uiPriority w:val="99"/>
    <w:rPr>
      <w:kern w:val="2"/>
      <w:sz w:val="18"/>
      <w:szCs w:val="18"/>
    </w:rPr>
  </w:style>
  <w:style w:type="character" w:customStyle="1" w:styleId="139">
    <w:name w:val="font161"/>
    <w:qFormat/>
    <w:uiPriority w:val="0"/>
    <w:rPr>
      <w:b/>
      <w:bCs/>
      <w:sz w:val="32"/>
      <w:szCs w:val="32"/>
    </w:rPr>
  </w:style>
  <w:style w:type="character" w:customStyle="1" w:styleId="140">
    <w:name w:val="正文文本缩进 2 字符"/>
    <w:link w:val="25"/>
    <w:qFormat/>
    <w:uiPriority w:val="0"/>
    <w:rPr>
      <w:rFonts w:ascii="仿宋_GB2312" w:eastAsia="仿宋_GB2312"/>
      <w:kern w:val="2"/>
      <w:sz w:val="28"/>
      <w:szCs w:val="24"/>
    </w:rPr>
  </w:style>
  <w:style w:type="character" w:customStyle="1" w:styleId="141">
    <w:name w:val="标题 #6 (5) + 间距 0 pt"/>
    <w:qFormat/>
    <w:uiPriority w:val="0"/>
    <w:rPr>
      <w:rFonts w:ascii="宋体" w:hAnsi="宋体" w:eastAsia="宋体" w:cs="宋体"/>
      <w:color w:val="000000"/>
      <w:spacing w:val="0"/>
      <w:w w:val="100"/>
      <w:position w:val="0"/>
      <w:sz w:val="30"/>
      <w:szCs w:val="30"/>
      <w:u w:val="none"/>
      <w:lang w:val="zh-TW" w:eastAsia="zh-TW" w:bidi="zh-TW"/>
    </w:rPr>
  </w:style>
  <w:style w:type="character" w:customStyle="1" w:styleId="142">
    <w:name w:val="页脚 Char1"/>
    <w:semiHidden/>
    <w:qFormat/>
    <w:uiPriority w:val="99"/>
    <w:rPr>
      <w:kern w:val="2"/>
      <w:sz w:val="18"/>
      <w:szCs w:val="18"/>
    </w:rPr>
  </w:style>
  <w:style w:type="character" w:customStyle="1" w:styleId="143">
    <w:name w:val="正文文本 字符"/>
    <w:link w:val="17"/>
    <w:qFormat/>
    <w:uiPriority w:val="0"/>
    <w:rPr>
      <w:kern w:val="2"/>
      <w:sz w:val="21"/>
      <w:szCs w:val="24"/>
    </w:rPr>
  </w:style>
  <w:style w:type="character" w:customStyle="1" w:styleId="144">
    <w:name w:val="正文文本 (10)_"/>
    <w:link w:val="145"/>
    <w:qFormat/>
    <w:uiPriority w:val="0"/>
    <w:rPr>
      <w:rFonts w:ascii="宋体" w:hAnsi="宋体" w:cs="宋体"/>
      <w:spacing w:val="30"/>
      <w:sz w:val="26"/>
      <w:szCs w:val="26"/>
      <w:shd w:val="clear" w:color="auto" w:fill="FFFFFF"/>
    </w:rPr>
  </w:style>
  <w:style w:type="paragraph" w:customStyle="1" w:styleId="145">
    <w:name w:val="正文文本 (10)"/>
    <w:basedOn w:val="1"/>
    <w:link w:val="144"/>
    <w:qFormat/>
    <w:uiPriority w:val="0"/>
    <w:pPr>
      <w:shd w:val="clear" w:color="auto" w:fill="FFFFFF"/>
      <w:spacing w:line="602" w:lineRule="exact"/>
      <w:jc w:val="distribute"/>
    </w:pPr>
    <w:rPr>
      <w:rFonts w:ascii="宋体" w:hAnsi="宋体"/>
      <w:spacing w:val="30"/>
      <w:kern w:val="0"/>
      <w:sz w:val="26"/>
      <w:szCs w:val="26"/>
      <w:lang w:val="zh-CN"/>
    </w:rPr>
  </w:style>
  <w:style w:type="character" w:customStyle="1" w:styleId="146">
    <w:name w:val="正文文本 3 字符"/>
    <w:link w:val="16"/>
    <w:qFormat/>
    <w:uiPriority w:val="0"/>
    <w:rPr>
      <w:rFonts w:ascii="宋体"/>
      <w:kern w:val="2"/>
      <w:sz w:val="24"/>
    </w:rPr>
  </w:style>
  <w:style w:type="character" w:customStyle="1" w:styleId="147">
    <w:name w:val="表格标题 (12)_"/>
    <w:link w:val="148"/>
    <w:qFormat/>
    <w:uiPriority w:val="0"/>
    <w:rPr>
      <w:rFonts w:ascii="宋体" w:hAnsi="宋体" w:cs="宋体"/>
      <w:shd w:val="clear" w:color="auto" w:fill="FFFFFF"/>
    </w:rPr>
  </w:style>
  <w:style w:type="paragraph" w:customStyle="1" w:styleId="148">
    <w:name w:val="表格标题 (12)"/>
    <w:basedOn w:val="1"/>
    <w:link w:val="147"/>
    <w:qFormat/>
    <w:uiPriority w:val="0"/>
    <w:pPr>
      <w:shd w:val="clear" w:color="auto" w:fill="FFFFFF"/>
      <w:spacing w:line="0" w:lineRule="atLeast"/>
      <w:jc w:val="left"/>
    </w:pPr>
    <w:rPr>
      <w:rFonts w:ascii="宋体" w:hAnsi="宋体"/>
      <w:kern w:val="0"/>
      <w:sz w:val="20"/>
      <w:szCs w:val="20"/>
      <w:lang w:val="zh-CN"/>
    </w:rPr>
  </w:style>
  <w:style w:type="character" w:customStyle="1" w:styleId="149">
    <w:name w:val="标题 #6 (4)_"/>
    <w:link w:val="150"/>
    <w:qFormat/>
    <w:uiPriority w:val="0"/>
    <w:rPr>
      <w:rFonts w:ascii="宋体" w:hAnsi="宋体" w:cs="宋体"/>
      <w:sz w:val="26"/>
      <w:szCs w:val="26"/>
      <w:shd w:val="clear" w:color="auto" w:fill="FFFFFF"/>
    </w:rPr>
  </w:style>
  <w:style w:type="paragraph" w:customStyle="1" w:styleId="150">
    <w:name w:val="标题 #6 (4)"/>
    <w:basedOn w:val="1"/>
    <w:link w:val="149"/>
    <w:qFormat/>
    <w:uiPriority w:val="0"/>
    <w:pPr>
      <w:shd w:val="clear" w:color="auto" w:fill="FFFFFF"/>
      <w:spacing w:after="1020" w:line="0" w:lineRule="atLeast"/>
      <w:jc w:val="left"/>
      <w:outlineLvl w:val="5"/>
    </w:pPr>
    <w:rPr>
      <w:rFonts w:ascii="宋体" w:hAnsi="宋体"/>
      <w:kern w:val="0"/>
      <w:sz w:val="26"/>
      <w:szCs w:val="26"/>
      <w:lang w:val="zh-CN"/>
    </w:rPr>
  </w:style>
  <w:style w:type="character" w:customStyle="1" w:styleId="151">
    <w:name w:val="正文文本 2 字符"/>
    <w:link w:val="38"/>
    <w:qFormat/>
    <w:uiPriority w:val="0"/>
    <w:rPr>
      <w:rFonts w:ascii="宋体" w:hAnsi="宋体"/>
      <w:kern w:val="2"/>
      <w:sz w:val="28"/>
      <w:szCs w:val="24"/>
    </w:rPr>
  </w:style>
  <w:style w:type="character" w:customStyle="1" w:styleId="152">
    <w:name w:val="页眉 Char1"/>
    <w:semiHidden/>
    <w:qFormat/>
    <w:uiPriority w:val="99"/>
    <w:rPr>
      <w:kern w:val="2"/>
      <w:sz w:val="18"/>
      <w:szCs w:val="18"/>
    </w:rPr>
  </w:style>
  <w:style w:type="character" w:customStyle="1" w:styleId="153">
    <w:name w:val="明显引用 Char1"/>
    <w:qFormat/>
    <w:uiPriority w:val="30"/>
    <w:rPr>
      <w:b/>
      <w:bCs/>
      <w:i/>
      <w:iCs/>
      <w:color w:val="4F81BD"/>
      <w:kern w:val="2"/>
      <w:sz w:val="21"/>
      <w:szCs w:val="22"/>
    </w:rPr>
  </w:style>
  <w:style w:type="character" w:customStyle="1" w:styleId="154">
    <w:name w:val="正文文本缩进 3 字符"/>
    <w:link w:val="35"/>
    <w:qFormat/>
    <w:uiPriority w:val="0"/>
    <w:rPr>
      <w:kern w:val="2"/>
      <w:sz w:val="16"/>
      <w:szCs w:val="16"/>
    </w:rPr>
  </w:style>
  <w:style w:type="character" w:customStyle="1" w:styleId="155">
    <w:name w:val="textcontents"/>
    <w:qFormat/>
    <w:uiPriority w:val="0"/>
    <w:rPr>
      <w:rFonts w:hint="default" w:ascii="Times New Roman" w:hAnsi="Times New Roman" w:cs="Times New Roman"/>
    </w:rPr>
  </w:style>
  <w:style w:type="character" w:customStyle="1" w:styleId="156">
    <w:name w:val="标题5 Char Char"/>
    <w:link w:val="157"/>
    <w:qFormat/>
    <w:locked/>
    <w:uiPriority w:val="0"/>
    <w:rPr>
      <w:rFonts w:ascii="Arial" w:hAnsi="Arial" w:cs="Arial"/>
      <w:b/>
      <w:bCs/>
      <w:sz w:val="24"/>
      <w:szCs w:val="32"/>
    </w:rPr>
  </w:style>
  <w:style w:type="paragraph" w:customStyle="1" w:styleId="157">
    <w:name w:val="标题5"/>
    <w:basedOn w:val="5"/>
    <w:link w:val="156"/>
    <w:qFormat/>
    <w:uiPriority w:val="0"/>
    <w:pPr>
      <w:spacing w:line="412" w:lineRule="auto"/>
    </w:pPr>
    <w:rPr>
      <w:rFonts w:ascii="Arial" w:hAnsi="Arial"/>
      <w:kern w:val="0"/>
      <w:sz w:val="24"/>
    </w:rPr>
  </w:style>
  <w:style w:type="character" w:customStyle="1" w:styleId="158">
    <w:name w:val="批注主题 字符"/>
    <w:link w:val="42"/>
    <w:qFormat/>
    <w:uiPriority w:val="0"/>
    <w:rPr>
      <w:b/>
      <w:bCs/>
      <w:kern w:val="2"/>
      <w:sz w:val="21"/>
      <w:szCs w:val="24"/>
    </w:rPr>
  </w:style>
  <w:style w:type="character" w:customStyle="1" w:styleId="159">
    <w:name w:val="标题 #6 + 11.5 pt"/>
    <w:qFormat/>
    <w:uiPriority w:val="0"/>
    <w:rPr>
      <w:rFonts w:ascii="宋体" w:hAnsi="宋体" w:eastAsia="宋体" w:cs="宋体"/>
      <w:color w:val="000000"/>
      <w:spacing w:val="20"/>
      <w:w w:val="100"/>
      <w:position w:val="0"/>
      <w:sz w:val="23"/>
      <w:szCs w:val="23"/>
      <w:u w:val="none"/>
      <w:shd w:val="clear" w:color="auto" w:fill="FFFFFF"/>
      <w:lang w:val="zh-TW" w:eastAsia="zh-TW" w:bidi="zh-TW"/>
    </w:rPr>
  </w:style>
  <w:style w:type="character" w:customStyle="1" w:styleId="160">
    <w:name w:val="批注框文本 字符"/>
    <w:link w:val="27"/>
    <w:qFormat/>
    <w:uiPriority w:val="0"/>
    <w:rPr>
      <w:kern w:val="2"/>
      <w:sz w:val="18"/>
      <w:szCs w:val="18"/>
    </w:rPr>
  </w:style>
  <w:style w:type="character" w:customStyle="1" w:styleId="161">
    <w:name w:val="日期 字符"/>
    <w:link w:val="24"/>
    <w:qFormat/>
    <w:uiPriority w:val="0"/>
    <w:rPr>
      <w:kern w:val="2"/>
      <w:sz w:val="21"/>
      <w:szCs w:val="24"/>
    </w:rPr>
  </w:style>
  <w:style w:type="character" w:customStyle="1" w:styleId="162">
    <w:name w:val="明显强调1"/>
    <w:qFormat/>
    <w:uiPriority w:val="0"/>
    <w:rPr>
      <w:b/>
      <w:bCs/>
      <w:i/>
      <w:iCs/>
      <w:color w:val="4F81BD"/>
    </w:rPr>
  </w:style>
  <w:style w:type="character" w:customStyle="1" w:styleId="163">
    <w:name w:val="脚注文本 字符"/>
    <w:link w:val="33"/>
    <w:qFormat/>
    <w:uiPriority w:val="0"/>
    <w:rPr>
      <w:kern w:val="2"/>
      <w:sz w:val="18"/>
      <w:szCs w:val="18"/>
    </w:rPr>
  </w:style>
  <w:style w:type="character" w:customStyle="1" w:styleId="164">
    <w:name w:val="Comment Text Char"/>
    <w:qFormat/>
    <w:locked/>
    <w:uiPriority w:val="0"/>
    <w:rPr>
      <w:rFonts w:ascii="Times New Roman" w:hAnsi="Times New Roman" w:eastAsia="宋体" w:cs="Times New Roman"/>
      <w:sz w:val="24"/>
      <w:szCs w:val="24"/>
    </w:rPr>
  </w:style>
  <w:style w:type="character" w:customStyle="1" w:styleId="165">
    <w:name w:val="文档结构图 字符"/>
    <w:link w:val="14"/>
    <w:qFormat/>
    <w:uiPriority w:val="0"/>
    <w:rPr>
      <w:kern w:val="2"/>
      <w:sz w:val="21"/>
      <w:szCs w:val="24"/>
      <w:shd w:val="clear" w:color="auto" w:fill="000080"/>
    </w:rPr>
  </w:style>
  <w:style w:type="character" w:customStyle="1" w:styleId="166">
    <w:name w:val="批注框文本 Char2"/>
    <w:semiHidden/>
    <w:qFormat/>
    <w:uiPriority w:val="99"/>
    <w:rPr>
      <w:kern w:val="2"/>
      <w:sz w:val="18"/>
      <w:szCs w:val="18"/>
    </w:rPr>
  </w:style>
  <w:style w:type="character" w:customStyle="1" w:styleId="167">
    <w:name w:val="正文文本 Char2"/>
    <w:semiHidden/>
    <w:qFormat/>
    <w:uiPriority w:val="99"/>
    <w:rPr>
      <w:kern w:val="2"/>
      <w:sz w:val="21"/>
      <w:szCs w:val="22"/>
    </w:rPr>
  </w:style>
  <w:style w:type="character" w:customStyle="1" w:styleId="168">
    <w:name w:val="Heading 3 Char"/>
    <w:qFormat/>
    <w:locked/>
    <w:uiPriority w:val="0"/>
    <w:rPr>
      <w:rFonts w:ascii="Times New Roman" w:hAnsi="Times New Roman" w:eastAsia="宋体" w:cs="Times New Roman"/>
      <w:b/>
      <w:bCs/>
      <w:sz w:val="32"/>
      <w:szCs w:val="32"/>
    </w:rPr>
  </w:style>
  <w:style w:type="character" w:customStyle="1" w:styleId="169">
    <w:name w:val="日期 Char1"/>
    <w:qFormat/>
    <w:uiPriority w:val="0"/>
    <w:rPr>
      <w:kern w:val="2"/>
      <w:sz w:val="21"/>
      <w:szCs w:val="22"/>
    </w:rPr>
  </w:style>
  <w:style w:type="character" w:customStyle="1" w:styleId="170">
    <w:name w:val="标题 #6_"/>
    <w:link w:val="171"/>
    <w:qFormat/>
    <w:uiPriority w:val="0"/>
    <w:rPr>
      <w:rFonts w:ascii="宋体" w:hAnsi="宋体" w:cs="宋体"/>
      <w:spacing w:val="30"/>
      <w:sz w:val="26"/>
      <w:szCs w:val="26"/>
      <w:shd w:val="clear" w:color="auto" w:fill="FFFFFF"/>
    </w:rPr>
  </w:style>
  <w:style w:type="paragraph" w:customStyle="1" w:styleId="171">
    <w:name w:val="标题 #6"/>
    <w:basedOn w:val="1"/>
    <w:link w:val="170"/>
    <w:qFormat/>
    <w:uiPriority w:val="0"/>
    <w:pPr>
      <w:shd w:val="clear" w:color="auto" w:fill="FFFFFF"/>
      <w:spacing w:before="540" w:after="540" w:line="0" w:lineRule="atLeast"/>
      <w:jc w:val="center"/>
      <w:outlineLvl w:val="5"/>
    </w:pPr>
    <w:rPr>
      <w:rFonts w:ascii="宋体" w:hAnsi="宋体"/>
      <w:spacing w:val="30"/>
      <w:kern w:val="0"/>
      <w:sz w:val="26"/>
      <w:szCs w:val="26"/>
      <w:lang w:val="zh-CN"/>
    </w:rPr>
  </w:style>
  <w:style w:type="character" w:customStyle="1" w:styleId="172">
    <w:name w:val="正文文本 (19)_"/>
    <w:link w:val="173"/>
    <w:qFormat/>
    <w:uiPriority w:val="0"/>
    <w:rPr>
      <w:rFonts w:ascii="宋体" w:hAnsi="宋体" w:cs="宋体"/>
      <w:b/>
      <w:bCs/>
      <w:sz w:val="23"/>
      <w:szCs w:val="23"/>
      <w:shd w:val="clear" w:color="auto" w:fill="FFFFFF"/>
    </w:rPr>
  </w:style>
  <w:style w:type="paragraph" w:customStyle="1" w:styleId="173">
    <w:name w:val="正文文本 (19)"/>
    <w:basedOn w:val="1"/>
    <w:link w:val="172"/>
    <w:qFormat/>
    <w:uiPriority w:val="0"/>
    <w:pPr>
      <w:shd w:val="clear" w:color="auto" w:fill="FFFFFF"/>
      <w:spacing w:line="559" w:lineRule="exact"/>
      <w:jc w:val="left"/>
    </w:pPr>
    <w:rPr>
      <w:rFonts w:ascii="宋体" w:hAnsi="宋体"/>
      <w:b/>
      <w:bCs/>
      <w:kern w:val="0"/>
      <w:sz w:val="23"/>
      <w:szCs w:val="23"/>
      <w:lang w:val="zh-CN"/>
    </w:rPr>
  </w:style>
  <w:style w:type="character" w:customStyle="1" w:styleId="174">
    <w:name w:val="正文文本 (2) Exact"/>
    <w:qFormat/>
    <w:uiPriority w:val="0"/>
    <w:rPr>
      <w:rFonts w:ascii="宋体" w:hAnsi="宋体" w:eastAsia="宋体" w:cs="宋体"/>
      <w:sz w:val="22"/>
      <w:szCs w:val="22"/>
      <w:u w:val="none"/>
    </w:rPr>
  </w:style>
  <w:style w:type="paragraph" w:customStyle="1" w:styleId="175">
    <w:name w:val="目录 71"/>
    <w:basedOn w:val="1"/>
    <w:next w:val="1"/>
    <w:qFormat/>
    <w:uiPriority w:val="39"/>
    <w:pPr>
      <w:ind w:left="1260"/>
      <w:jc w:val="left"/>
    </w:pPr>
    <w:rPr>
      <w:sz w:val="18"/>
      <w:szCs w:val="18"/>
    </w:rPr>
  </w:style>
  <w:style w:type="paragraph" w:customStyle="1" w:styleId="176">
    <w:name w:val="目录 51"/>
    <w:basedOn w:val="1"/>
    <w:next w:val="1"/>
    <w:qFormat/>
    <w:uiPriority w:val="39"/>
    <w:pPr>
      <w:ind w:left="840"/>
      <w:jc w:val="left"/>
    </w:pPr>
    <w:rPr>
      <w:sz w:val="18"/>
      <w:szCs w:val="18"/>
    </w:rPr>
  </w:style>
  <w:style w:type="paragraph" w:customStyle="1" w:styleId="177">
    <w:name w:val="目录 91"/>
    <w:basedOn w:val="1"/>
    <w:next w:val="1"/>
    <w:qFormat/>
    <w:uiPriority w:val="39"/>
    <w:pPr>
      <w:ind w:left="1680"/>
      <w:jc w:val="left"/>
    </w:pPr>
    <w:rPr>
      <w:sz w:val="18"/>
      <w:szCs w:val="18"/>
    </w:rPr>
  </w:style>
  <w:style w:type="paragraph" w:customStyle="1" w:styleId="178">
    <w:name w:val="目录 21"/>
    <w:basedOn w:val="1"/>
    <w:next w:val="1"/>
    <w:qFormat/>
    <w:uiPriority w:val="39"/>
    <w:pPr>
      <w:ind w:left="210"/>
      <w:jc w:val="left"/>
    </w:pPr>
    <w:rPr>
      <w:smallCaps/>
      <w:sz w:val="20"/>
      <w:szCs w:val="20"/>
    </w:rPr>
  </w:style>
  <w:style w:type="paragraph" w:customStyle="1" w:styleId="179">
    <w:name w:val="目录 41"/>
    <w:basedOn w:val="1"/>
    <w:next w:val="1"/>
    <w:qFormat/>
    <w:uiPriority w:val="39"/>
    <w:pPr>
      <w:ind w:left="630"/>
      <w:jc w:val="left"/>
    </w:pPr>
    <w:rPr>
      <w:sz w:val="18"/>
      <w:szCs w:val="18"/>
    </w:rPr>
  </w:style>
  <w:style w:type="paragraph" w:customStyle="1" w:styleId="180">
    <w:name w:val="目录 31"/>
    <w:basedOn w:val="1"/>
    <w:next w:val="1"/>
    <w:qFormat/>
    <w:uiPriority w:val="39"/>
    <w:pPr>
      <w:tabs>
        <w:tab w:val="right" w:leader="dot" w:pos="9629"/>
      </w:tabs>
      <w:ind w:left="420"/>
      <w:jc w:val="left"/>
    </w:pPr>
    <w:rPr>
      <w:rFonts w:ascii="宋体" w:hAnsi="宋体"/>
      <w:iCs/>
      <w:sz w:val="20"/>
      <w:szCs w:val="20"/>
    </w:rPr>
  </w:style>
  <w:style w:type="paragraph" w:customStyle="1" w:styleId="181">
    <w:name w:val="目录 61"/>
    <w:basedOn w:val="1"/>
    <w:next w:val="1"/>
    <w:qFormat/>
    <w:uiPriority w:val="39"/>
    <w:pPr>
      <w:ind w:left="1050"/>
      <w:jc w:val="left"/>
    </w:pPr>
    <w:rPr>
      <w:sz w:val="18"/>
      <w:szCs w:val="18"/>
    </w:rPr>
  </w:style>
  <w:style w:type="paragraph" w:customStyle="1" w:styleId="182">
    <w:name w:val="目录 11"/>
    <w:basedOn w:val="1"/>
    <w:next w:val="1"/>
    <w:qFormat/>
    <w:uiPriority w:val="39"/>
    <w:pPr>
      <w:spacing w:before="120" w:after="120"/>
      <w:jc w:val="left"/>
    </w:pPr>
    <w:rPr>
      <w:b/>
      <w:bCs/>
      <w:caps/>
      <w:sz w:val="20"/>
      <w:szCs w:val="20"/>
    </w:rPr>
  </w:style>
  <w:style w:type="paragraph" w:customStyle="1" w:styleId="183">
    <w:name w:val="目录 81"/>
    <w:basedOn w:val="1"/>
    <w:next w:val="1"/>
    <w:qFormat/>
    <w:uiPriority w:val="39"/>
    <w:pPr>
      <w:ind w:left="1470"/>
      <w:jc w:val="left"/>
    </w:pPr>
    <w:rPr>
      <w:sz w:val="18"/>
      <w:szCs w:val="18"/>
    </w:rPr>
  </w:style>
  <w:style w:type="paragraph" w:customStyle="1" w:styleId="18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85">
    <w:name w:val="样式 标题 1 + 黑体 三号 非加粗 居中 段前: 6 磅 段后: 6 磅 行距: 固定值 20 磅"/>
    <w:basedOn w:val="2"/>
    <w:qFormat/>
    <w:uiPriority w:val="0"/>
    <w:pPr>
      <w:spacing w:before="120" w:after="120" w:line="400" w:lineRule="exact"/>
    </w:pPr>
    <w:rPr>
      <w:rFonts w:cs="宋体"/>
      <w:b w:val="0"/>
      <w:bCs w:val="0"/>
      <w:sz w:val="32"/>
      <w:szCs w:val="20"/>
    </w:rPr>
  </w:style>
  <w:style w:type="paragraph" w:customStyle="1" w:styleId="186">
    <w:name w:val="Char Char"/>
    <w:basedOn w:val="1"/>
    <w:qFormat/>
    <w:uiPriority w:val="0"/>
    <w:rPr>
      <w:rFonts w:ascii="Tahoma" w:hAnsi="Tahoma"/>
      <w:sz w:val="24"/>
      <w:szCs w:val="20"/>
    </w:rPr>
  </w:style>
  <w:style w:type="paragraph" w:customStyle="1" w:styleId="187">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9">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90">
    <w:name w:val="1"/>
    <w:basedOn w:val="1"/>
    <w:next w:val="1"/>
    <w:qFormat/>
    <w:uiPriority w:val="0"/>
  </w:style>
  <w:style w:type="paragraph" w:customStyle="1" w:styleId="191">
    <w:name w:val="表格"/>
    <w:basedOn w:val="1"/>
    <w:qFormat/>
    <w:uiPriority w:val="0"/>
    <w:pPr>
      <w:jc w:val="center"/>
      <w:textAlignment w:val="center"/>
    </w:pPr>
    <w:rPr>
      <w:rFonts w:ascii="华文细黑" w:hAnsi="华文细黑"/>
      <w:kern w:val="0"/>
      <w:szCs w:val="20"/>
    </w:rPr>
  </w:style>
  <w:style w:type="paragraph" w:customStyle="1" w:styleId="192">
    <w:name w:val="列出段落1"/>
    <w:basedOn w:val="1"/>
    <w:qFormat/>
    <w:uiPriority w:val="1"/>
    <w:pPr>
      <w:ind w:firstLine="420" w:firstLineChars="200"/>
    </w:pPr>
    <w:rPr>
      <w:rFonts w:ascii="Calibri" w:hAnsi="Calibri"/>
      <w:szCs w:val="22"/>
    </w:rPr>
  </w:style>
  <w:style w:type="paragraph" w:customStyle="1" w:styleId="193">
    <w:name w:val="表格文字"/>
    <w:basedOn w:val="1"/>
    <w:qFormat/>
    <w:uiPriority w:val="0"/>
    <w:pPr>
      <w:adjustRightInd w:val="0"/>
      <w:spacing w:line="420" w:lineRule="atLeast"/>
      <w:jc w:val="left"/>
      <w:textAlignment w:val="baseline"/>
    </w:pPr>
    <w:rPr>
      <w:kern w:val="0"/>
      <w:szCs w:val="20"/>
    </w:rPr>
  </w:style>
  <w:style w:type="paragraph" w:customStyle="1" w:styleId="194">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95">
    <w:name w:val="Char Char Char Char"/>
    <w:basedOn w:val="1"/>
    <w:qFormat/>
    <w:uiPriority w:val="0"/>
    <w:pPr>
      <w:spacing w:line="360" w:lineRule="auto"/>
      <w:ind w:firstLine="200" w:firstLineChars="200"/>
    </w:pPr>
    <w:rPr>
      <w:rFonts w:ascii="宋体" w:hAnsi="宋体" w:cs="宋体"/>
      <w:sz w:val="24"/>
    </w:rPr>
  </w:style>
  <w:style w:type="paragraph" w:customStyle="1" w:styleId="1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修订1"/>
    <w:qFormat/>
    <w:uiPriority w:val="0"/>
    <w:rPr>
      <w:rFonts w:ascii="Times New Roman" w:hAnsi="Times New Roman" w:eastAsia="宋体" w:cs="Times New Roman"/>
      <w:kern w:val="2"/>
      <w:sz w:val="21"/>
      <w:szCs w:val="24"/>
      <w:lang w:val="en-US" w:eastAsia="zh-CN" w:bidi="ar-SA"/>
    </w:rPr>
  </w:style>
  <w:style w:type="paragraph" w:customStyle="1" w:styleId="198">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99">
    <w:name w:val="空半行"/>
    <w:basedOn w:val="1"/>
    <w:qFormat/>
    <w:uiPriority w:val="0"/>
    <w:pPr>
      <w:adjustRightInd w:val="0"/>
      <w:spacing w:line="120" w:lineRule="exact"/>
    </w:pPr>
    <w:rPr>
      <w:rFonts w:eastAsia="仿宋_GB2312"/>
      <w:color w:val="FFFFFF"/>
      <w:kern w:val="0"/>
      <w:sz w:val="30"/>
      <w:szCs w:val="20"/>
    </w:rPr>
  </w:style>
  <w:style w:type="paragraph" w:customStyle="1" w:styleId="200">
    <w:name w:val="样式3"/>
    <w:basedOn w:val="1"/>
    <w:qFormat/>
    <w:uiPriority w:val="0"/>
    <w:pPr>
      <w:keepNext/>
      <w:keepLines/>
      <w:spacing w:line="400" w:lineRule="exact"/>
      <w:outlineLvl w:val="0"/>
    </w:pPr>
    <w:rPr>
      <w:b/>
      <w:bCs/>
      <w:kern w:val="44"/>
      <w:sz w:val="28"/>
      <w:szCs w:val="44"/>
    </w:rPr>
  </w:style>
  <w:style w:type="paragraph" w:customStyle="1" w:styleId="201">
    <w:name w:val="Char Char1"/>
    <w:basedOn w:val="1"/>
    <w:qFormat/>
    <w:uiPriority w:val="0"/>
  </w:style>
  <w:style w:type="paragraph" w:customStyle="1" w:styleId="202">
    <w:name w:val="Char Char Char Char Char Char Char"/>
    <w:basedOn w:val="14"/>
    <w:qFormat/>
    <w:uiPriority w:val="0"/>
    <w:rPr>
      <w:rFonts w:ascii="Tahoma" w:hAnsi="Tahoma"/>
      <w:sz w:val="24"/>
      <w:szCs w:val="22"/>
    </w:rPr>
  </w:style>
  <w:style w:type="character" w:customStyle="1" w:styleId="203">
    <w:name w:val="页脚 字符1"/>
    <w:qFormat/>
    <w:uiPriority w:val="99"/>
    <w:rPr>
      <w:sz w:val="18"/>
      <w:szCs w:val="18"/>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2"/>
    <w:basedOn w:val="1"/>
    <w:qFormat/>
    <w:uiPriority w:val="34"/>
    <w:pPr>
      <w:ind w:firstLine="420" w:firstLineChars="200"/>
    </w:pPr>
  </w:style>
  <w:style w:type="character" w:customStyle="1" w:styleId="206">
    <w:name w:val="脚注文本 Char"/>
    <w:qFormat/>
    <w:uiPriority w:val="0"/>
    <w:rPr>
      <w:kern w:val="2"/>
      <w:sz w:val="18"/>
      <w:szCs w:val="18"/>
    </w:rPr>
  </w:style>
  <w:style w:type="character" w:customStyle="1" w:styleId="207">
    <w:name w:val="未处理的提及1"/>
    <w:basedOn w:val="45"/>
    <w:unhideWhenUsed/>
    <w:qFormat/>
    <w:uiPriority w:val="99"/>
    <w:rPr>
      <w:color w:val="605E5C"/>
      <w:shd w:val="clear" w:color="auto" w:fill="E1DFDD"/>
    </w:rPr>
  </w:style>
  <w:style w:type="character" w:customStyle="1" w:styleId="208">
    <w:name w:val="页脚 Char"/>
    <w:qFormat/>
    <w:locked/>
    <w:uiPriority w:val="0"/>
    <w:rPr>
      <w:rFonts w:eastAsia="宋体"/>
      <w:kern w:val="2"/>
      <w:sz w:val="18"/>
      <w:szCs w:val="18"/>
      <w:lang w:val="en-US" w:eastAsia="zh-CN" w:bidi="ar-SA"/>
    </w:rPr>
  </w:style>
  <w:style w:type="character" w:customStyle="1" w:styleId="209">
    <w:name w:val="页眉 Char"/>
    <w:qFormat/>
    <w:locked/>
    <w:uiPriority w:val="0"/>
    <w:rPr>
      <w:rFonts w:eastAsia="宋体"/>
      <w:kern w:val="2"/>
      <w:sz w:val="18"/>
      <w:szCs w:val="18"/>
      <w:lang w:val="en-US" w:eastAsia="zh-CN" w:bidi="ar-SA"/>
    </w:rPr>
  </w:style>
  <w:style w:type="character" w:customStyle="1" w:styleId="210">
    <w:name w:val="标题 4 Char"/>
    <w:qFormat/>
    <w:uiPriority w:val="0"/>
    <w:rPr>
      <w:rFonts w:ascii="Arial" w:hAnsi="Arial" w:eastAsia="黑体"/>
      <w:b/>
      <w:bCs/>
      <w:kern w:val="2"/>
      <w:sz w:val="28"/>
      <w:szCs w:val="28"/>
    </w:rPr>
  </w:style>
  <w:style w:type="character" w:customStyle="1" w:styleId="211">
    <w:name w:val="标题 5 Char"/>
    <w:qFormat/>
    <w:uiPriority w:val="0"/>
    <w:rPr>
      <w:b/>
      <w:bCs/>
      <w:kern w:val="2"/>
      <w:sz w:val="28"/>
      <w:szCs w:val="28"/>
      <w:lang w:val="zh-CN" w:eastAsia="zh-CN"/>
    </w:rPr>
  </w:style>
  <w:style w:type="paragraph" w:customStyle="1" w:styleId="212">
    <w:name w:val="正文_2"/>
    <w:qFormat/>
    <w:uiPriority w:val="0"/>
    <w:pPr>
      <w:widowControl w:val="0"/>
      <w:jc w:val="both"/>
    </w:pPr>
    <w:rPr>
      <w:rFonts w:ascii="Times New Roman" w:hAnsi="Times New Roman" w:eastAsia="等线" w:cs="Times New Roman"/>
      <w:kern w:val="2"/>
      <w:sz w:val="21"/>
      <w:szCs w:val="24"/>
      <w:lang w:val="en-US" w:eastAsia="zh-CN" w:bidi="ar-SA"/>
    </w:rPr>
  </w:style>
  <w:style w:type="character" w:customStyle="1" w:styleId="213">
    <w:name w:val="hover35"/>
    <w:basedOn w:val="45"/>
    <w:qFormat/>
    <w:uiPriority w:val="0"/>
    <w:rPr>
      <w:color w:val="FFFFFF"/>
      <w:shd w:val="clear" w:color="auto" w:fill="FFA800"/>
    </w:rPr>
  </w:style>
  <w:style w:type="character" w:customStyle="1" w:styleId="214">
    <w:name w:val="hover36"/>
    <w:basedOn w:val="45"/>
    <w:qFormat/>
    <w:uiPriority w:val="0"/>
    <w:rPr>
      <w:color w:val="999999"/>
      <w:bdr w:val="single" w:color="CCCCCC" w:sz="6" w:space="0"/>
      <w:shd w:val="clear" w:color="auto" w:fill="FFFFFF"/>
    </w:rPr>
  </w:style>
  <w:style w:type="character" w:customStyle="1" w:styleId="215">
    <w:name w:val="hover37"/>
    <w:basedOn w:val="45"/>
    <w:qFormat/>
    <w:uiPriority w:val="0"/>
    <w:rPr>
      <w:color w:val="999999"/>
      <w:bdr w:val="single" w:color="CCCCCC" w:sz="6" w:space="0"/>
      <w:shd w:val="clear" w:color="auto" w:fill="FFFFFF"/>
    </w:rPr>
  </w:style>
  <w:style w:type="character" w:customStyle="1" w:styleId="216">
    <w:name w:val="last-child1"/>
    <w:basedOn w:val="45"/>
    <w:qFormat/>
    <w:uiPriority w:val="0"/>
  </w:style>
  <w:style w:type="character" w:customStyle="1" w:styleId="217">
    <w:name w:val="last-child2"/>
    <w:basedOn w:val="45"/>
    <w:qFormat/>
    <w:uiPriority w:val="0"/>
  </w:style>
  <w:style w:type="paragraph" w:customStyle="1" w:styleId="218">
    <w:name w:val="列出段落11"/>
    <w:basedOn w:val="1"/>
    <w:qFormat/>
    <w:uiPriority w:val="34"/>
    <w:pPr>
      <w:ind w:firstLine="420" w:firstLineChars="200"/>
    </w:pPr>
    <w:rPr>
      <w:rFonts w:ascii="等线" w:hAnsi="等线" w:eastAsia="等线"/>
    </w:rPr>
  </w:style>
  <w:style w:type="character" w:customStyle="1" w:styleId="219">
    <w:name w:val="layui-laypage-curr"/>
    <w:basedOn w:val="45"/>
    <w:qFormat/>
    <w:uiPriority w:val="0"/>
  </w:style>
  <w:style w:type="character" w:customStyle="1" w:styleId="220">
    <w:name w:val="bsharetext"/>
    <w:basedOn w:val="45"/>
    <w:qFormat/>
    <w:uiPriority w:val="0"/>
  </w:style>
  <w:style w:type="paragraph" w:customStyle="1" w:styleId="221">
    <w:name w:val="列出段落3"/>
    <w:basedOn w:val="1"/>
    <w:qFormat/>
    <w:uiPriority w:val="1"/>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8FE7B-C5FB-49CA-880D-C4B2A9369D59}">
  <ds:schemaRefs/>
</ds:datastoreItem>
</file>

<file path=docProps/app.xml><?xml version="1.0" encoding="utf-8"?>
<Properties xmlns="http://schemas.openxmlformats.org/officeDocument/2006/extended-properties" xmlns:vt="http://schemas.openxmlformats.org/officeDocument/2006/docPropsVTypes">
  <Template>Normal</Template>
  <Pages>114</Pages>
  <Words>18408</Words>
  <Characters>104930</Characters>
  <Lines>874</Lines>
  <Paragraphs>246</Paragraphs>
  <TotalTime>0</TotalTime>
  <ScaleCrop>false</ScaleCrop>
  <LinksUpToDate>false</LinksUpToDate>
  <CharactersWithSpaces>123092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2020-04-23T02:59:00Z</dcterms:created>
  <cp:lastPrinted>2020-09-07T06:29:00Z</cp:lastPrinted>
  <dcterms:modified xsi:type="dcterms:W3CDTF">2020-09-07T14:55:17Z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