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line="360" w:lineRule="atLeast"/>
        <w:jc w:val="center"/>
        <w:rPr>
          <w:rFonts w:hint="eastAsia" w:asciiTheme="minorEastAsia" w:hAnsiTheme="minorEastAsia" w:eastAsiaTheme="minorEastAsia" w:cstheme="minorEastAsia"/>
          <w:b/>
          <w:bCs/>
          <w:color w:val="auto"/>
          <w:sz w:val="21"/>
          <w:szCs w:val="21"/>
        </w:rPr>
      </w:pPr>
      <w:bookmarkStart w:id="0" w:name="OLE_LINK3"/>
      <w:bookmarkStart w:id="1" w:name="_Toc197950802"/>
      <w:bookmarkStart w:id="2" w:name="_Toc197950681"/>
      <w:bookmarkStart w:id="3" w:name="_Toc197960492"/>
      <w:bookmarkStart w:id="4" w:name="_Toc197960544"/>
      <w:bookmarkStart w:id="5" w:name="_Toc197967265"/>
      <w:bookmarkStart w:id="6" w:name="_Toc197965596"/>
      <w:bookmarkStart w:id="7" w:name="_Toc197951555"/>
      <w:bookmarkStart w:id="8" w:name="_Toc197967117"/>
      <w:bookmarkStart w:id="9" w:name="_Toc197951587"/>
      <w:r>
        <w:rPr>
          <w:rFonts w:hint="eastAsia" w:asciiTheme="minorEastAsia" w:hAnsiTheme="minorEastAsia" w:eastAsiaTheme="minorEastAsia" w:cstheme="minorEastAsia"/>
          <w:b/>
          <w:bCs/>
          <w:color w:val="auto"/>
          <w:sz w:val="21"/>
          <w:szCs w:val="21"/>
        </w:rPr>
        <w:t>吉林省高速公路集团有限公司OA协同办公系统软件采购项目</w:t>
      </w:r>
    </w:p>
    <w:p>
      <w:pPr>
        <w:spacing w:after="240" w:afterLines="100" w:line="360" w:lineRule="atLeast"/>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磋商文件关键内容信息公开</w:t>
      </w:r>
    </w:p>
    <w:bookmarkEnd w:id="0"/>
    <w:p>
      <w:pPr>
        <w:tabs>
          <w:tab w:val="left" w:pos="709"/>
        </w:tabs>
        <w:autoSpaceDE w:val="0"/>
        <w:autoSpaceDN w:val="0"/>
        <w:adjustRightInd w:val="0"/>
        <w:snapToGrid w:val="0"/>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bookmarkStart w:id="10" w:name="_Toc12959559"/>
      <w:r>
        <w:rPr>
          <w:rFonts w:hint="eastAsia" w:asciiTheme="minorEastAsia" w:hAnsiTheme="minorEastAsia" w:eastAsiaTheme="minorEastAsia" w:cstheme="minorEastAsia"/>
          <w:color w:val="auto"/>
          <w:kern w:val="0"/>
          <w:sz w:val="21"/>
          <w:szCs w:val="21"/>
          <w:highlight w:val="none"/>
        </w:rPr>
        <w:t>受吉林省高速公路集团有限公司委托，国信招标集团股份有限公司对吉林省高速公路集团有限公司OA协同办公系统软件采购项目（项目编号：GXTC-CZ-A-2068012）以竞争性磋商采购方式组织采购，欢迎</w:t>
      </w:r>
      <w:r>
        <w:rPr>
          <w:rFonts w:hint="eastAsia" w:asciiTheme="minorEastAsia" w:hAnsiTheme="minorEastAsia" w:eastAsiaTheme="minorEastAsia" w:cstheme="minorEastAsia"/>
          <w:b w:val="0"/>
          <w:bCs w:val="0"/>
          <w:color w:val="auto"/>
          <w:kern w:val="0"/>
          <w:sz w:val="21"/>
          <w:szCs w:val="21"/>
          <w:highlight w:val="none"/>
        </w:rPr>
        <w:t>符合条件的供应商参加磋商。</w:t>
      </w:r>
    </w:p>
    <w:p>
      <w:pPr>
        <w:tabs>
          <w:tab w:val="left" w:pos="709"/>
        </w:tabs>
        <w:autoSpaceDE w:val="0"/>
        <w:autoSpaceDN w:val="0"/>
        <w:adjustRightInd w:val="0"/>
        <w:snapToGrid w:val="0"/>
        <w:spacing w:line="360" w:lineRule="auto"/>
        <w:ind w:left="420" w:leftChars="20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sz w:val="21"/>
          <w:szCs w:val="21"/>
          <w:highlight w:val="none"/>
        </w:rPr>
        <w:t>一、项目概况</w:t>
      </w:r>
    </w:p>
    <w:p>
      <w:pPr>
        <w:tabs>
          <w:tab w:val="left" w:pos="709"/>
        </w:tabs>
        <w:autoSpaceDE w:val="0"/>
        <w:autoSpaceDN w:val="0"/>
        <w:adjustRightInd w:val="0"/>
        <w:snapToGrid w:val="0"/>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1、采购项目名称：吉林省高速公路集团有限公司OA协同办公系统软件采购项目</w:t>
      </w:r>
    </w:p>
    <w:p>
      <w:pPr>
        <w:tabs>
          <w:tab w:val="left" w:pos="709"/>
        </w:tabs>
        <w:autoSpaceDE w:val="0"/>
        <w:autoSpaceDN w:val="0"/>
        <w:adjustRightInd w:val="0"/>
        <w:snapToGrid w:val="0"/>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2、资金来源：自有资金</w:t>
      </w:r>
    </w:p>
    <w:p>
      <w:pPr>
        <w:tabs>
          <w:tab w:val="left" w:pos="709"/>
        </w:tabs>
        <w:autoSpaceDE w:val="0"/>
        <w:autoSpaceDN w:val="0"/>
        <w:adjustRightInd w:val="0"/>
        <w:snapToGrid w:val="0"/>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3、采购预算及最高限价：99万元。</w:t>
      </w:r>
    </w:p>
    <w:p>
      <w:pPr>
        <w:tabs>
          <w:tab w:val="left" w:pos="709"/>
        </w:tabs>
        <w:autoSpaceDE w:val="0"/>
        <w:autoSpaceDN w:val="0"/>
        <w:adjustRightInd w:val="0"/>
        <w:snapToGrid w:val="0"/>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4、服务期</w:t>
      </w:r>
      <w:r>
        <w:rPr>
          <w:rFonts w:hint="eastAsia" w:asciiTheme="minorEastAsia" w:hAnsiTheme="minorEastAsia" w:eastAsiaTheme="minorEastAsia" w:cstheme="minorEastAsia"/>
          <w:b w:val="0"/>
          <w:bCs w:val="0"/>
          <w:color w:val="auto"/>
          <w:kern w:val="0"/>
          <w:sz w:val="21"/>
          <w:szCs w:val="21"/>
          <w:highlight w:val="none"/>
          <w:lang w:val="zh-CN"/>
        </w:rPr>
        <w:t>：</w:t>
      </w:r>
      <w:bookmarkStart w:id="11" w:name="_Hlk40785668"/>
      <w:r>
        <w:rPr>
          <w:rFonts w:hint="eastAsia" w:asciiTheme="minorEastAsia" w:hAnsiTheme="minorEastAsia" w:eastAsiaTheme="minorEastAsia" w:cstheme="minorEastAsia"/>
          <w:b w:val="0"/>
          <w:bCs w:val="0"/>
          <w:color w:val="auto"/>
          <w:kern w:val="0"/>
          <w:sz w:val="21"/>
          <w:szCs w:val="21"/>
          <w:highlight w:val="none"/>
        </w:rPr>
        <w:t xml:space="preserve"> </w:t>
      </w:r>
      <w:bookmarkEnd w:id="11"/>
      <w:r>
        <w:rPr>
          <w:rFonts w:hint="eastAsia" w:asciiTheme="minorEastAsia" w:hAnsiTheme="minorEastAsia" w:eastAsiaTheme="minorEastAsia" w:cstheme="minorEastAsia"/>
          <w:b w:val="0"/>
          <w:bCs w:val="0"/>
          <w:color w:val="auto"/>
          <w:kern w:val="0"/>
          <w:sz w:val="21"/>
          <w:szCs w:val="21"/>
          <w:highlight w:val="none"/>
        </w:rPr>
        <w:t>OA协同办公系统要求</w:t>
      </w:r>
      <w:r>
        <w:rPr>
          <w:rFonts w:hint="eastAsia" w:asciiTheme="minorEastAsia" w:hAnsiTheme="minorEastAsia" w:eastAsiaTheme="minorEastAsia" w:cstheme="minorEastAsia"/>
          <w:b w:val="0"/>
          <w:bCs w:val="0"/>
          <w:color w:val="auto"/>
          <w:kern w:val="0"/>
          <w:sz w:val="21"/>
          <w:szCs w:val="21"/>
          <w:highlight w:val="none"/>
          <w:lang w:val="zh-CN"/>
        </w:rPr>
        <w:t>合同签订后</w:t>
      </w:r>
      <w:r>
        <w:rPr>
          <w:rFonts w:hint="eastAsia" w:asciiTheme="minorEastAsia" w:hAnsiTheme="minorEastAsia" w:eastAsiaTheme="minorEastAsia" w:cstheme="minorEastAsia"/>
          <w:b w:val="0"/>
          <w:bCs w:val="0"/>
          <w:color w:val="auto"/>
          <w:kern w:val="0"/>
          <w:sz w:val="21"/>
          <w:szCs w:val="21"/>
          <w:highlight w:val="none"/>
        </w:rPr>
        <w:t>2个月内完成收发文、公文流转、流程管理、督查督办及资产管理等功能并可正式使用；其他功能在签订合同后6个月内完成并可正式使用（系统集成除外），需求内的系统集成功能按照业务系统提出对接时间起至3至6个月完成可正式使用； OA协同办公系统（包含公文处理、资产管理等主功能）安装、调试完成并经验收合格后提供二年的免费服务期。</w:t>
      </w:r>
    </w:p>
    <w:p>
      <w:pPr>
        <w:tabs>
          <w:tab w:val="left" w:pos="709"/>
        </w:tabs>
        <w:autoSpaceDE w:val="0"/>
        <w:autoSpaceDN w:val="0"/>
        <w:adjustRightInd w:val="0"/>
        <w:snapToGrid w:val="0"/>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5、采购内容及合同包划分：本项目采购的为专业管理信息软件开发系统（具体技术要求详见第五章采购需求）。本项目划分一个合同包，即01合同包。</w:t>
      </w:r>
    </w:p>
    <w:p>
      <w:pPr>
        <w:tabs>
          <w:tab w:val="left" w:pos="709"/>
        </w:tabs>
        <w:autoSpaceDE w:val="0"/>
        <w:autoSpaceDN w:val="0"/>
        <w:adjustRightInd w:val="0"/>
        <w:snapToGrid w:val="0"/>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6、服务地点：吉林省内、</w:t>
      </w:r>
      <w:r>
        <w:rPr>
          <w:rFonts w:hint="eastAsia" w:asciiTheme="minorEastAsia" w:hAnsiTheme="minorEastAsia" w:eastAsiaTheme="minorEastAsia" w:cstheme="minorEastAsia"/>
          <w:b w:val="0"/>
          <w:bCs w:val="0"/>
          <w:color w:val="auto"/>
          <w:kern w:val="0"/>
          <w:sz w:val="21"/>
          <w:szCs w:val="21"/>
          <w:highlight w:val="none"/>
          <w:lang w:val="zh-CN"/>
        </w:rPr>
        <w:t>采购人指定地点。</w:t>
      </w:r>
    </w:p>
    <w:p>
      <w:pPr>
        <w:tabs>
          <w:tab w:val="left" w:pos="709"/>
        </w:tabs>
        <w:autoSpaceDE w:val="0"/>
        <w:autoSpaceDN w:val="0"/>
        <w:adjustRightInd w:val="0"/>
        <w:snapToGrid w:val="0"/>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7、数量：1套</w:t>
      </w:r>
    </w:p>
    <w:p>
      <w:pPr>
        <w:tabs>
          <w:tab w:val="left" w:pos="709"/>
        </w:tabs>
        <w:autoSpaceDE w:val="0"/>
        <w:autoSpaceDN w:val="0"/>
        <w:adjustRightInd w:val="0"/>
        <w:snapToGrid w:val="0"/>
        <w:spacing w:line="360" w:lineRule="auto"/>
        <w:ind w:left="420" w:leftChars="20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二、供应商资格要求</w:t>
      </w:r>
    </w:p>
    <w:p>
      <w:pPr>
        <w:tabs>
          <w:tab w:val="left" w:pos="709"/>
        </w:tabs>
        <w:autoSpaceDE w:val="0"/>
        <w:autoSpaceDN w:val="0"/>
        <w:adjustRightInd w:val="0"/>
        <w:snapToGrid w:val="0"/>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lang w:val="zh-CN"/>
        </w:rPr>
      </w:pPr>
      <w:bookmarkStart w:id="12" w:name="_Toc17111"/>
      <w:bookmarkStart w:id="13" w:name="_Toc7298"/>
      <w:r>
        <w:rPr>
          <w:rFonts w:hint="eastAsia" w:asciiTheme="minorEastAsia" w:hAnsiTheme="minorEastAsia" w:eastAsiaTheme="minorEastAsia" w:cstheme="minorEastAsia"/>
          <w:b w:val="0"/>
          <w:bCs w:val="0"/>
          <w:color w:val="auto"/>
          <w:sz w:val="21"/>
          <w:szCs w:val="21"/>
          <w:highlight w:val="none"/>
        </w:rPr>
        <w:t xml:space="preserve">1. </w:t>
      </w:r>
      <w:r>
        <w:rPr>
          <w:rFonts w:hint="eastAsia" w:asciiTheme="minorEastAsia" w:hAnsiTheme="minorEastAsia" w:eastAsiaTheme="minorEastAsia" w:cstheme="minorEastAsia"/>
          <w:b w:val="0"/>
          <w:bCs w:val="0"/>
          <w:color w:val="auto"/>
          <w:kern w:val="0"/>
          <w:sz w:val="21"/>
          <w:szCs w:val="21"/>
          <w:highlight w:val="none"/>
          <w:lang w:val="zh-CN"/>
        </w:rPr>
        <w:t>投标人需是在中华人民共和国境内注册，具有独立法人资格，必须是从事专业信息管理系统开发和服务的软件制造企业。</w:t>
      </w:r>
      <w:bookmarkEnd w:id="12"/>
      <w:bookmarkEnd w:id="13"/>
    </w:p>
    <w:p>
      <w:pPr>
        <w:tabs>
          <w:tab w:val="left" w:pos="709"/>
        </w:tabs>
        <w:autoSpaceDE w:val="0"/>
        <w:autoSpaceDN w:val="0"/>
        <w:adjustRightInd w:val="0"/>
        <w:snapToGrid w:val="0"/>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lang w:val="zh-CN"/>
        </w:rPr>
      </w:pPr>
      <w:r>
        <w:rPr>
          <w:rFonts w:hint="eastAsia" w:asciiTheme="minorEastAsia" w:hAnsiTheme="minorEastAsia" w:eastAsiaTheme="minorEastAsia" w:cstheme="minorEastAsia"/>
          <w:b w:val="0"/>
          <w:bCs w:val="0"/>
          <w:color w:val="auto"/>
          <w:kern w:val="0"/>
          <w:sz w:val="21"/>
          <w:szCs w:val="21"/>
          <w:highlight w:val="none"/>
        </w:rPr>
        <w:t>2、</w:t>
      </w:r>
      <w:r>
        <w:rPr>
          <w:rFonts w:hint="eastAsia" w:asciiTheme="minorEastAsia" w:hAnsiTheme="minorEastAsia" w:eastAsiaTheme="minorEastAsia" w:cstheme="minorEastAsia"/>
          <w:b w:val="0"/>
          <w:bCs w:val="0"/>
          <w:color w:val="auto"/>
          <w:kern w:val="0"/>
          <w:sz w:val="21"/>
          <w:szCs w:val="21"/>
          <w:highlight w:val="none"/>
          <w:lang w:val="zh-CN"/>
        </w:rPr>
        <w:t xml:space="preserve"> 具有良好的商业信誉和健全的财务会计制度；具有履行合同所必需的设备和专业技术能力；有依法缴纳税收和社会保障资金的良好记录。</w:t>
      </w:r>
    </w:p>
    <w:p>
      <w:pPr>
        <w:tabs>
          <w:tab w:val="left" w:pos="709"/>
        </w:tabs>
        <w:autoSpaceDE w:val="0"/>
        <w:autoSpaceDN w:val="0"/>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b w:val="0"/>
          <w:bCs w:val="0"/>
          <w:color w:val="auto"/>
          <w:kern w:val="0"/>
          <w:sz w:val="21"/>
          <w:szCs w:val="21"/>
          <w:highlight w:val="none"/>
        </w:rPr>
        <w:t>3、</w:t>
      </w:r>
      <w:r>
        <w:rPr>
          <w:rFonts w:hint="eastAsia" w:asciiTheme="minorEastAsia" w:hAnsiTheme="minorEastAsia" w:eastAsiaTheme="minorEastAsia" w:cstheme="minorEastAsia"/>
          <w:b w:val="0"/>
          <w:bCs w:val="0"/>
          <w:color w:val="auto"/>
          <w:kern w:val="0"/>
          <w:sz w:val="21"/>
          <w:szCs w:val="21"/>
          <w:highlight w:val="none"/>
          <w:lang w:val="zh-CN"/>
        </w:rPr>
        <w:t>参加采购活动前三年内，在经营活动中没有重大违法记录（重大违法记录是指供应商因违法经营受到刑事处罚或者责令停产停业、吊销许可证或</w:t>
      </w:r>
      <w:r>
        <w:rPr>
          <w:rFonts w:hint="eastAsia" w:asciiTheme="minorEastAsia" w:hAnsiTheme="minorEastAsia" w:eastAsiaTheme="minorEastAsia" w:cstheme="minorEastAsia"/>
          <w:color w:val="auto"/>
          <w:kern w:val="0"/>
          <w:sz w:val="21"/>
          <w:szCs w:val="21"/>
          <w:highlight w:val="none"/>
          <w:lang w:val="zh-CN"/>
        </w:rPr>
        <w:t>者执照、较大数额罚款等行政处罚）。</w:t>
      </w:r>
    </w:p>
    <w:p>
      <w:pPr>
        <w:tabs>
          <w:tab w:val="left" w:pos="709"/>
        </w:tabs>
        <w:autoSpaceDE w:val="0"/>
        <w:autoSpaceDN w:val="0"/>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rPr>
        <w:t>4、</w:t>
      </w:r>
      <w:r>
        <w:rPr>
          <w:rFonts w:hint="eastAsia" w:asciiTheme="minorEastAsia" w:hAnsiTheme="minorEastAsia" w:eastAsiaTheme="minorEastAsia" w:cstheme="minorEastAsia"/>
          <w:color w:val="auto"/>
          <w:kern w:val="0"/>
          <w:sz w:val="21"/>
          <w:szCs w:val="21"/>
          <w:highlight w:val="none"/>
          <w:lang w:val="zh-CN"/>
        </w:rPr>
        <w:t>被“信用中国”网站（www.creditchina.gov.cn）中列入失信被执行人和重大税收违法案件当事人名单的供应商、被“国家企业信用信息公示系统”网站（http://www.gsxt.gov.cn/）中被列入严重违法失信企业名单的供应商，无资格参加本项目的采购活动。</w:t>
      </w:r>
    </w:p>
    <w:p>
      <w:pPr>
        <w:tabs>
          <w:tab w:val="left" w:pos="709"/>
        </w:tabs>
        <w:autoSpaceDE w:val="0"/>
        <w:autoSpaceDN w:val="0"/>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rPr>
        <w:t>5、</w:t>
      </w:r>
      <w:r>
        <w:rPr>
          <w:rFonts w:hint="eastAsia" w:asciiTheme="minorEastAsia" w:hAnsiTheme="minorEastAsia" w:eastAsiaTheme="minorEastAsia" w:cstheme="minorEastAsia"/>
          <w:color w:val="auto"/>
          <w:kern w:val="0"/>
          <w:sz w:val="21"/>
          <w:szCs w:val="21"/>
          <w:highlight w:val="none"/>
          <w:lang w:val="zh-CN"/>
        </w:rPr>
        <w:t>单位负责人为同一人或者存在控股、管理关系的不同单位，不得同时参加本项目的投标。</w:t>
      </w:r>
    </w:p>
    <w:p>
      <w:pPr>
        <w:tabs>
          <w:tab w:val="left" w:pos="709"/>
        </w:tabs>
        <w:autoSpaceDE w:val="0"/>
        <w:autoSpaceDN w:val="0"/>
        <w:adjustRightInd w:val="0"/>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bookmarkStart w:id="32" w:name="_GoBack"/>
      <w:bookmarkEnd w:id="32"/>
      <w:r>
        <w:rPr>
          <w:rFonts w:hint="eastAsia" w:asciiTheme="minorEastAsia" w:hAnsiTheme="minorEastAsia" w:eastAsiaTheme="minorEastAsia" w:cstheme="minorEastAsia"/>
          <w:color w:val="auto"/>
          <w:kern w:val="0"/>
          <w:sz w:val="21"/>
          <w:szCs w:val="21"/>
          <w:highlight w:val="none"/>
        </w:rPr>
        <w:t>6、</w:t>
      </w:r>
      <w:r>
        <w:rPr>
          <w:rFonts w:hint="eastAsia" w:asciiTheme="minorEastAsia" w:hAnsiTheme="minorEastAsia" w:eastAsiaTheme="minorEastAsia" w:cstheme="minorEastAsia"/>
          <w:color w:val="auto"/>
          <w:kern w:val="0"/>
          <w:sz w:val="21"/>
          <w:szCs w:val="21"/>
          <w:highlight w:val="none"/>
          <w:lang w:val="zh-CN"/>
        </w:rPr>
        <w:t xml:space="preserve"> 本项目不接受联合体。</w:t>
      </w:r>
    </w:p>
    <w:p>
      <w:pPr>
        <w:autoSpaceDE w:val="0"/>
        <w:autoSpaceDN w:val="0"/>
        <w:adjustRightInd w:val="0"/>
        <w:snapToGrid w:val="0"/>
        <w:spacing w:after="120" w:afterLines="50" w:line="360" w:lineRule="auto"/>
        <w:jc w:val="both"/>
        <w:outlineLvl w:val="1"/>
        <w:rPr>
          <w:rFonts w:hint="eastAsia" w:asciiTheme="minorEastAsia" w:hAnsiTheme="minorEastAsia" w:eastAsiaTheme="minorEastAsia" w:cstheme="minorEastAsia"/>
          <w:bCs/>
          <w:color w:val="auto"/>
          <w:kern w:val="44"/>
          <w:sz w:val="21"/>
          <w:szCs w:val="21"/>
        </w:rPr>
      </w:pPr>
      <w:r>
        <w:rPr>
          <w:rFonts w:hint="eastAsia" w:asciiTheme="minorEastAsia" w:hAnsiTheme="minorEastAsia" w:eastAsiaTheme="minorEastAsia" w:cstheme="minorEastAsia"/>
          <w:bCs/>
          <w:color w:val="auto"/>
          <w:kern w:val="44"/>
          <w:sz w:val="21"/>
          <w:szCs w:val="21"/>
          <w:lang w:val="en-US" w:eastAsia="zh-CN"/>
        </w:rPr>
        <w:t>三</w:t>
      </w:r>
      <w:r>
        <w:rPr>
          <w:rFonts w:hint="eastAsia" w:asciiTheme="minorEastAsia" w:hAnsiTheme="minorEastAsia" w:eastAsiaTheme="minorEastAsia" w:cstheme="minorEastAsia"/>
          <w:bCs/>
          <w:color w:val="auto"/>
          <w:kern w:val="44"/>
          <w:sz w:val="21"/>
          <w:szCs w:val="21"/>
        </w:rPr>
        <w:t>、  供应商</w:t>
      </w:r>
      <w:r>
        <w:rPr>
          <w:rFonts w:hint="eastAsia" w:asciiTheme="minorEastAsia" w:hAnsiTheme="minorEastAsia" w:eastAsiaTheme="minorEastAsia" w:cstheme="minorEastAsia"/>
          <w:bCs/>
          <w:color w:val="auto"/>
          <w:kern w:val="44"/>
          <w:sz w:val="21"/>
          <w:szCs w:val="21"/>
        </w:rPr>
        <w:t>须知</w:t>
      </w:r>
      <w:bookmarkEnd w:id="1"/>
      <w:bookmarkEnd w:id="2"/>
      <w:bookmarkEnd w:id="3"/>
      <w:bookmarkEnd w:id="4"/>
      <w:bookmarkEnd w:id="5"/>
      <w:bookmarkEnd w:id="6"/>
      <w:bookmarkEnd w:id="7"/>
      <w:bookmarkEnd w:id="8"/>
      <w:bookmarkEnd w:id="9"/>
      <w:bookmarkEnd w:id="10"/>
      <w:bookmarkStart w:id="14" w:name="_Toc12959566"/>
      <w:bookmarkStart w:id="15" w:name="_Toc441605620"/>
      <w:bookmarkStart w:id="16" w:name="_Toc197960498"/>
      <w:bookmarkStart w:id="17" w:name="_Toc197967129"/>
      <w:bookmarkStart w:id="18" w:name="_Toc197965613"/>
      <w:bookmarkStart w:id="19" w:name="_Toc197967277"/>
      <w:bookmarkStart w:id="20" w:name="_Toc197960550"/>
    </w:p>
    <w:p>
      <w:pPr>
        <w:autoSpaceDE w:val="0"/>
        <w:autoSpaceDN w:val="0"/>
        <w:adjustRightInd w:val="0"/>
        <w:snapToGrid w:val="0"/>
        <w:spacing w:after="120" w:afterLines="50" w:line="360" w:lineRule="auto"/>
        <w:jc w:val="center"/>
        <w:outlineLvl w:val="1"/>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供应商须知前附表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条款号</w:t>
            </w:r>
          </w:p>
        </w:tc>
        <w:tc>
          <w:tcPr>
            <w:tcW w:w="2515"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条 款 名 称</w:t>
            </w:r>
          </w:p>
        </w:tc>
        <w:tc>
          <w:tcPr>
            <w:tcW w:w="5675"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REF _Ref527101463 \r \h  \* MERGEFORMAT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kern w:val="0"/>
                <w:sz w:val="21"/>
                <w:szCs w:val="21"/>
                <w:highlight w:val="none"/>
              </w:rPr>
              <w:t>1.7</w:t>
            </w:r>
            <w:r>
              <w:rPr>
                <w:rFonts w:hint="eastAsia" w:asciiTheme="minorEastAsia" w:hAnsiTheme="minorEastAsia" w:eastAsiaTheme="minorEastAsia" w:cstheme="minorEastAsia"/>
                <w:color w:val="auto"/>
                <w:sz w:val="21"/>
                <w:szCs w:val="21"/>
                <w:highlight w:val="none"/>
              </w:rPr>
              <w:fldChar w:fldCharType="end"/>
            </w:r>
          </w:p>
        </w:tc>
        <w:tc>
          <w:tcPr>
            <w:tcW w:w="2515" w:type="dxa"/>
            <w:noWrap w:val="0"/>
            <w:vAlign w:val="center"/>
          </w:tcPr>
          <w:p>
            <w:pPr>
              <w:autoSpaceDE w:val="0"/>
              <w:autoSpaceDN w:val="0"/>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分包</w:t>
            </w:r>
          </w:p>
        </w:tc>
        <w:tc>
          <w:tcPr>
            <w:tcW w:w="567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☑不允许</w:t>
            </w:r>
          </w:p>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□允  许：</w:t>
            </w:r>
          </w:p>
          <w:p>
            <w:pPr>
              <w:autoSpaceDE w:val="0"/>
              <w:autoSpaceDN w:val="0"/>
              <w:adjustRightInd w:val="0"/>
              <w:snapToGrid w:val="0"/>
              <w:ind w:left="311" w:leftChars="148"/>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分包内容要求：</w:t>
            </w:r>
          </w:p>
          <w:p>
            <w:pPr>
              <w:autoSpaceDE w:val="0"/>
              <w:autoSpaceDN w:val="0"/>
              <w:adjustRightInd w:val="0"/>
              <w:snapToGrid w:val="0"/>
              <w:ind w:left="311" w:leftChars="148"/>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分包金额要求：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REF _Ref527292580 \r \h  \* MERGEFORMAT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kern w:val="0"/>
                <w:sz w:val="21"/>
                <w:szCs w:val="21"/>
                <w:highlight w:val="none"/>
              </w:rPr>
              <w:t>1.12.1</w:t>
            </w:r>
            <w:r>
              <w:rPr>
                <w:rFonts w:hint="eastAsia" w:asciiTheme="minorEastAsia" w:hAnsiTheme="minorEastAsia" w:eastAsiaTheme="minorEastAsia" w:cstheme="minorEastAsia"/>
                <w:color w:val="auto"/>
                <w:sz w:val="21"/>
                <w:szCs w:val="21"/>
                <w:highlight w:val="none"/>
              </w:rPr>
              <w:fldChar w:fldCharType="end"/>
            </w:r>
          </w:p>
        </w:tc>
        <w:tc>
          <w:tcPr>
            <w:tcW w:w="2515" w:type="dxa"/>
            <w:noWrap w:val="0"/>
            <w:vAlign w:val="center"/>
          </w:tcPr>
          <w:p>
            <w:pPr>
              <w:autoSpaceDE w:val="0"/>
              <w:autoSpaceDN w:val="0"/>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现场踏勘</w:t>
            </w:r>
          </w:p>
        </w:tc>
        <w:tc>
          <w:tcPr>
            <w:tcW w:w="567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☑不组织</w:t>
            </w:r>
          </w:p>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□组  织：</w:t>
            </w:r>
          </w:p>
          <w:p>
            <w:pPr>
              <w:autoSpaceDE w:val="0"/>
              <w:autoSpaceDN w:val="0"/>
              <w:adjustRightInd w:val="0"/>
              <w:snapToGrid w:val="0"/>
              <w:ind w:left="311" w:leftChars="148"/>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踏勘时间：</w:t>
            </w:r>
          </w:p>
          <w:p>
            <w:pPr>
              <w:autoSpaceDE w:val="0"/>
              <w:autoSpaceDN w:val="0"/>
              <w:adjustRightInd w:val="0"/>
              <w:snapToGrid w:val="0"/>
              <w:ind w:left="311" w:leftChars="148"/>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集合地点：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REF _Ref527101604 \r \h  \* MERGEFORMAT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kern w:val="0"/>
                <w:sz w:val="21"/>
                <w:szCs w:val="21"/>
                <w:highlight w:val="none"/>
              </w:rPr>
              <w:t>2.2.2</w:t>
            </w:r>
            <w:r>
              <w:rPr>
                <w:rFonts w:hint="eastAsia" w:asciiTheme="minorEastAsia" w:hAnsiTheme="minorEastAsia" w:eastAsiaTheme="minorEastAsia" w:cstheme="minorEastAsia"/>
                <w:color w:val="auto"/>
                <w:sz w:val="21"/>
                <w:szCs w:val="21"/>
                <w:highlight w:val="none"/>
              </w:rPr>
              <w:fldChar w:fldCharType="end"/>
            </w:r>
          </w:p>
        </w:tc>
        <w:tc>
          <w:tcPr>
            <w:tcW w:w="2515" w:type="dxa"/>
            <w:noWrap w:val="0"/>
            <w:vAlign w:val="center"/>
          </w:tcPr>
          <w:p>
            <w:pPr>
              <w:autoSpaceDE w:val="0"/>
              <w:autoSpaceDN w:val="0"/>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供应商询问或要求澄清的截止时间</w:t>
            </w:r>
          </w:p>
        </w:tc>
        <w:tc>
          <w:tcPr>
            <w:tcW w:w="567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提交首次响应文件截止之日3个工作日前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REF _Ref527101721 \r \h  \* MERGEFORMAT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kern w:val="0"/>
                <w:sz w:val="21"/>
                <w:szCs w:val="21"/>
                <w:highlight w:val="none"/>
              </w:rPr>
              <w:t>2.3</w:t>
            </w:r>
            <w:r>
              <w:rPr>
                <w:rFonts w:hint="eastAsia" w:asciiTheme="minorEastAsia" w:hAnsiTheme="minorEastAsia" w:eastAsiaTheme="minorEastAsia" w:cstheme="minorEastAsia"/>
                <w:color w:val="auto"/>
                <w:sz w:val="21"/>
                <w:szCs w:val="21"/>
                <w:highlight w:val="none"/>
              </w:rPr>
              <w:fldChar w:fldCharType="end"/>
            </w:r>
          </w:p>
        </w:tc>
        <w:tc>
          <w:tcPr>
            <w:tcW w:w="2515" w:type="dxa"/>
            <w:noWrap w:val="0"/>
            <w:vAlign w:val="center"/>
          </w:tcPr>
          <w:p>
            <w:pPr>
              <w:autoSpaceDE w:val="0"/>
              <w:autoSpaceDN w:val="0"/>
              <w:adjustRightInd w:val="0"/>
              <w:snapToGrid w:val="0"/>
              <w:outlineLvl w:val="0"/>
              <w:rPr>
                <w:rFonts w:hint="eastAsia" w:asciiTheme="minorEastAsia" w:hAnsiTheme="minorEastAsia" w:eastAsiaTheme="minorEastAsia" w:cstheme="minorEastAsia"/>
                <w:color w:val="auto"/>
                <w:kern w:val="0"/>
                <w:sz w:val="21"/>
                <w:szCs w:val="21"/>
                <w:highlight w:val="none"/>
              </w:rPr>
            </w:pPr>
            <w:bookmarkStart w:id="21" w:name="_Toc11744960"/>
            <w:bookmarkStart w:id="22" w:name="_Toc14340437"/>
            <w:r>
              <w:rPr>
                <w:rFonts w:hint="eastAsia" w:asciiTheme="minorEastAsia" w:hAnsiTheme="minorEastAsia" w:eastAsiaTheme="minorEastAsia" w:cstheme="minorEastAsia"/>
                <w:color w:val="auto"/>
                <w:kern w:val="0"/>
                <w:sz w:val="21"/>
                <w:szCs w:val="21"/>
                <w:highlight w:val="none"/>
              </w:rPr>
              <w:t>质疑函送达方式</w:t>
            </w:r>
            <w:bookmarkEnd w:id="21"/>
            <w:bookmarkEnd w:id="22"/>
          </w:p>
        </w:tc>
        <w:tc>
          <w:tcPr>
            <w:tcW w:w="5675" w:type="dxa"/>
            <w:noWrap w:val="0"/>
            <w:vAlign w:val="center"/>
          </w:tcPr>
          <w:p>
            <w:pPr>
              <w:autoSpaceDE w:val="0"/>
              <w:autoSpaceDN w:val="0"/>
              <w:adjustRightInd w:val="0"/>
              <w:snapToGrid w:val="0"/>
              <w:ind w:left="27" w:leftChars="13"/>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质疑提出人应将质疑函原件委派专人或通过邮寄方式</w:t>
            </w:r>
            <w:r>
              <w:rPr>
                <w:rFonts w:hint="eastAsia" w:asciiTheme="minorEastAsia" w:hAnsiTheme="minorEastAsia" w:eastAsiaTheme="minorEastAsia" w:cstheme="minorEastAsia"/>
                <w:color w:val="auto"/>
                <w:sz w:val="21"/>
                <w:szCs w:val="21"/>
                <w:highlight w:val="none"/>
              </w:rPr>
              <w:t>在知道或者应知其权益受到损害之日起7个工作日内</w:t>
            </w:r>
            <w:r>
              <w:rPr>
                <w:rFonts w:hint="eastAsia" w:asciiTheme="minorEastAsia" w:hAnsiTheme="minorEastAsia" w:eastAsiaTheme="minorEastAsia" w:cstheme="minorEastAsia"/>
                <w:color w:val="auto"/>
                <w:kern w:val="0"/>
                <w:sz w:val="21"/>
                <w:szCs w:val="21"/>
                <w:highlight w:val="none"/>
              </w:rPr>
              <w:t>送达采购代理机构。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REF _Ref527102185 \r \h  \* MERGEFORMAT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kern w:val="0"/>
                <w:sz w:val="21"/>
                <w:szCs w:val="21"/>
                <w:highlight w:val="none"/>
              </w:rPr>
              <w:t>3.6.1</w:t>
            </w:r>
            <w:r>
              <w:rPr>
                <w:rFonts w:hint="eastAsia" w:asciiTheme="minorEastAsia" w:hAnsiTheme="minorEastAsia" w:eastAsiaTheme="minorEastAsia" w:cstheme="minorEastAsia"/>
                <w:color w:val="auto"/>
                <w:sz w:val="21"/>
                <w:szCs w:val="21"/>
                <w:highlight w:val="none"/>
              </w:rPr>
              <w:fldChar w:fldCharType="end"/>
            </w:r>
          </w:p>
        </w:tc>
        <w:tc>
          <w:tcPr>
            <w:tcW w:w="2515" w:type="dxa"/>
            <w:noWrap w:val="0"/>
            <w:vAlign w:val="center"/>
          </w:tcPr>
          <w:p>
            <w:pPr>
              <w:autoSpaceDE w:val="0"/>
              <w:autoSpaceDN w:val="0"/>
              <w:adjustRightInd w:val="0"/>
              <w:snapToGrid w:val="0"/>
              <w:outlineLvl w:val="0"/>
              <w:rPr>
                <w:rFonts w:hint="eastAsia" w:asciiTheme="minorEastAsia" w:hAnsiTheme="minorEastAsia" w:eastAsiaTheme="minorEastAsia" w:cstheme="minorEastAsia"/>
                <w:color w:val="auto"/>
                <w:kern w:val="0"/>
                <w:sz w:val="21"/>
                <w:szCs w:val="21"/>
                <w:highlight w:val="none"/>
              </w:rPr>
            </w:pPr>
            <w:bookmarkStart w:id="23" w:name="_Toc11744961"/>
            <w:bookmarkStart w:id="24" w:name="_Toc14340438"/>
            <w:r>
              <w:rPr>
                <w:rFonts w:hint="eastAsia" w:asciiTheme="minorEastAsia" w:hAnsiTheme="minorEastAsia" w:eastAsiaTheme="minorEastAsia" w:cstheme="minorEastAsia"/>
                <w:color w:val="auto"/>
                <w:kern w:val="0"/>
                <w:sz w:val="21"/>
                <w:szCs w:val="21"/>
                <w:highlight w:val="none"/>
              </w:rPr>
              <w:t>响应文件有效期</w:t>
            </w:r>
            <w:bookmarkEnd w:id="23"/>
            <w:bookmarkEnd w:id="24"/>
          </w:p>
        </w:tc>
        <w:tc>
          <w:tcPr>
            <w:tcW w:w="567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REF _Ref419361076 \r \h  \* MERGEFORMAT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kern w:val="0"/>
                <w:sz w:val="21"/>
                <w:szCs w:val="21"/>
                <w:highlight w:val="none"/>
              </w:rPr>
              <w:t>3.7.1</w:t>
            </w:r>
            <w:r>
              <w:rPr>
                <w:rFonts w:hint="eastAsia" w:asciiTheme="minorEastAsia" w:hAnsiTheme="minorEastAsia" w:eastAsiaTheme="minorEastAsia" w:cstheme="minorEastAsia"/>
                <w:color w:val="auto"/>
                <w:sz w:val="21"/>
                <w:szCs w:val="21"/>
                <w:highlight w:val="none"/>
              </w:rPr>
              <w:fldChar w:fldCharType="end"/>
            </w:r>
          </w:p>
        </w:tc>
        <w:tc>
          <w:tcPr>
            <w:tcW w:w="2515" w:type="dxa"/>
            <w:noWrap w:val="0"/>
            <w:vAlign w:val="center"/>
          </w:tcPr>
          <w:p>
            <w:pPr>
              <w:autoSpaceDE w:val="0"/>
              <w:autoSpaceDN w:val="0"/>
              <w:adjustRightInd w:val="0"/>
              <w:snapToGrid w:val="0"/>
              <w:outlineLvl w:val="0"/>
              <w:rPr>
                <w:rFonts w:hint="eastAsia" w:asciiTheme="minorEastAsia" w:hAnsiTheme="minorEastAsia" w:eastAsiaTheme="minorEastAsia" w:cstheme="minorEastAsia"/>
                <w:color w:val="auto"/>
                <w:kern w:val="0"/>
                <w:sz w:val="21"/>
                <w:szCs w:val="21"/>
                <w:highlight w:val="none"/>
              </w:rPr>
            </w:pPr>
            <w:bookmarkStart w:id="25" w:name="_Toc11744962"/>
            <w:bookmarkStart w:id="26" w:name="_Toc14340439"/>
            <w:r>
              <w:rPr>
                <w:rFonts w:hint="eastAsia" w:asciiTheme="minorEastAsia" w:hAnsiTheme="minorEastAsia" w:eastAsiaTheme="minorEastAsia" w:cstheme="minorEastAsia"/>
                <w:color w:val="auto"/>
                <w:kern w:val="0"/>
                <w:sz w:val="21"/>
                <w:szCs w:val="21"/>
                <w:highlight w:val="none"/>
              </w:rPr>
              <w:t>磋商保证金</w:t>
            </w:r>
            <w:bookmarkEnd w:id="25"/>
            <w:bookmarkEnd w:id="26"/>
          </w:p>
        </w:tc>
        <w:tc>
          <w:tcPr>
            <w:tcW w:w="5675" w:type="dxa"/>
            <w:noWrap w:val="0"/>
            <w:vAlign w:val="center"/>
          </w:tcPr>
          <w:p>
            <w:pPr>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磋商保证金的金额：</w:t>
            </w:r>
            <w:r>
              <w:rPr>
                <w:rFonts w:hint="eastAsia" w:asciiTheme="minorEastAsia" w:hAnsiTheme="minorEastAsia" w:eastAsiaTheme="minorEastAsia" w:cstheme="minorEastAsia"/>
                <w:color w:val="auto"/>
                <w:kern w:val="0"/>
                <w:sz w:val="21"/>
                <w:szCs w:val="21"/>
                <w:highlight w:val="none"/>
              </w:rPr>
              <w:t>人民币18000元</w:t>
            </w:r>
          </w:p>
          <w:p>
            <w:pPr>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形式：转账或电汇</w:t>
            </w:r>
          </w:p>
          <w:p>
            <w:pPr>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投标人应在递交响应文件截止时间之前，将磋商保证金由投标人单位的基本账户一次性转入并到达采购人指定账户，否则视为磋商保证金无效。采购人指定的开户银行及账号如下：</w:t>
            </w:r>
          </w:p>
          <w:p>
            <w:pPr>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开户银行：中国工商银行长春经济技术开发区支行</w:t>
            </w:r>
          </w:p>
          <w:p>
            <w:pPr>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账户名称：吉林省高速公路集团有限公司</w:t>
            </w:r>
          </w:p>
          <w:p>
            <w:pPr>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账号：4200223219200131189</w:t>
            </w:r>
          </w:p>
          <w:p>
            <w:pPr>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咨询电话：0431-85254019</w:t>
            </w:r>
          </w:p>
          <w:p>
            <w:pPr>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联 系 人：单俊植</w:t>
            </w:r>
          </w:p>
          <w:p>
            <w:pPr>
              <w:autoSpaceDE w:val="0"/>
              <w:autoSpaceDN w:val="0"/>
              <w:adjustRightInd w:val="0"/>
              <w:snapToGrid w:val="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业务回单备注一栏可填写：</w:t>
            </w:r>
            <w:r>
              <w:rPr>
                <w:rFonts w:hint="eastAsia" w:asciiTheme="minorEastAsia" w:hAnsiTheme="minorEastAsia" w:eastAsiaTheme="minorEastAsia" w:cstheme="minorEastAsia"/>
                <w:color w:val="auto"/>
                <w:sz w:val="21"/>
                <w:szCs w:val="21"/>
                <w:highlight w:val="none"/>
              </w:rPr>
              <w:t>OA</w:t>
            </w:r>
            <w:r>
              <w:rPr>
                <w:rFonts w:hint="eastAsia" w:asciiTheme="minorEastAsia" w:hAnsiTheme="minorEastAsia" w:eastAsiaTheme="minorEastAsia" w:cstheme="minorEastAsia"/>
                <w:color w:val="auto"/>
                <w:sz w:val="21"/>
                <w:szCs w:val="21"/>
                <w:highlight w:val="none"/>
              </w:rPr>
              <w:t>协同办公系统</w:t>
            </w:r>
            <w:r>
              <w:rPr>
                <w:rFonts w:hint="eastAsia" w:asciiTheme="minorEastAsia" w:hAnsiTheme="minorEastAsia" w:eastAsiaTheme="minorEastAsia" w:cstheme="minorEastAsia"/>
                <w:color w:val="auto"/>
                <w:kern w:val="0"/>
                <w:sz w:val="21"/>
                <w:szCs w:val="21"/>
                <w:highlight w:val="none"/>
              </w:rPr>
              <w:t>磋</w:t>
            </w:r>
            <w:r>
              <w:rPr>
                <w:rFonts w:hint="eastAsia" w:asciiTheme="minorEastAsia" w:hAnsiTheme="minorEastAsia" w:eastAsiaTheme="minorEastAsia" w:cstheme="minorEastAsia"/>
                <w:color w:val="auto"/>
                <w:sz w:val="21"/>
                <w:szCs w:val="21"/>
                <w:highlight w:val="none"/>
              </w:rPr>
              <w:t>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3.8.3</w:t>
            </w:r>
          </w:p>
        </w:tc>
        <w:tc>
          <w:tcPr>
            <w:tcW w:w="251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响应文件副本份数</w:t>
            </w:r>
          </w:p>
        </w:tc>
        <w:tc>
          <w:tcPr>
            <w:tcW w:w="567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正本1份，副本3份。电子版U盘2份（U盘内应包含响应文件全部内容的Word及pdf格式各1份，电子U盘需单独密封，密封要求与响应文件密封要求相同）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3.8.4</w:t>
            </w:r>
          </w:p>
        </w:tc>
        <w:tc>
          <w:tcPr>
            <w:tcW w:w="251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装订要求</w:t>
            </w:r>
          </w:p>
        </w:tc>
        <w:tc>
          <w:tcPr>
            <w:tcW w:w="5675" w:type="dxa"/>
            <w:noWrap w:val="0"/>
            <w:vAlign w:val="center"/>
          </w:tcPr>
          <w:p>
            <w:pPr>
              <w:autoSpaceDE w:val="0"/>
              <w:autoSpaceDN w:val="0"/>
              <w:adjustRightInd w:val="0"/>
              <w:snapToGrid w:val="0"/>
              <w:rPr>
                <w:rFonts w:hint="eastAsia" w:asciiTheme="minorEastAsia" w:hAnsiTheme="minorEastAsia" w:eastAsiaTheme="minorEastAsia" w:cstheme="minorEastAsia"/>
                <w:i/>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应装订成册，不得采用活页方式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4.1.2</w:t>
            </w:r>
          </w:p>
        </w:tc>
        <w:tc>
          <w:tcPr>
            <w:tcW w:w="251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封套上写明</w:t>
            </w:r>
          </w:p>
        </w:tc>
        <w:tc>
          <w:tcPr>
            <w:tcW w:w="567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采购人名称：</w:t>
            </w:r>
          </w:p>
          <w:p>
            <w:pPr>
              <w:autoSpaceDE w:val="0"/>
              <w:autoSpaceDN w:val="0"/>
              <w:adjustRightInd w:val="0"/>
              <w:snapToGrid w:val="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项目编号：</w:t>
            </w:r>
          </w:p>
          <w:p>
            <w:pPr>
              <w:autoSpaceDE w:val="0"/>
              <w:autoSpaceDN w:val="0"/>
              <w:adjustRightInd w:val="0"/>
              <w:snapToGrid w:val="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（项目名称）响应文件在    年 月 日 时 分前不得开启</w:t>
            </w:r>
          </w:p>
          <w:p>
            <w:pPr>
              <w:autoSpaceDE w:val="0"/>
              <w:autoSpaceDN w:val="0"/>
              <w:adjustRightInd w:val="0"/>
              <w:snapToGrid w:val="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REF _Ref527102573 \r \h  \* MERGEFORMAT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kern w:val="0"/>
                <w:sz w:val="21"/>
                <w:szCs w:val="21"/>
                <w:highlight w:val="none"/>
              </w:rPr>
              <w:t>5.1.1</w:t>
            </w:r>
            <w:r>
              <w:rPr>
                <w:rFonts w:hint="eastAsia" w:asciiTheme="minorEastAsia" w:hAnsiTheme="minorEastAsia" w:eastAsiaTheme="minorEastAsia" w:cstheme="minorEastAsia"/>
                <w:color w:val="auto"/>
                <w:sz w:val="21"/>
                <w:szCs w:val="21"/>
                <w:highlight w:val="none"/>
              </w:rPr>
              <w:fldChar w:fldCharType="end"/>
            </w:r>
          </w:p>
        </w:tc>
        <w:tc>
          <w:tcPr>
            <w:tcW w:w="251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磋商小组成员</w:t>
            </w:r>
          </w:p>
        </w:tc>
        <w:tc>
          <w:tcPr>
            <w:tcW w:w="5675" w:type="dxa"/>
            <w:noWrap w:val="0"/>
            <w:vAlign w:val="center"/>
          </w:tcPr>
          <w:p>
            <w:pPr>
              <w:autoSpaceDE w:val="0"/>
              <w:autoSpaceDN w:val="0"/>
              <w:adjustRightInd w:val="0"/>
              <w:snapToGrid w:val="0"/>
              <w:ind w:left="27" w:leftChars="13"/>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采购人代表：1 人 </w:t>
            </w:r>
          </w:p>
          <w:p>
            <w:pPr>
              <w:autoSpaceDE w:val="0"/>
              <w:autoSpaceDN w:val="0"/>
              <w:adjustRightInd w:val="0"/>
              <w:snapToGrid w:val="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从专家库抽取的评审专家：2人。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REF _Ref527102841 \r \h  \* MERGEFORMAT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kern w:val="0"/>
                <w:sz w:val="21"/>
                <w:szCs w:val="21"/>
                <w:highlight w:val="none"/>
              </w:rPr>
              <w:t>6.1</w:t>
            </w:r>
            <w:r>
              <w:rPr>
                <w:rFonts w:hint="eastAsia" w:asciiTheme="minorEastAsia" w:hAnsiTheme="minorEastAsia" w:eastAsiaTheme="minorEastAsia" w:cstheme="minorEastAsia"/>
                <w:color w:val="auto"/>
                <w:sz w:val="21"/>
                <w:szCs w:val="21"/>
                <w:highlight w:val="none"/>
              </w:rPr>
              <w:fldChar w:fldCharType="end"/>
            </w:r>
          </w:p>
        </w:tc>
        <w:tc>
          <w:tcPr>
            <w:tcW w:w="251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确定成交供应商方式</w:t>
            </w:r>
          </w:p>
        </w:tc>
        <w:tc>
          <w:tcPr>
            <w:tcW w:w="567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☑采购人</w:t>
            </w:r>
          </w:p>
          <w:p>
            <w:pPr>
              <w:autoSpaceDE w:val="0"/>
              <w:autoSpaceDN w:val="0"/>
              <w:adjustRightInd w:val="0"/>
              <w:snapToGrid w:val="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□采购人授权磋商小组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REF _Ref421009348 \r \h  \* MERGEFORMAT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kern w:val="0"/>
                <w:sz w:val="21"/>
                <w:szCs w:val="21"/>
                <w:highlight w:val="none"/>
              </w:rPr>
              <w:t>6.4.1</w:t>
            </w:r>
            <w:r>
              <w:rPr>
                <w:rFonts w:hint="eastAsia" w:asciiTheme="minorEastAsia" w:hAnsiTheme="minorEastAsia" w:eastAsiaTheme="minorEastAsia" w:cstheme="minorEastAsia"/>
                <w:color w:val="auto"/>
                <w:sz w:val="21"/>
                <w:szCs w:val="21"/>
                <w:highlight w:val="none"/>
              </w:rPr>
              <w:fldChar w:fldCharType="end"/>
            </w:r>
          </w:p>
        </w:tc>
        <w:tc>
          <w:tcPr>
            <w:tcW w:w="2515" w:type="dxa"/>
            <w:noWrap w:val="0"/>
            <w:vAlign w:val="center"/>
          </w:tcPr>
          <w:p>
            <w:pPr>
              <w:autoSpaceDE w:val="0"/>
              <w:autoSpaceDN w:val="0"/>
              <w:adjustRightInd w:val="0"/>
              <w:snapToGrid w:val="0"/>
              <w:outlineLvl w:val="0"/>
              <w:rPr>
                <w:rFonts w:hint="eastAsia" w:asciiTheme="minorEastAsia" w:hAnsiTheme="minorEastAsia" w:eastAsiaTheme="minorEastAsia" w:cstheme="minorEastAsia"/>
                <w:color w:val="auto"/>
                <w:kern w:val="0"/>
                <w:sz w:val="21"/>
                <w:szCs w:val="21"/>
                <w:highlight w:val="none"/>
              </w:rPr>
            </w:pPr>
            <w:bookmarkStart w:id="27" w:name="_Toc14340440"/>
            <w:bookmarkStart w:id="28" w:name="_Toc11744963"/>
            <w:r>
              <w:rPr>
                <w:rFonts w:hint="eastAsia" w:asciiTheme="minorEastAsia" w:hAnsiTheme="minorEastAsia" w:eastAsiaTheme="minorEastAsia" w:cstheme="minorEastAsia"/>
                <w:color w:val="auto"/>
                <w:kern w:val="0"/>
                <w:sz w:val="21"/>
                <w:szCs w:val="21"/>
                <w:highlight w:val="none"/>
              </w:rPr>
              <w:t>履约保证金</w:t>
            </w:r>
            <w:bookmarkEnd w:id="27"/>
            <w:bookmarkEnd w:id="28"/>
          </w:p>
        </w:tc>
        <w:tc>
          <w:tcPr>
            <w:tcW w:w="5675" w:type="dxa"/>
            <w:noWrap w:val="0"/>
            <w:vAlign w:val="center"/>
          </w:tcPr>
          <w:p>
            <w:pPr>
              <w:autoSpaceDE w:val="0"/>
              <w:autoSpaceDN w:val="0"/>
              <w:adjustRightInd w:val="0"/>
              <w:snapToGrid w:val="0"/>
              <w:outlineLvl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履约保证金的形式：银行保函或现金、支票形式。</w:t>
            </w:r>
          </w:p>
          <w:p>
            <w:pPr>
              <w:autoSpaceDE w:val="0"/>
              <w:autoSpaceDN w:val="0"/>
              <w:adjustRightInd w:val="0"/>
              <w:snapToGrid w:val="0"/>
              <w:outlineLvl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履约保证金为签约合同价的5%。</w:t>
            </w:r>
          </w:p>
          <w:p>
            <w:pPr>
              <w:autoSpaceDE w:val="0"/>
              <w:autoSpaceDN w:val="0"/>
              <w:adjustRightInd w:val="0"/>
              <w:snapToGrid w:val="0"/>
              <w:outlineLvl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注意：</w:t>
            </w:r>
          </w:p>
          <w:p>
            <w:pPr>
              <w:autoSpaceDE w:val="0"/>
              <w:autoSpaceDN w:val="0"/>
              <w:adjustRightInd w:val="0"/>
              <w:snapToGrid w:val="0"/>
              <w:outlineLvl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（1）采用现金、支票形式时，应有中标人的基本账户汇入发包人指定账户。</w:t>
            </w:r>
          </w:p>
          <w:p>
            <w:pPr>
              <w:autoSpaceDE w:val="0"/>
              <w:autoSpaceDN w:val="0"/>
              <w:adjustRightInd w:val="0"/>
              <w:snapToGrid w:val="0"/>
              <w:outlineLvl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（2）采用银行保函时，出具保函的银行级别：应由“工商银行、</w:t>
            </w:r>
            <w:r>
              <w:rPr>
                <w:rFonts w:hint="eastAsia" w:asciiTheme="minorEastAsia" w:hAnsiTheme="minorEastAsia" w:eastAsiaTheme="minorEastAsia" w:cstheme="minorEastAsia"/>
                <w:color w:val="auto"/>
                <w:sz w:val="21"/>
                <w:szCs w:val="21"/>
                <w:highlight w:val="none"/>
              </w:rPr>
              <w:t>邮储银行、</w:t>
            </w:r>
            <w:r>
              <w:rPr>
                <w:rFonts w:hint="eastAsia" w:asciiTheme="minorEastAsia" w:hAnsiTheme="minorEastAsia" w:eastAsiaTheme="minorEastAsia" w:cstheme="minorEastAsia"/>
                <w:color w:val="auto"/>
                <w:kern w:val="0"/>
                <w:sz w:val="21"/>
                <w:szCs w:val="21"/>
                <w:highlight w:val="none"/>
              </w:rPr>
              <w:t>农业银行、中国银行、建设银行、交通银行”六大国有商业银行之一或全国性股份制商业银行开具，银行应为地市级分、支行或以上级别，所需费用由中标人承担，中标人应保证银行保函有效。</w:t>
            </w:r>
          </w:p>
          <w:p>
            <w:pPr>
              <w:autoSpaceDE w:val="0"/>
              <w:autoSpaceDN w:val="0"/>
              <w:adjustRightInd w:val="0"/>
              <w:snapToGrid w:val="0"/>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（3）履约保证金期限为项目交付采购人并验收合格。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REF _Ref527103019 \r \h  \* MERGEFORMAT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9</w:t>
            </w:r>
            <w:r>
              <w:rPr>
                <w:rFonts w:hint="eastAsia" w:asciiTheme="minorEastAsia" w:hAnsiTheme="minorEastAsia" w:eastAsiaTheme="minorEastAsia" w:cstheme="minorEastAsia"/>
                <w:color w:val="auto"/>
                <w:sz w:val="21"/>
                <w:szCs w:val="21"/>
                <w:highlight w:val="none"/>
              </w:rPr>
              <w:fldChar w:fldCharType="end"/>
            </w:r>
          </w:p>
        </w:tc>
        <w:tc>
          <w:tcPr>
            <w:tcW w:w="8190" w:type="dxa"/>
            <w:gridSpan w:val="2"/>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8190" w:type="dxa"/>
            <w:gridSpan w:val="2"/>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成交供应商应在收到成交通知书后五个工作日内向采购代理机构交纳代理服务费。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251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代理服务费计算</w:t>
            </w:r>
          </w:p>
        </w:tc>
        <w:tc>
          <w:tcPr>
            <w:tcW w:w="5675" w:type="dxa"/>
            <w:noWrap w:val="0"/>
            <w:vAlign w:val="center"/>
          </w:tcPr>
          <w:p>
            <w:pPr>
              <w:widowControl/>
              <w:adjustRightInd w:val="0"/>
              <w:snapToGrid w:val="0"/>
              <w:jc w:val="left"/>
              <w:rPr>
                <w:rFonts w:hint="eastAsia" w:asciiTheme="minorEastAsia" w:hAnsiTheme="minorEastAsia" w:eastAsiaTheme="minorEastAsia" w:cstheme="minorEastAsia"/>
                <w:bCs/>
                <w:color w:val="auto"/>
                <w:kern w:val="15"/>
                <w:sz w:val="21"/>
                <w:szCs w:val="21"/>
                <w:highlight w:val="none"/>
              </w:rPr>
            </w:pPr>
            <w:r>
              <w:rPr>
                <w:rFonts w:hint="eastAsia" w:asciiTheme="minorEastAsia" w:hAnsiTheme="minorEastAsia" w:eastAsiaTheme="minorEastAsia" w:cstheme="minorEastAsia"/>
                <w:bCs/>
                <w:color w:val="auto"/>
                <w:kern w:val="15"/>
                <w:sz w:val="21"/>
                <w:szCs w:val="21"/>
                <w:highlight w:val="none"/>
              </w:rPr>
              <w:t>参考国家计委《招标代理服务收费管理暂行办法》（计价格[2002]1980号）、国家发改委《关于招标代理服务收费有关问题的通知》（发改办价格[2003]857号）、国家发改委《关于降低部分建设项目收费标准规范收费行为等有关问题的通知》（发改价格[2011]534号）等文件规定，以中标金额为基准额，分别适用代理服务费用标准，并采用差额定率累进法计算基准代理收费额。按下表规定的折扣系数确定招标代理费金额。</w:t>
            </w:r>
          </w:p>
          <w:p>
            <w:pPr>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招标代理服务收费折扣系数表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102"/>
              <w:gridCol w:w="916"/>
              <w:gridCol w:w="982"/>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56" w:type="dxa"/>
                  <w:noWrap w:val="0"/>
                  <w:vAlign w:val="center"/>
                </w:tcPr>
                <w:p>
                  <w:pPr>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基准代理费</w:t>
                  </w:r>
                </w:p>
              </w:tc>
              <w:tc>
                <w:tcPr>
                  <w:tcW w:w="1102" w:type="dxa"/>
                  <w:noWrap w:val="0"/>
                  <w:vAlign w:val="center"/>
                </w:tcPr>
                <w:p>
                  <w:pPr>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2万以下</w:t>
                  </w:r>
                </w:p>
              </w:tc>
              <w:tc>
                <w:tcPr>
                  <w:tcW w:w="916" w:type="dxa"/>
                  <w:noWrap w:val="0"/>
                  <w:vAlign w:val="center"/>
                </w:tcPr>
                <w:p>
                  <w:pPr>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2-5万</w:t>
                  </w:r>
                </w:p>
              </w:tc>
              <w:tc>
                <w:tcPr>
                  <w:tcW w:w="982" w:type="dxa"/>
                  <w:noWrap w:val="0"/>
                  <w:vAlign w:val="center"/>
                </w:tcPr>
                <w:p>
                  <w:pPr>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5-10万</w:t>
                  </w:r>
                </w:p>
              </w:tc>
              <w:tc>
                <w:tcPr>
                  <w:tcW w:w="1123" w:type="dxa"/>
                  <w:noWrap w:val="0"/>
                  <w:vAlign w:val="center"/>
                </w:tcPr>
                <w:p>
                  <w:pPr>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56" w:type="dxa"/>
                  <w:noWrap w:val="0"/>
                  <w:vAlign w:val="center"/>
                </w:tcPr>
                <w:p>
                  <w:pPr>
                    <w:pStyle w:val="55"/>
                    <w:adjustRightInd w:val="0"/>
                    <w:snapToGrid w:val="0"/>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折扣系数</w:t>
                  </w:r>
                </w:p>
              </w:tc>
              <w:tc>
                <w:tcPr>
                  <w:tcW w:w="1102" w:type="dxa"/>
                  <w:noWrap w:val="0"/>
                  <w:vAlign w:val="center"/>
                </w:tcPr>
                <w:p>
                  <w:pPr>
                    <w:pStyle w:val="55"/>
                    <w:adjustRightInd w:val="0"/>
                    <w:snapToGrid w:val="0"/>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916" w:type="dxa"/>
                  <w:noWrap w:val="0"/>
                  <w:vAlign w:val="center"/>
                </w:tcPr>
                <w:p>
                  <w:pPr>
                    <w:pStyle w:val="55"/>
                    <w:adjustRightInd w:val="0"/>
                    <w:snapToGrid w:val="0"/>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0.9</w:t>
                  </w:r>
                </w:p>
              </w:tc>
              <w:tc>
                <w:tcPr>
                  <w:tcW w:w="982" w:type="dxa"/>
                  <w:noWrap w:val="0"/>
                  <w:vAlign w:val="center"/>
                </w:tcPr>
                <w:p>
                  <w:pPr>
                    <w:pStyle w:val="55"/>
                    <w:adjustRightInd w:val="0"/>
                    <w:snapToGrid w:val="0"/>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1123" w:type="dxa"/>
                  <w:noWrap w:val="0"/>
                  <w:vAlign w:val="center"/>
                </w:tcPr>
                <w:p>
                  <w:pPr>
                    <w:pStyle w:val="55"/>
                    <w:adjustRightInd w:val="0"/>
                    <w:snapToGrid w:val="0"/>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w:t>
                  </w:r>
                </w:p>
              </w:tc>
            </w:tr>
          </w:tbl>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251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依法缴纳税收和社会保障资金的月份要求</w:t>
            </w:r>
          </w:p>
        </w:tc>
        <w:tc>
          <w:tcPr>
            <w:tcW w:w="567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2019年11月-2020年4月任意一个月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251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财务状况的年份要求</w:t>
            </w:r>
          </w:p>
        </w:tc>
        <w:tc>
          <w:tcPr>
            <w:tcW w:w="567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2515" w:type="dxa"/>
            <w:noWrap w:val="0"/>
            <w:vAlign w:val="center"/>
          </w:tcPr>
          <w:p>
            <w:pPr>
              <w:keepLines/>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rPr>
              <w:t>质量保证金及质保期</w:t>
            </w:r>
          </w:p>
        </w:tc>
        <w:tc>
          <w:tcPr>
            <w:tcW w:w="5675" w:type="dxa"/>
            <w:noWrap w:val="0"/>
            <w:vAlign w:val="center"/>
          </w:tcPr>
          <w:p>
            <w:pPr>
              <w:keepLines/>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rPr>
              <w:t>本项目无质量保证金，</w:t>
            </w:r>
            <w:r>
              <w:rPr>
                <w:rFonts w:hint="eastAsia" w:asciiTheme="minorEastAsia" w:hAnsiTheme="minorEastAsia" w:eastAsiaTheme="minorEastAsia" w:cstheme="minorEastAsia"/>
                <w:color w:val="auto"/>
                <w:kern w:val="0"/>
                <w:sz w:val="21"/>
                <w:szCs w:val="21"/>
                <w:highlight w:val="none"/>
              </w:rPr>
              <w:t>O</w:t>
            </w:r>
            <w:r>
              <w:rPr>
                <w:rFonts w:hint="eastAsia" w:asciiTheme="minorEastAsia" w:hAnsiTheme="minorEastAsia" w:eastAsiaTheme="minorEastAsia" w:cstheme="minorEastAsia"/>
                <w:color w:val="auto"/>
                <w:kern w:val="0"/>
                <w:sz w:val="21"/>
                <w:szCs w:val="21"/>
                <w:highlight w:val="none"/>
              </w:rPr>
              <w:t>A</w:t>
            </w:r>
            <w:r>
              <w:rPr>
                <w:rFonts w:hint="eastAsia" w:asciiTheme="minorEastAsia" w:hAnsiTheme="minorEastAsia" w:eastAsiaTheme="minorEastAsia" w:cstheme="minorEastAsia"/>
                <w:color w:val="auto"/>
                <w:kern w:val="0"/>
                <w:sz w:val="21"/>
                <w:szCs w:val="21"/>
                <w:highlight w:val="none"/>
              </w:rPr>
              <w:t>协同办公系统（包含公文处理、资产管理等主功能）安装、调试完成并经</w:t>
            </w:r>
            <w:r>
              <w:rPr>
                <w:rFonts w:hint="eastAsia" w:asciiTheme="minorEastAsia" w:hAnsiTheme="minorEastAsia" w:eastAsiaTheme="minorEastAsia" w:cstheme="minorEastAsia"/>
                <w:bCs/>
                <w:color w:val="auto"/>
                <w:sz w:val="21"/>
                <w:szCs w:val="21"/>
                <w:highlight w:val="none"/>
              </w:rPr>
              <w:t>验收合格后提供二年的免费服务期（投标人另有承诺的按投标人承诺的质量保证期），包括软件使用培训、维护、质保、升级等。须提供7*24小时的售后电话咨询服务，需支持2小时到达现场并进行故障处理，支持终身维保服务，支持两年内免费调整各种功能需求变更调整、软件集成及数据迁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w:t>
            </w:r>
          </w:p>
        </w:tc>
        <w:tc>
          <w:tcPr>
            <w:tcW w:w="251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预付款</w:t>
            </w:r>
          </w:p>
        </w:tc>
        <w:tc>
          <w:tcPr>
            <w:tcW w:w="567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本项目无预付款。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w:t>
            </w:r>
          </w:p>
        </w:tc>
        <w:tc>
          <w:tcPr>
            <w:tcW w:w="2515" w:type="dxa"/>
            <w:noWrap w:val="0"/>
            <w:vAlign w:val="center"/>
          </w:tcPr>
          <w:p>
            <w:pPr>
              <w:keepLines/>
              <w:adjustRightInd w:val="0"/>
              <w:snapToGrid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进度款及支付方式</w:t>
            </w:r>
          </w:p>
        </w:tc>
        <w:tc>
          <w:tcPr>
            <w:tcW w:w="5675" w:type="dxa"/>
            <w:noWrap w:val="0"/>
            <w:vAlign w:val="center"/>
          </w:tcPr>
          <w:p>
            <w:pPr>
              <w:pStyle w:val="21"/>
              <w:snapToGrid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O</w:t>
            </w:r>
            <w:r>
              <w:rPr>
                <w:rFonts w:hint="eastAsia" w:asciiTheme="minorEastAsia" w:hAnsiTheme="minorEastAsia" w:eastAsiaTheme="minorEastAsia" w:cstheme="minorEastAsia"/>
                <w:color w:val="auto"/>
                <w:kern w:val="0"/>
                <w:sz w:val="21"/>
                <w:szCs w:val="21"/>
                <w:highlight w:val="none"/>
              </w:rPr>
              <w:t>A</w:t>
            </w:r>
            <w:r>
              <w:rPr>
                <w:rFonts w:hint="eastAsia" w:asciiTheme="minorEastAsia" w:hAnsiTheme="minorEastAsia" w:eastAsiaTheme="minorEastAsia" w:cstheme="minorEastAsia"/>
                <w:color w:val="auto"/>
                <w:kern w:val="0"/>
                <w:sz w:val="21"/>
                <w:szCs w:val="21"/>
                <w:highlight w:val="none"/>
              </w:rPr>
              <w:t>协同办公系统（包含公文处理、资产管理等主功能）安装、调试完成并经</w:t>
            </w:r>
            <w:r>
              <w:rPr>
                <w:rFonts w:hint="eastAsia" w:asciiTheme="minorEastAsia" w:hAnsiTheme="minorEastAsia" w:eastAsiaTheme="minorEastAsia" w:cstheme="minorEastAsia"/>
                <w:bCs/>
                <w:color w:val="auto"/>
                <w:sz w:val="21"/>
                <w:szCs w:val="21"/>
                <w:highlight w:val="none"/>
              </w:rPr>
              <w:t>采购人验收合格后支付至合同金额的</w:t>
            </w:r>
            <w:r>
              <w:rPr>
                <w:rFonts w:hint="eastAsia" w:asciiTheme="minorEastAsia" w:hAnsiTheme="minorEastAsia" w:eastAsiaTheme="minorEastAsia" w:cstheme="minorEastAsia"/>
                <w:bCs/>
                <w:color w:val="auto"/>
                <w:sz w:val="21"/>
                <w:szCs w:val="21"/>
                <w:highlight w:val="none"/>
              </w:rPr>
              <w:t>80</w:t>
            </w:r>
            <w:r>
              <w:rPr>
                <w:rFonts w:hint="eastAsia" w:asciiTheme="minorEastAsia" w:hAnsiTheme="minorEastAsia" w:eastAsiaTheme="minorEastAsia" w:cstheme="minorEastAsia"/>
                <w:bCs/>
                <w:color w:val="auto"/>
                <w:sz w:val="21"/>
                <w:szCs w:val="21"/>
                <w:highlight w:val="none"/>
              </w:rPr>
              <w:t>%，签订合同后第一年年末支付合同金额的1</w:t>
            </w:r>
            <w:r>
              <w:rPr>
                <w:rFonts w:hint="eastAsia" w:asciiTheme="minorEastAsia" w:hAnsiTheme="minorEastAsia" w:eastAsiaTheme="minorEastAsia" w:cstheme="minorEastAsia"/>
                <w:bCs/>
                <w:color w:val="auto"/>
                <w:sz w:val="21"/>
                <w:szCs w:val="21"/>
                <w:highlight w:val="none"/>
              </w:rPr>
              <w:t>0</w:t>
            </w:r>
            <w:r>
              <w:rPr>
                <w:rFonts w:hint="eastAsia" w:asciiTheme="minorEastAsia" w:hAnsiTheme="minorEastAsia" w:eastAsiaTheme="minorEastAsia" w:cstheme="minorEastAsia"/>
                <w:bCs/>
                <w:color w:val="auto"/>
                <w:sz w:val="21"/>
                <w:szCs w:val="21"/>
                <w:highlight w:val="none"/>
              </w:rPr>
              <w:t>%，二年免费服务期满支付剩余合同金额的</w:t>
            </w:r>
            <w:r>
              <w:rPr>
                <w:rFonts w:hint="eastAsia" w:asciiTheme="minorEastAsia" w:hAnsiTheme="minorEastAsia" w:eastAsiaTheme="minorEastAsia" w:cstheme="minorEastAsia"/>
                <w:bCs/>
                <w:color w:val="auto"/>
                <w:sz w:val="21"/>
                <w:szCs w:val="21"/>
                <w:highlight w:val="none"/>
              </w:rPr>
              <w:t>10</w:t>
            </w:r>
            <w:r>
              <w:rPr>
                <w:rFonts w:hint="eastAsia" w:asciiTheme="minorEastAsia" w:hAnsiTheme="minorEastAsia" w:eastAsiaTheme="minorEastAsia" w:cstheme="minorEastAsia"/>
                <w:bCs/>
                <w:color w:val="auto"/>
                <w:sz w:val="21"/>
                <w:szCs w:val="21"/>
                <w:highlight w:val="none"/>
              </w:rPr>
              <w:t>%。投标人另有承诺延长免费服务期超过二年的，超过部分期限以中标人信用担保。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w:t>
            </w:r>
          </w:p>
        </w:tc>
        <w:tc>
          <w:tcPr>
            <w:tcW w:w="251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最高限价</w:t>
            </w:r>
          </w:p>
        </w:tc>
        <w:tc>
          <w:tcPr>
            <w:tcW w:w="567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w:t>
            </w:r>
          </w:p>
        </w:tc>
        <w:tc>
          <w:tcPr>
            <w:tcW w:w="251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服务方式</w:t>
            </w:r>
          </w:p>
        </w:tc>
        <w:tc>
          <w:tcPr>
            <w:tcW w:w="5675"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总价包干式（凡标书中涉及的项目中标单位不得以任何理由增加费用）。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w:t>
            </w:r>
          </w:p>
        </w:tc>
        <w:tc>
          <w:tcPr>
            <w:tcW w:w="2515" w:type="dxa"/>
            <w:noWrap w:val="0"/>
            <w:vAlign w:val="center"/>
          </w:tcPr>
          <w:p>
            <w:pPr>
              <w:adjustRightInd w:val="0"/>
              <w:snapToGrid w:val="0"/>
              <w:ind w:left="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磋商保证金</w:t>
            </w:r>
          </w:p>
          <w:p>
            <w:pPr>
              <w:adjustRightInd w:val="0"/>
              <w:snapToGrid w:val="0"/>
              <w:ind w:left="2"/>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的退还</w:t>
            </w:r>
          </w:p>
        </w:tc>
        <w:tc>
          <w:tcPr>
            <w:tcW w:w="5675" w:type="dxa"/>
            <w:noWrap w:val="0"/>
            <w:vAlign w:val="center"/>
          </w:tcPr>
          <w:p>
            <w:pPr>
              <w:adjustRightInd w:val="0"/>
              <w:snapToGrid w:val="0"/>
              <w:ind w:left="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所有未中标的应答单位应</w:t>
            </w:r>
            <w:bookmarkStart w:id="29" w:name="_Hlk38467608"/>
            <w:r>
              <w:rPr>
                <w:rFonts w:hint="eastAsia" w:asciiTheme="minorEastAsia" w:hAnsiTheme="minorEastAsia" w:eastAsiaTheme="minorEastAsia" w:cstheme="minorEastAsia"/>
                <w:color w:val="auto"/>
                <w:sz w:val="21"/>
                <w:szCs w:val="21"/>
                <w:highlight w:val="none"/>
              </w:rPr>
              <w:t>在中标公示期结束后5日内办理退还磋商保证金；</w:t>
            </w:r>
            <w:bookmarkEnd w:id="29"/>
            <w:r>
              <w:rPr>
                <w:rFonts w:hint="eastAsia" w:asciiTheme="minorEastAsia" w:hAnsiTheme="minorEastAsia" w:eastAsiaTheme="minorEastAsia" w:cstheme="minorEastAsia"/>
                <w:color w:val="auto"/>
                <w:sz w:val="21"/>
                <w:szCs w:val="21"/>
                <w:highlight w:val="none"/>
              </w:rPr>
              <w:t>中标人在与采购人签订合同后，办理退还磋商保证金，办理时应答单位应向采购人提供如下资料并邮寄至采购人处：</w:t>
            </w:r>
          </w:p>
          <w:p>
            <w:pPr>
              <w:adjustRightInd w:val="0"/>
              <w:snapToGrid w:val="0"/>
              <w:ind w:left="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（1）基本账户开户许可证复印件；</w:t>
            </w:r>
          </w:p>
          <w:p>
            <w:pPr>
              <w:adjustRightInd w:val="0"/>
              <w:snapToGrid w:val="0"/>
              <w:ind w:left="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（2）给采购人开具的财务收据原件；</w:t>
            </w:r>
          </w:p>
          <w:p>
            <w:pPr>
              <w:adjustRightInd w:val="0"/>
              <w:snapToGrid w:val="0"/>
              <w:ind w:left="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（3）磋商保证金汇款凭证。</w:t>
            </w:r>
          </w:p>
          <w:p>
            <w:pPr>
              <w:adjustRightInd w:val="0"/>
              <w:snapToGrid w:val="0"/>
              <w:ind w:left="2"/>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4）如果应答单位未在公示期结束后5日后将相关手续送达采购人，应答单位放弃利息的，须开具放弃索要利息的情况说明，也可以在磋商保证金财务收据上写明“不计取利息”，采购人不强制应答单位必须放弃利息。所要利息的，需要同时提供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w:t>
            </w:r>
          </w:p>
        </w:tc>
        <w:tc>
          <w:tcPr>
            <w:tcW w:w="2515" w:type="dxa"/>
            <w:noWrap w:val="0"/>
            <w:vAlign w:val="center"/>
          </w:tcPr>
          <w:p>
            <w:pPr>
              <w:adjustRightInd w:val="0"/>
              <w:snapToGrid w:val="0"/>
              <w:ind w:left="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磋商保证金的</w:t>
            </w:r>
          </w:p>
          <w:p>
            <w:pPr>
              <w:adjustRightInd w:val="0"/>
              <w:snapToGrid w:val="0"/>
              <w:ind w:left="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利息计算原则</w:t>
            </w:r>
          </w:p>
        </w:tc>
        <w:tc>
          <w:tcPr>
            <w:tcW w:w="5675" w:type="dxa"/>
            <w:noWrap w:val="0"/>
            <w:vAlign w:val="bottom"/>
          </w:tcPr>
          <w:p>
            <w:pPr>
              <w:adjustRightInd w:val="0"/>
              <w:snapToGrid w:val="0"/>
              <w:ind w:left="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（1）磋商保证金计息利率依照中国人民银行公布的同期活期存款基准利率；</w:t>
            </w:r>
          </w:p>
          <w:p>
            <w:pPr>
              <w:adjustRightInd w:val="0"/>
              <w:snapToGrid w:val="0"/>
              <w:ind w:left="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（2）银行同期存款利息的计算公式为：金额×年利率/360×计息天数；</w:t>
            </w:r>
          </w:p>
          <w:p>
            <w:pPr>
              <w:adjustRightInd w:val="0"/>
              <w:snapToGrid w:val="0"/>
              <w:ind w:left="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（3）起息日为项目的投标截止日，结息日为成交通知书中标明的日期；</w:t>
            </w:r>
          </w:p>
          <w:p>
            <w:pPr>
              <w:adjustRightInd w:val="0"/>
              <w:snapToGrid w:val="0"/>
              <w:ind w:left="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（4）在退还磋商保证金利息前，应答单位应提供保证金利息发票；</w:t>
            </w:r>
          </w:p>
          <w:p>
            <w:pPr>
              <w:adjustRightInd w:val="0"/>
              <w:snapToGrid w:val="0"/>
              <w:ind w:left="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（5）以保函或其他担保形式提交的磋商保证金无利息。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（12）</w:t>
            </w:r>
          </w:p>
        </w:tc>
        <w:tc>
          <w:tcPr>
            <w:tcW w:w="2515" w:type="dxa"/>
            <w:noWrap w:val="0"/>
            <w:vAlign w:val="center"/>
          </w:tcPr>
          <w:p>
            <w:pPr>
              <w:adjustRightInd w:val="0"/>
              <w:snapToGrid w:val="0"/>
              <w:ind w:left="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逾期违约金</w:t>
            </w:r>
          </w:p>
        </w:tc>
        <w:tc>
          <w:tcPr>
            <w:tcW w:w="5675" w:type="dxa"/>
            <w:noWrap w:val="0"/>
            <w:vAlign w:val="center"/>
          </w:tcPr>
          <w:p>
            <w:pPr>
              <w:adjustRightInd w:val="0"/>
              <w:snapToGrid w:val="0"/>
              <w:ind w:left="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延迟交付违约金：合同价款3</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/天。</w:t>
            </w:r>
          </w:p>
          <w:p>
            <w:pPr>
              <w:adjustRightInd w:val="0"/>
              <w:snapToGrid w:val="0"/>
              <w:ind w:left="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迟延交付违约金的总额不得超过合同价格的5%。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noWrap w:val="0"/>
            <w:vAlign w:val="center"/>
          </w:tcPr>
          <w:p>
            <w:pPr>
              <w:autoSpaceDE w:val="0"/>
              <w:autoSpaceDN w:val="0"/>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w:t>
            </w:r>
          </w:p>
        </w:tc>
        <w:tc>
          <w:tcPr>
            <w:tcW w:w="2515" w:type="dxa"/>
            <w:noWrap w:val="0"/>
            <w:vAlign w:val="center"/>
          </w:tcPr>
          <w:p>
            <w:pPr>
              <w:overflowPunct w:val="0"/>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重要事项</w:t>
            </w:r>
          </w:p>
        </w:tc>
        <w:tc>
          <w:tcPr>
            <w:tcW w:w="5675" w:type="dxa"/>
            <w:noWrap w:val="0"/>
            <w:vAlign w:val="center"/>
          </w:tcPr>
          <w:p>
            <w:pPr>
              <w:adjustRightInd w:val="0"/>
              <w:snapToGrid w:val="0"/>
              <w:ind w:left="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1.如发现有围标、串标行为，将列入集团内部黑名单。</w:t>
            </w:r>
          </w:p>
          <w:p>
            <w:pPr>
              <w:adjustRightInd w:val="0"/>
              <w:snapToGrid w:val="0"/>
              <w:ind w:left="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2.中标人未能及时满足采购人服务要求的，采购人有权终止合同，且不承担任何责任。</w:t>
            </w:r>
          </w:p>
        </w:tc>
      </w:tr>
    </w:tbl>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highlight w:val="none"/>
        </w:rPr>
        <w:br w:type="page"/>
      </w:r>
    </w:p>
    <w:p>
      <w:pPr>
        <w:numPr>
          <w:ilvl w:val="0"/>
          <w:numId w:val="2"/>
        </w:numPr>
        <w:autoSpaceDE w:val="0"/>
        <w:autoSpaceDN w:val="0"/>
        <w:adjustRightInd w:val="0"/>
        <w:snapToGrid w:val="0"/>
        <w:spacing w:after="120" w:afterLines="50" w:line="360" w:lineRule="auto"/>
        <w:jc w:val="left"/>
        <w:outlineLvl w:val="1"/>
        <w:rPr>
          <w:rFonts w:hint="eastAsia" w:asciiTheme="minorEastAsia" w:hAnsiTheme="minorEastAsia" w:eastAsiaTheme="minorEastAsia" w:cstheme="minorEastAsia"/>
          <w:color w:val="auto"/>
          <w:kern w:val="44"/>
          <w:sz w:val="21"/>
          <w:szCs w:val="21"/>
        </w:rPr>
      </w:pPr>
      <w:r>
        <w:rPr>
          <w:rFonts w:hint="eastAsia" w:asciiTheme="minorEastAsia" w:hAnsiTheme="minorEastAsia" w:eastAsiaTheme="minorEastAsia" w:cstheme="minorEastAsia"/>
          <w:color w:val="auto"/>
          <w:kern w:val="44"/>
          <w:sz w:val="21"/>
          <w:szCs w:val="21"/>
        </w:rPr>
        <w:t>评标办法</w:t>
      </w:r>
      <w:bookmarkEnd w:id="14"/>
      <w:bookmarkEnd w:id="15"/>
    </w:p>
    <w:p>
      <w:pPr>
        <w:widowControl/>
        <w:spacing w:line="360" w:lineRule="auto"/>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附表一 资格审查表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991"/>
        <w:gridCol w:w="402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39"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序号</w:t>
            </w:r>
          </w:p>
        </w:tc>
        <w:tc>
          <w:tcPr>
            <w:tcW w:w="2991"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评审内容</w:t>
            </w:r>
          </w:p>
        </w:tc>
        <w:tc>
          <w:tcPr>
            <w:tcW w:w="4020"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评审合格标准</w:t>
            </w:r>
          </w:p>
        </w:tc>
        <w:tc>
          <w:tcPr>
            <w:tcW w:w="1499" w:type="dxa"/>
            <w:noWrap w:val="0"/>
            <w:vAlign w:val="center"/>
          </w:tcPr>
          <w:p>
            <w:pPr>
              <w:tabs>
                <w:tab w:val="left" w:pos="1260"/>
                <w:tab w:val="left" w:pos="1620"/>
              </w:tabs>
              <w:adjustRightInd w:val="0"/>
              <w:snapToGrid w:val="0"/>
              <w:jc w:val="center"/>
              <w:textAlignment w:val="baseline"/>
              <w:rPr>
                <w:rFonts w:hint="eastAsia" w:asciiTheme="minorEastAsia" w:hAnsiTheme="minorEastAsia" w:eastAsiaTheme="minorEastAsia" w:cstheme="minorEastAsia"/>
                <w:b w:val="0"/>
                <w:bCs/>
                <w:caps/>
                <w:color w:val="auto"/>
                <w:sz w:val="21"/>
                <w:szCs w:val="21"/>
                <w:highlight w:val="none"/>
              </w:rPr>
            </w:pPr>
            <w:r>
              <w:rPr>
                <w:rFonts w:hint="eastAsia" w:asciiTheme="minorEastAsia" w:hAnsiTheme="minorEastAsia" w:eastAsiaTheme="minorEastAsia" w:cstheme="minorEastAsia"/>
                <w:b w:val="0"/>
                <w:bCs/>
                <w:caps/>
                <w:color w:val="auto"/>
                <w:sz w:val="21"/>
                <w:szCs w:val="21"/>
                <w:highlight w:val="none"/>
              </w:rPr>
              <w:t>评审结论</w:t>
            </w:r>
          </w:p>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ap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ap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w:t>
            </w:r>
          </w:p>
        </w:tc>
        <w:tc>
          <w:tcPr>
            <w:tcW w:w="2991"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投标人名称</w:t>
            </w:r>
          </w:p>
        </w:tc>
        <w:tc>
          <w:tcPr>
            <w:tcW w:w="4020" w:type="dxa"/>
            <w:noWrap w:val="0"/>
            <w:vAlign w:val="center"/>
          </w:tcPr>
          <w:p>
            <w:pPr>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与报名、营业执照一致（符合法定工商变更程序除外）</w:t>
            </w:r>
          </w:p>
          <w:p>
            <w:pPr>
              <w:pStyle w:val="4"/>
              <w:snapToGrid w:val="0"/>
              <w:spacing w:before="0" w:after="0" w:line="240" w:lineRule="auto"/>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【标书内附清晰的扫描件并加盖公章鲜章】</w:t>
            </w:r>
          </w:p>
        </w:tc>
        <w:tc>
          <w:tcPr>
            <w:tcW w:w="1499"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2991"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具有健全的财务会计制度</w:t>
            </w:r>
          </w:p>
        </w:tc>
        <w:tc>
          <w:tcPr>
            <w:tcW w:w="4020" w:type="dxa"/>
            <w:noWrap w:val="0"/>
            <w:vAlign w:val="center"/>
          </w:tcPr>
          <w:p>
            <w:pPr>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提供了2019年度经审计的财务报表或银行开具的资信证明</w:t>
            </w:r>
          </w:p>
          <w:p>
            <w:pPr>
              <w:pStyle w:val="4"/>
              <w:snapToGrid w:val="0"/>
              <w:spacing w:before="0" w:after="0" w:line="240" w:lineRule="auto"/>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shd w:val="clear" w:color="auto" w:fill="FFFFFF"/>
                <w:lang w:val="zh-CN"/>
              </w:rPr>
              <w:t>【</w:t>
            </w:r>
            <w:r>
              <w:rPr>
                <w:rFonts w:hint="eastAsia" w:asciiTheme="minorEastAsia" w:hAnsiTheme="minorEastAsia" w:eastAsiaTheme="minorEastAsia" w:cstheme="minorEastAsia"/>
                <w:b w:val="0"/>
                <w:bCs/>
                <w:color w:val="auto"/>
                <w:sz w:val="21"/>
                <w:szCs w:val="21"/>
                <w:highlight w:val="none"/>
                <w:shd w:val="clear" w:color="auto" w:fill="FFFFFF"/>
              </w:rPr>
              <w:t>标书内附</w:t>
            </w:r>
            <w:r>
              <w:rPr>
                <w:rFonts w:hint="eastAsia" w:asciiTheme="minorEastAsia" w:hAnsiTheme="minorEastAsia" w:eastAsiaTheme="minorEastAsia" w:cstheme="minorEastAsia"/>
                <w:b w:val="0"/>
                <w:bCs/>
                <w:color w:val="auto"/>
                <w:sz w:val="21"/>
                <w:szCs w:val="21"/>
                <w:highlight w:val="none"/>
                <w:lang w:val="zh-CN"/>
              </w:rPr>
              <w:t>（1）开户许可证扫描件，</w:t>
            </w:r>
            <w:r>
              <w:rPr>
                <w:rFonts w:hint="eastAsia" w:asciiTheme="minorEastAsia" w:hAnsiTheme="minorEastAsia" w:eastAsiaTheme="minorEastAsia" w:cstheme="minorEastAsia"/>
                <w:b w:val="0"/>
                <w:bCs/>
                <w:color w:val="auto"/>
                <w:sz w:val="21"/>
                <w:szCs w:val="21"/>
                <w:highlight w:val="none"/>
              </w:rPr>
              <w:t>并加盖公章鲜章</w:t>
            </w:r>
            <w:r>
              <w:rPr>
                <w:rFonts w:hint="eastAsia" w:asciiTheme="minorEastAsia" w:hAnsiTheme="minorEastAsia" w:eastAsiaTheme="minorEastAsia" w:cstheme="minorEastAsia"/>
                <w:b w:val="0"/>
                <w:bCs/>
                <w:color w:val="auto"/>
                <w:sz w:val="21"/>
                <w:szCs w:val="21"/>
                <w:highlight w:val="none"/>
                <w:lang w:val="zh-CN"/>
              </w:rPr>
              <w:t>；（2）提供201</w:t>
            </w:r>
            <w:r>
              <w:rPr>
                <w:rFonts w:hint="eastAsia" w:asciiTheme="minorEastAsia" w:hAnsiTheme="minorEastAsia" w:eastAsiaTheme="minorEastAsia" w:cstheme="minorEastAsia"/>
                <w:b w:val="0"/>
                <w:bCs/>
                <w:color w:val="auto"/>
                <w:sz w:val="21"/>
                <w:szCs w:val="21"/>
                <w:highlight w:val="none"/>
              </w:rPr>
              <w:t>9</w:t>
            </w:r>
            <w:r>
              <w:rPr>
                <w:rFonts w:hint="eastAsia" w:asciiTheme="minorEastAsia" w:hAnsiTheme="minorEastAsia" w:eastAsiaTheme="minorEastAsia" w:cstheme="minorEastAsia"/>
                <w:b w:val="0"/>
                <w:bCs/>
                <w:color w:val="auto"/>
                <w:sz w:val="21"/>
                <w:szCs w:val="21"/>
                <w:highlight w:val="none"/>
                <w:lang w:val="zh-CN"/>
              </w:rPr>
              <w:t>年度经会计师事务所审计的财务报告，</w:t>
            </w:r>
            <w:r>
              <w:rPr>
                <w:rFonts w:hint="eastAsia" w:asciiTheme="minorEastAsia" w:hAnsiTheme="minorEastAsia" w:eastAsiaTheme="minorEastAsia" w:cstheme="minorEastAsia"/>
                <w:b w:val="0"/>
                <w:bCs/>
                <w:color w:val="auto"/>
                <w:sz w:val="21"/>
                <w:szCs w:val="21"/>
                <w:highlight w:val="none"/>
              </w:rPr>
              <w:t>包括资产负债表、现金流量表、利润表和财务情况说明书的扫描件，或银行开具的资信证明，所有扫描件并加盖公章鲜章</w:t>
            </w:r>
            <w:r>
              <w:rPr>
                <w:rFonts w:hint="eastAsia" w:asciiTheme="minorEastAsia" w:hAnsiTheme="minorEastAsia" w:eastAsiaTheme="minorEastAsia" w:cstheme="minorEastAsia"/>
                <w:b w:val="0"/>
                <w:bCs/>
                <w:color w:val="auto"/>
                <w:sz w:val="21"/>
                <w:szCs w:val="21"/>
                <w:highlight w:val="none"/>
                <w:shd w:val="clear" w:color="auto" w:fill="FFFFFF"/>
                <w:lang w:val="zh-CN"/>
              </w:rPr>
              <w:t>】</w:t>
            </w:r>
          </w:p>
        </w:tc>
        <w:tc>
          <w:tcPr>
            <w:tcW w:w="1499"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w:t>
            </w:r>
          </w:p>
        </w:tc>
        <w:tc>
          <w:tcPr>
            <w:tcW w:w="2991"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具有履行合同所必需的设备和专业技术能力</w:t>
            </w:r>
          </w:p>
        </w:tc>
        <w:tc>
          <w:tcPr>
            <w:tcW w:w="4020" w:type="dxa"/>
            <w:noWrap w:val="0"/>
            <w:vAlign w:val="top"/>
          </w:tcPr>
          <w:p>
            <w:pPr>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提供了可充分满足履行合同所需设备和专业技术能力的证明材料或承诺</w:t>
            </w:r>
          </w:p>
          <w:p>
            <w:pPr>
              <w:pStyle w:val="4"/>
              <w:snapToGrid w:val="0"/>
              <w:spacing w:before="0" w:after="0" w:line="240" w:lineRule="auto"/>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shd w:val="clear" w:color="auto" w:fill="FFFFFF"/>
                <w:lang w:val="zh-CN"/>
              </w:rPr>
              <w:t>【</w:t>
            </w:r>
            <w:r>
              <w:rPr>
                <w:rFonts w:hint="eastAsia" w:asciiTheme="minorEastAsia" w:hAnsiTheme="minorEastAsia" w:eastAsiaTheme="minorEastAsia" w:cstheme="minorEastAsia"/>
                <w:b w:val="0"/>
                <w:bCs/>
                <w:color w:val="auto"/>
                <w:sz w:val="21"/>
                <w:szCs w:val="21"/>
                <w:highlight w:val="none"/>
                <w:shd w:val="clear" w:color="auto" w:fill="FFFFFF"/>
              </w:rPr>
              <w:t>标书内附</w:t>
            </w:r>
            <w:r>
              <w:rPr>
                <w:rFonts w:hint="eastAsia" w:asciiTheme="minorEastAsia" w:hAnsiTheme="minorEastAsia" w:eastAsiaTheme="minorEastAsia" w:cstheme="minorEastAsia"/>
                <w:b w:val="0"/>
                <w:bCs/>
                <w:color w:val="auto"/>
                <w:sz w:val="21"/>
                <w:szCs w:val="21"/>
                <w:highlight w:val="none"/>
              </w:rPr>
              <w:t>相关证明材料或承诺，并加盖公章鲜章</w:t>
            </w:r>
            <w:r>
              <w:rPr>
                <w:rFonts w:hint="eastAsia" w:asciiTheme="minorEastAsia" w:hAnsiTheme="minorEastAsia" w:eastAsiaTheme="minorEastAsia" w:cstheme="minorEastAsia"/>
                <w:b w:val="0"/>
                <w:bCs/>
                <w:color w:val="auto"/>
                <w:sz w:val="21"/>
                <w:szCs w:val="21"/>
                <w:highlight w:val="none"/>
                <w:shd w:val="clear" w:color="auto" w:fill="FFFFFF"/>
                <w:lang w:val="zh-CN"/>
              </w:rPr>
              <w:t>】</w:t>
            </w:r>
          </w:p>
        </w:tc>
        <w:tc>
          <w:tcPr>
            <w:tcW w:w="1499"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4</w:t>
            </w:r>
          </w:p>
        </w:tc>
        <w:tc>
          <w:tcPr>
            <w:tcW w:w="2991"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有依法缴纳税收和社会保障资金的良好记录</w:t>
            </w:r>
          </w:p>
        </w:tc>
        <w:tc>
          <w:tcPr>
            <w:tcW w:w="4020" w:type="dxa"/>
            <w:noWrap w:val="0"/>
            <w:vAlign w:val="top"/>
          </w:tcPr>
          <w:p>
            <w:pPr>
              <w:numPr>
                <w:ilvl w:val="0"/>
                <w:numId w:val="3"/>
              </w:numPr>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提供近2019年11月-2020年4月任意一个月的缴纳增值税和企业所得税的凭证</w:t>
            </w:r>
          </w:p>
          <w:p>
            <w:pPr>
              <w:numPr>
                <w:ilvl w:val="0"/>
                <w:numId w:val="3"/>
              </w:numPr>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【标书内附银行出具的缴税凭证或税务机关出具的证明的复印件或免税证明，并加盖公章鲜章】</w:t>
            </w:r>
          </w:p>
          <w:p>
            <w:pPr>
              <w:numPr>
                <w:ilvl w:val="0"/>
                <w:numId w:val="3"/>
              </w:numPr>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提供近2019年11月-2020年4月任意一个月的社会保障资金缴纳记录</w:t>
            </w:r>
          </w:p>
          <w:p>
            <w:pPr>
              <w:numPr>
                <w:ilvl w:val="0"/>
                <w:numId w:val="3"/>
              </w:numPr>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【标书内附专用收据或社会保险缴纳清单或免缴纳证明，并加盖公章鲜章】</w:t>
            </w:r>
          </w:p>
        </w:tc>
        <w:tc>
          <w:tcPr>
            <w:tcW w:w="1499"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5</w:t>
            </w:r>
          </w:p>
        </w:tc>
        <w:tc>
          <w:tcPr>
            <w:tcW w:w="2991"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参加采购活动前三年内，在经营活动中没有重大违法记录</w:t>
            </w:r>
          </w:p>
        </w:tc>
        <w:tc>
          <w:tcPr>
            <w:tcW w:w="4020" w:type="dxa"/>
            <w:noWrap w:val="0"/>
            <w:vAlign w:val="top"/>
          </w:tcPr>
          <w:p>
            <w:pPr>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提供了有效的参加采购活动前3年内在经营活动中没有重大违法记录的书面声明</w:t>
            </w:r>
          </w:p>
          <w:p>
            <w:pPr>
              <w:pStyle w:val="4"/>
              <w:snapToGrid w:val="0"/>
              <w:spacing w:before="0" w:after="0" w:line="240" w:lineRule="auto"/>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【标书内附书面证明，并加盖公章鲜章】</w:t>
            </w:r>
          </w:p>
        </w:tc>
        <w:tc>
          <w:tcPr>
            <w:tcW w:w="1499"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6</w:t>
            </w:r>
          </w:p>
        </w:tc>
        <w:tc>
          <w:tcPr>
            <w:tcW w:w="2991"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信誉要求</w:t>
            </w:r>
          </w:p>
        </w:tc>
        <w:tc>
          <w:tcPr>
            <w:tcW w:w="4020" w:type="dxa"/>
            <w:noWrap w:val="0"/>
            <w:vAlign w:val="top"/>
          </w:tcPr>
          <w:p>
            <w:pPr>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未被“信用中国”网站</w:t>
            </w:r>
            <w:r>
              <w:rPr>
                <w:rFonts w:hint="eastAsia" w:asciiTheme="minorEastAsia" w:hAnsiTheme="minorEastAsia" w:eastAsiaTheme="minorEastAsia" w:cstheme="minorEastAsia"/>
                <w:b w:val="0"/>
                <w:bCs/>
                <w:color w:val="auto"/>
                <w:sz w:val="21"/>
                <w:szCs w:val="21"/>
                <w:highlight w:val="none"/>
              </w:rPr>
              <w:fldChar w:fldCharType="begin"/>
            </w:r>
            <w:r>
              <w:rPr>
                <w:rFonts w:hint="eastAsia" w:asciiTheme="minorEastAsia" w:hAnsiTheme="minorEastAsia" w:eastAsiaTheme="minorEastAsia" w:cstheme="minorEastAsia"/>
                <w:b w:val="0"/>
                <w:bCs/>
                <w:color w:val="auto"/>
                <w:sz w:val="21"/>
                <w:szCs w:val="21"/>
                <w:highlight w:val="none"/>
              </w:rPr>
              <w:instrText xml:space="preserve"> HYPERLINK "http://www.creditchina.gov.cn）中列入失信被执行人和/" </w:instrText>
            </w:r>
            <w:r>
              <w:rPr>
                <w:rFonts w:hint="eastAsia" w:asciiTheme="minorEastAsia" w:hAnsiTheme="minorEastAsia" w:eastAsiaTheme="minorEastAsia" w:cstheme="minorEastAsia"/>
                <w:b w:val="0"/>
                <w:bCs/>
                <w:color w:val="auto"/>
                <w:sz w:val="21"/>
                <w:szCs w:val="21"/>
                <w:highlight w:val="none"/>
              </w:rPr>
              <w:fldChar w:fldCharType="separate"/>
            </w:r>
            <w:r>
              <w:rPr>
                <w:rFonts w:hint="eastAsia" w:asciiTheme="minorEastAsia" w:hAnsiTheme="minorEastAsia" w:eastAsiaTheme="minorEastAsia" w:cstheme="minorEastAsia"/>
                <w:b w:val="0"/>
                <w:bCs/>
                <w:color w:val="auto"/>
                <w:sz w:val="21"/>
                <w:szCs w:val="21"/>
                <w:highlight w:val="none"/>
              </w:rPr>
              <w:t>中列入失信被执行人和/</w:t>
            </w:r>
            <w:r>
              <w:rPr>
                <w:rFonts w:hint="eastAsia" w:asciiTheme="minorEastAsia" w:hAnsiTheme="minorEastAsia" w:eastAsiaTheme="minorEastAsia" w:cstheme="minorEastAsia"/>
                <w:b w:val="0"/>
                <w:bCs/>
                <w:color w:val="auto"/>
                <w:sz w:val="21"/>
                <w:szCs w:val="21"/>
                <w:highlight w:val="none"/>
              </w:rPr>
              <w:fldChar w:fldCharType="end"/>
            </w:r>
            <w:r>
              <w:rPr>
                <w:rFonts w:hint="eastAsia" w:asciiTheme="minorEastAsia" w:hAnsiTheme="minorEastAsia" w:eastAsiaTheme="minorEastAsia" w:cstheme="minorEastAsia"/>
                <w:b w:val="0"/>
                <w:bCs/>
                <w:color w:val="auto"/>
                <w:sz w:val="21"/>
                <w:szCs w:val="21"/>
                <w:highlight w:val="none"/>
              </w:rPr>
              <w:t>或重大税收违法案件当事人、未被“国家企业信用信息公示系统”网站列入严重违法失信企业名单。</w:t>
            </w:r>
          </w:p>
          <w:p>
            <w:pPr>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shd w:val="clear" w:color="auto" w:fill="FFFFFF"/>
              </w:rPr>
              <w:t>【</w:t>
            </w:r>
            <w:r>
              <w:rPr>
                <w:rFonts w:hint="eastAsia" w:asciiTheme="minorEastAsia" w:hAnsiTheme="minorEastAsia" w:eastAsiaTheme="minorEastAsia" w:cstheme="minorEastAsia"/>
                <w:b w:val="0"/>
                <w:bCs/>
                <w:color w:val="auto"/>
                <w:sz w:val="21"/>
                <w:szCs w:val="21"/>
                <w:highlight w:val="none"/>
              </w:rPr>
              <w:t>提供查询时间在采购公告之日起至开标前期间内的相关信息的截图，并加盖公章鲜章</w:t>
            </w:r>
            <w:r>
              <w:rPr>
                <w:rFonts w:hint="eastAsia" w:asciiTheme="minorEastAsia" w:hAnsiTheme="minorEastAsia" w:eastAsiaTheme="minorEastAsia" w:cstheme="minorEastAsia"/>
                <w:b w:val="0"/>
                <w:bCs/>
                <w:color w:val="auto"/>
                <w:sz w:val="21"/>
                <w:szCs w:val="21"/>
                <w:highlight w:val="none"/>
                <w:shd w:val="clear" w:color="auto" w:fill="FFFFFF"/>
              </w:rPr>
              <w:t>】</w:t>
            </w:r>
          </w:p>
        </w:tc>
        <w:tc>
          <w:tcPr>
            <w:tcW w:w="1499"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7</w:t>
            </w:r>
          </w:p>
        </w:tc>
        <w:tc>
          <w:tcPr>
            <w:tcW w:w="2991"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单位负责人为同一人或者存在控股、管理关系的不同单位，不得同时参加本项目的投标</w:t>
            </w:r>
          </w:p>
        </w:tc>
        <w:tc>
          <w:tcPr>
            <w:tcW w:w="4020" w:type="dxa"/>
            <w:noWrap w:val="0"/>
            <w:vAlign w:val="top"/>
          </w:tcPr>
          <w:p>
            <w:pPr>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提供了法人代表、控股股东、控股企业及管理、被管理单位情况声明且各供应商之间不存在单位负责人为同一人或者存在控股、管理关系情形。</w:t>
            </w:r>
          </w:p>
          <w:p>
            <w:pPr>
              <w:pStyle w:val="4"/>
              <w:snapToGrid w:val="0"/>
              <w:spacing w:before="0" w:after="0" w:line="240" w:lineRule="auto"/>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【标书内附书面声明，并加盖公章鲜章】</w:t>
            </w:r>
          </w:p>
        </w:tc>
        <w:tc>
          <w:tcPr>
            <w:tcW w:w="1499" w:type="dxa"/>
            <w:noWrap w:val="0"/>
            <w:vAlign w:val="center"/>
          </w:tcPr>
          <w:p>
            <w:pPr>
              <w:snapToGrid w:val="0"/>
              <w:ind w:left="425"/>
              <w:jc w:val="center"/>
              <w:rPr>
                <w:rFonts w:hint="eastAsia" w:asciiTheme="minorEastAsia" w:hAnsiTheme="minorEastAsia" w:eastAsiaTheme="minorEastAsia" w:cstheme="minorEastAsia"/>
                <w:b w:val="0"/>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50" w:type="dxa"/>
            <w:gridSpan w:val="3"/>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结        论</w:t>
            </w:r>
          </w:p>
        </w:tc>
        <w:tc>
          <w:tcPr>
            <w:tcW w:w="1499" w:type="dxa"/>
            <w:noWrap w:val="0"/>
            <w:vAlign w:val="center"/>
          </w:tcPr>
          <w:p>
            <w:pPr>
              <w:snapToGrid w:val="0"/>
              <w:ind w:left="425"/>
              <w:jc w:val="center"/>
              <w:rPr>
                <w:rFonts w:hint="eastAsia" w:asciiTheme="minorEastAsia" w:hAnsiTheme="minorEastAsia" w:eastAsiaTheme="minorEastAsia" w:cstheme="minorEastAsia"/>
                <w:b w:val="0"/>
                <w:bCs/>
                <w:color w:val="auto"/>
                <w:sz w:val="21"/>
                <w:szCs w:val="21"/>
                <w:highlight w:val="none"/>
              </w:rPr>
            </w:pPr>
          </w:p>
        </w:tc>
      </w:tr>
    </w:tbl>
    <w:p>
      <w:pPr>
        <w:snapToGrid w:val="0"/>
        <w:spacing w:line="360" w:lineRule="auto"/>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注：符合要求用“√”表示，不符合用“×”表示。有一项不符合要求，结论为不合格。</w:t>
      </w:r>
    </w:p>
    <w:p>
      <w:pPr>
        <w:tabs>
          <w:tab w:val="left" w:pos="-94"/>
          <w:tab w:val="left" w:pos="428"/>
        </w:tabs>
        <w:adjustRightInd w:val="0"/>
        <w:spacing w:line="360" w:lineRule="auto"/>
        <w:ind w:left="23" w:leftChars="11"/>
        <w:jc w:val="center"/>
        <w:textAlignment w:val="baseline"/>
        <w:outlineLvl w:val="1"/>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br w:type="page"/>
      </w:r>
      <w:r>
        <w:rPr>
          <w:rFonts w:hint="eastAsia" w:asciiTheme="minorEastAsia" w:hAnsiTheme="minorEastAsia" w:eastAsiaTheme="minorEastAsia" w:cstheme="minorEastAsia"/>
          <w:b w:val="0"/>
          <w:bCs/>
          <w:color w:val="auto"/>
          <w:sz w:val="21"/>
          <w:szCs w:val="21"/>
          <w:highlight w:val="none"/>
        </w:rPr>
        <w:t>附表二 符合性审查表</w:t>
      </w:r>
    </w:p>
    <w:tbl>
      <w:tblPr>
        <w:tblStyle w:val="4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1"/>
        <w:gridCol w:w="1994"/>
        <w:gridCol w:w="5091"/>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tabs>
                <w:tab w:val="left" w:pos="1260"/>
                <w:tab w:val="left" w:pos="1620"/>
              </w:tabs>
              <w:adjustRightInd w:val="0"/>
              <w:snapToGrid w:val="0"/>
              <w:jc w:val="center"/>
              <w:textAlignment w:val="baseline"/>
              <w:rPr>
                <w:rFonts w:hint="eastAsia" w:asciiTheme="minorEastAsia" w:hAnsiTheme="minorEastAsia" w:eastAsiaTheme="minorEastAsia" w:cstheme="minorEastAsia"/>
                <w:b w:val="0"/>
                <w:bCs/>
                <w:caps/>
                <w:color w:val="auto"/>
                <w:sz w:val="21"/>
                <w:szCs w:val="21"/>
                <w:highlight w:val="none"/>
              </w:rPr>
            </w:pPr>
            <w:r>
              <w:rPr>
                <w:rFonts w:hint="eastAsia" w:asciiTheme="minorEastAsia" w:hAnsiTheme="minorEastAsia" w:eastAsiaTheme="minorEastAsia" w:cstheme="minorEastAsia"/>
                <w:b w:val="0"/>
                <w:bCs/>
                <w:caps/>
                <w:color w:val="auto"/>
                <w:sz w:val="21"/>
                <w:szCs w:val="21"/>
                <w:highlight w:val="none"/>
              </w:rPr>
              <w:t>序号</w:t>
            </w:r>
          </w:p>
        </w:tc>
        <w:tc>
          <w:tcPr>
            <w:tcW w:w="1994" w:type="dxa"/>
            <w:noWrap w:val="0"/>
            <w:vAlign w:val="center"/>
          </w:tcPr>
          <w:p>
            <w:pPr>
              <w:tabs>
                <w:tab w:val="left" w:pos="1260"/>
                <w:tab w:val="left" w:pos="1620"/>
              </w:tabs>
              <w:adjustRightInd w:val="0"/>
              <w:snapToGrid w:val="0"/>
              <w:jc w:val="center"/>
              <w:textAlignment w:val="baseline"/>
              <w:rPr>
                <w:rFonts w:hint="eastAsia" w:asciiTheme="minorEastAsia" w:hAnsiTheme="minorEastAsia" w:eastAsiaTheme="minorEastAsia" w:cstheme="minorEastAsia"/>
                <w:b w:val="0"/>
                <w:bCs/>
                <w:caps/>
                <w:color w:val="auto"/>
                <w:sz w:val="21"/>
                <w:szCs w:val="21"/>
                <w:highlight w:val="none"/>
              </w:rPr>
            </w:pPr>
            <w:r>
              <w:rPr>
                <w:rFonts w:hint="eastAsia" w:asciiTheme="minorEastAsia" w:hAnsiTheme="minorEastAsia" w:eastAsiaTheme="minorEastAsia" w:cstheme="minorEastAsia"/>
                <w:b w:val="0"/>
                <w:bCs/>
                <w:caps/>
                <w:color w:val="auto"/>
                <w:sz w:val="21"/>
                <w:szCs w:val="21"/>
                <w:highlight w:val="none"/>
              </w:rPr>
              <w:t>评审项目</w:t>
            </w:r>
          </w:p>
        </w:tc>
        <w:tc>
          <w:tcPr>
            <w:tcW w:w="5091" w:type="dxa"/>
            <w:noWrap w:val="0"/>
            <w:vAlign w:val="center"/>
          </w:tcPr>
          <w:p>
            <w:pPr>
              <w:tabs>
                <w:tab w:val="left" w:pos="1260"/>
                <w:tab w:val="left" w:pos="1620"/>
              </w:tabs>
              <w:adjustRightInd w:val="0"/>
              <w:snapToGrid w:val="0"/>
              <w:jc w:val="center"/>
              <w:textAlignment w:val="baseline"/>
              <w:rPr>
                <w:rFonts w:hint="eastAsia" w:asciiTheme="minorEastAsia" w:hAnsiTheme="minorEastAsia" w:eastAsiaTheme="minorEastAsia" w:cstheme="minorEastAsia"/>
                <w:b w:val="0"/>
                <w:bCs/>
                <w:caps/>
                <w:color w:val="auto"/>
                <w:sz w:val="21"/>
                <w:szCs w:val="21"/>
                <w:highlight w:val="none"/>
              </w:rPr>
            </w:pPr>
            <w:r>
              <w:rPr>
                <w:rFonts w:hint="eastAsia" w:asciiTheme="minorEastAsia" w:hAnsiTheme="minorEastAsia" w:eastAsiaTheme="minorEastAsia" w:cstheme="minorEastAsia"/>
                <w:b w:val="0"/>
                <w:bCs/>
                <w:caps/>
                <w:color w:val="auto"/>
                <w:sz w:val="21"/>
                <w:szCs w:val="21"/>
                <w:highlight w:val="none"/>
              </w:rPr>
              <w:t>评审标准</w:t>
            </w:r>
          </w:p>
        </w:tc>
        <w:tc>
          <w:tcPr>
            <w:tcW w:w="1275" w:type="dxa"/>
            <w:noWrap w:val="0"/>
            <w:vAlign w:val="center"/>
          </w:tcPr>
          <w:p>
            <w:pPr>
              <w:tabs>
                <w:tab w:val="left" w:pos="1260"/>
                <w:tab w:val="left" w:pos="1620"/>
              </w:tabs>
              <w:adjustRightInd w:val="0"/>
              <w:snapToGrid w:val="0"/>
              <w:jc w:val="center"/>
              <w:textAlignment w:val="baseline"/>
              <w:rPr>
                <w:rFonts w:hint="eastAsia" w:asciiTheme="minorEastAsia" w:hAnsiTheme="minorEastAsia" w:eastAsiaTheme="minorEastAsia" w:cstheme="minorEastAsia"/>
                <w:b w:val="0"/>
                <w:bCs/>
                <w:caps/>
                <w:color w:val="auto"/>
                <w:sz w:val="21"/>
                <w:szCs w:val="21"/>
                <w:highlight w:val="none"/>
              </w:rPr>
            </w:pPr>
            <w:r>
              <w:rPr>
                <w:rFonts w:hint="eastAsia" w:asciiTheme="minorEastAsia" w:hAnsiTheme="minorEastAsia" w:eastAsiaTheme="minorEastAsia" w:cstheme="minorEastAsia"/>
                <w:b w:val="0"/>
                <w:bCs/>
                <w:caps/>
                <w:color w:val="auto"/>
                <w:sz w:val="21"/>
                <w:szCs w:val="21"/>
                <w:highlight w:val="none"/>
              </w:rPr>
              <w:t>评审结论</w:t>
            </w:r>
          </w:p>
          <w:p>
            <w:pPr>
              <w:tabs>
                <w:tab w:val="left" w:pos="1260"/>
                <w:tab w:val="left" w:pos="1620"/>
              </w:tabs>
              <w:adjustRightInd w:val="0"/>
              <w:snapToGrid w:val="0"/>
              <w:jc w:val="center"/>
              <w:textAlignment w:val="baseline"/>
              <w:rPr>
                <w:rFonts w:hint="eastAsia" w:asciiTheme="minorEastAsia" w:hAnsiTheme="minorEastAsia" w:eastAsiaTheme="minorEastAsia" w:cstheme="minorEastAsia"/>
                <w:b w:val="0"/>
                <w:bCs/>
                <w:caps/>
                <w:color w:val="auto"/>
                <w:sz w:val="21"/>
                <w:szCs w:val="21"/>
                <w:highlight w:val="none"/>
              </w:rPr>
            </w:pPr>
            <w:r>
              <w:rPr>
                <w:rFonts w:hint="eastAsia" w:asciiTheme="minorEastAsia" w:hAnsiTheme="minorEastAsia" w:eastAsiaTheme="minorEastAsia" w:cstheme="minorEastAsia"/>
                <w:b w:val="0"/>
                <w:bCs/>
                <w:cap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aps/>
                <w:color w:val="auto"/>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numPr>
                <w:ilvl w:val="0"/>
                <w:numId w:val="4"/>
              </w:numPr>
              <w:tabs>
                <w:tab w:val="left" w:pos="1260"/>
                <w:tab w:val="left" w:pos="1620"/>
              </w:tabs>
              <w:adjustRightInd w:val="0"/>
              <w:snapToGrid w:val="0"/>
              <w:textAlignment w:val="baseline"/>
              <w:rPr>
                <w:rFonts w:hint="eastAsia" w:asciiTheme="minorEastAsia" w:hAnsiTheme="minorEastAsia" w:eastAsiaTheme="minorEastAsia" w:cstheme="minorEastAsia"/>
                <w:b w:val="0"/>
                <w:bCs/>
                <w:color w:val="auto"/>
                <w:sz w:val="21"/>
                <w:szCs w:val="21"/>
                <w:highlight w:val="none"/>
              </w:rPr>
            </w:pPr>
          </w:p>
        </w:tc>
        <w:tc>
          <w:tcPr>
            <w:tcW w:w="1994" w:type="dxa"/>
            <w:noWrap w:val="0"/>
            <w:vAlign w:val="center"/>
          </w:tcPr>
          <w:p>
            <w:pPr>
              <w:tabs>
                <w:tab w:val="left" w:pos="1260"/>
                <w:tab w:val="left" w:pos="1620"/>
              </w:tabs>
              <w:adjustRightInd w:val="0"/>
              <w:snapToGrid w:val="0"/>
              <w:jc w:val="center"/>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响应文件签署盖章</w:t>
            </w:r>
          </w:p>
        </w:tc>
        <w:tc>
          <w:tcPr>
            <w:tcW w:w="5091" w:type="dxa"/>
            <w:noWrap w:val="0"/>
            <w:vAlign w:val="center"/>
          </w:tcPr>
          <w:p>
            <w:pPr>
              <w:tabs>
                <w:tab w:val="left" w:pos="1260"/>
                <w:tab w:val="left" w:pos="1620"/>
              </w:tabs>
              <w:adjustRightInd w:val="0"/>
              <w:snapToGrid w:val="0"/>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按磋商文件格式要求加盖了投标人公章和（/或）有法定代表人或其授权代表签字或加盖人名章。</w:t>
            </w:r>
          </w:p>
        </w:tc>
        <w:tc>
          <w:tcPr>
            <w:tcW w:w="1275" w:type="dxa"/>
            <w:noWrap w:val="0"/>
            <w:vAlign w:val="center"/>
          </w:tcPr>
          <w:p>
            <w:pPr>
              <w:tabs>
                <w:tab w:val="left" w:pos="1260"/>
                <w:tab w:val="left" w:pos="1620"/>
              </w:tabs>
              <w:adjustRightInd w:val="0"/>
              <w:snapToGrid w:val="0"/>
              <w:textAlignment w:val="baseline"/>
              <w:rPr>
                <w:rFonts w:hint="eastAsia" w:asciiTheme="minorEastAsia" w:hAnsiTheme="minorEastAsia" w:eastAsiaTheme="minorEastAsia" w:cstheme="minorEastAsia"/>
                <w:b w:val="0"/>
                <w:bCs/>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numPr>
                <w:ilvl w:val="0"/>
                <w:numId w:val="4"/>
              </w:numPr>
              <w:tabs>
                <w:tab w:val="left" w:pos="1260"/>
                <w:tab w:val="left" w:pos="1620"/>
              </w:tabs>
              <w:adjustRightInd w:val="0"/>
              <w:snapToGrid w:val="0"/>
              <w:textAlignment w:val="baseline"/>
              <w:rPr>
                <w:rFonts w:hint="eastAsia" w:asciiTheme="minorEastAsia" w:hAnsiTheme="minorEastAsia" w:eastAsiaTheme="minorEastAsia" w:cstheme="minorEastAsia"/>
                <w:b w:val="0"/>
                <w:bCs/>
                <w:color w:val="auto"/>
                <w:sz w:val="21"/>
                <w:szCs w:val="21"/>
                <w:highlight w:val="none"/>
              </w:rPr>
            </w:pPr>
          </w:p>
        </w:tc>
        <w:tc>
          <w:tcPr>
            <w:tcW w:w="1994" w:type="dxa"/>
            <w:noWrap w:val="0"/>
            <w:vAlign w:val="center"/>
          </w:tcPr>
          <w:p>
            <w:pPr>
              <w:tabs>
                <w:tab w:val="left" w:pos="1260"/>
                <w:tab w:val="left" w:pos="1620"/>
              </w:tabs>
              <w:adjustRightInd w:val="0"/>
              <w:snapToGrid w:val="0"/>
              <w:jc w:val="center"/>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报价</w:t>
            </w:r>
          </w:p>
        </w:tc>
        <w:tc>
          <w:tcPr>
            <w:tcW w:w="5091" w:type="dxa"/>
            <w:noWrap w:val="0"/>
            <w:vAlign w:val="center"/>
          </w:tcPr>
          <w:p>
            <w:pPr>
              <w:tabs>
                <w:tab w:val="left" w:pos="1260"/>
                <w:tab w:val="left" w:pos="1620"/>
              </w:tabs>
              <w:adjustRightInd w:val="0"/>
              <w:snapToGrid w:val="0"/>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供应商报价是固定价且未超过预算金额（磋商文件有最高限价的，报价未超过最高限价）；</w:t>
            </w:r>
          </w:p>
        </w:tc>
        <w:tc>
          <w:tcPr>
            <w:tcW w:w="1275" w:type="dxa"/>
            <w:noWrap w:val="0"/>
            <w:vAlign w:val="center"/>
          </w:tcPr>
          <w:p>
            <w:pPr>
              <w:tabs>
                <w:tab w:val="left" w:pos="1260"/>
                <w:tab w:val="left" w:pos="1620"/>
              </w:tabs>
              <w:adjustRightInd w:val="0"/>
              <w:snapToGrid w:val="0"/>
              <w:textAlignment w:val="baseline"/>
              <w:rPr>
                <w:rFonts w:hint="eastAsia" w:asciiTheme="minorEastAsia" w:hAnsiTheme="minorEastAsia" w:eastAsiaTheme="minorEastAsia" w:cstheme="minorEastAsia"/>
                <w:b w:val="0"/>
                <w:bCs/>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numPr>
                <w:ilvl w:val="0"/>
                <w:numId w:val="4"/>
              </w:numPr>
              <w:tabs>
                <w:tab w:val="left" w:pos="1260"/>
                <w:tab w:val="left" w:pos="1620"/>
              </w:tabs>
              <w:adjustRightInd w:val="0"/>
              <w:snapToGrid w:val="0"/>
              <w:textAlignment w:val="baseline"/>
              <w:rPr>
                <w:rFonts w:hint="eastAsia" w:asciiTheme="minorEastAsia" w:hAnsiTheme="minorEastAsia" w:eastAsiaTheme="minorEastAsia" w:cstheme="minorEastAsia"/>
                <w:b w:val="0"/>
                <w:bCs/>
                <w:color w:val="auto"/>
                <w:sz w:val="21"/>
                <w:szCs w:val="21"/>
                <w:highlight w:val="none"/>
              </w:rPr>
            </w:pPr>
          </w:p>
        </w:tc>
        <w:tc>
          <w:tcPr>
            <w:tcW w:w="1994"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磋商保证金</w:t>
            </w:r>
          </w:p>
        </w:tc>
        <w:tc>
          <w:tcPr>
            <w:tcW w:w="5091" w:type="dxa"/>
            <w:noWrap w:val="0"/>
            <w:vAlign w:val="top"/>
          </w:tcPr>
          <w:p>
            <w:pPr>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按照磋商文件的规定提交磋商保证金（包括形式及金额）</w:t>
            </w:r>
          </w:p>
        </w:tc>
        <w:tc>
          <w:tcPr>
            <w:tcW w:w="1275" w:type="dxa"/>
            <w:noWrap w:val="0"/>
            <w:vAlign w:val="center"/>
          </w:tcPr>
          <w:p>
            <w:pPr>
              <w:tabs>
                <w:tab w:val="left" w:pos="1260"/>
                <w:tab w:val="left" w:pos="1620"/>
              </w:tabs>
              <w:adjustRightInd w:val="0"/>
              <w:snapToGrid w:val="0"/>
              <w:textAlignment w:val="baseline"/>
              <w:rPr>
                <w:rFonts w:hint="eastAsia" w:asciiTheme="minorEastAsia" w:hAnsiTheme="minorEastAsia" w:eastAsiaTheme="minorEastAsia" w:cstheme="minorEastAsia"/>
                <w:b w:val="0"/>
                <w:bCs/>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numPr>
                <w:ilvl w:val="0"/>
                <w:numId w:val="4"/>
              </w:numPr>
              <w:tabs>
                <w:tab w:val="left" w:pos="1260"/>
                <w:tab w:val="left" w:pos="1620"/>
              </w:tabs>
              <w:adjustRightInd w:val="0"/>
              <w:snapToGrid w:val="0"/>
              <w:textAlignment w:val="baseline"/>
              <w:rPr>
                <w:rFonts w:hint="eastAsia" w:asciiTheme="minorEastAsia" w:hAnsiTheme="minorEastAsia" w:eastAsiaTheme="minorEastAsia" w:cstheme="minorEastAsia"/>
                <w:b w:val="0"/>
                <w:bCs/>
                <w:color w:val="auto"/>
                <w:sz w:val="21"/>
                <w:szCs w:val="21"/>
                <w:highlight w:val="none"/>
              </w:rPr>
            </w:pPr>
          </w:p>
        </w:tc>
        <w:tc>
          <w:tcPr>
            <w:tcW w:w="1994" w:type="dxa"/>
            <w:noWrap w:val="0"/>
            <w:vAlign w:val="center"/>
          </w:tcPr>
          <w:p>
            <w:pPr>
              <w:tabs>
                <w:tab w:val="left" w:pos="1260"/>
                <w:tab w:val="left" w:pos="1620"/>
              </w:tabs>
              <w:adjustRightInd w:val="0"/>
              <w:snapToGrid w:val="0"/>
              <w:jc w:val="center"/>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附加条件</w:t>
            </w:r>
          </w:p>
        </w:tc>
        <w:tc>
          <w:tcPr>
            <w:tcW w:w="5091" w:type="dxa"/>
            <w:noWrap w:val="0"/>
            <w:vAlign w:val="center"/>
          </w:tcPr>
          <w:p>
            <w:pPr>
              <w:tabs>
                <w:tab w:val="left" w:pos="1260"/>
                <w:tab w:val="left" w:pos="1620"/>
              </w:tabs>
              <w:adjustRightInd w:val="0"/>
              <w:snapToGrid w:val="0"/>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响应文件不含有采购人不能接受的附加条件；</w:t>
            </w:r>
          </w:p>
        </w:tc>
        <w:tc>
          <w:tcPr>
            <w:tcW w:w="1275" w:type="dxa"/>
            <w:noWrap w:val="0"/>
            <w:vAlign w:val="center"/>
          </w:tcPr>
          <w:p>
            <w:pPr>
              <w:tabs>
                <w:tab w:val="left" w:pos="1260"/>
                <w:tab w:val="left" w:pos="1620"/>
              </w:tabs>
              <w:adjustRightInd w:val="0"/>
              <w:snapToGrid w:val="0"/>
              <w:textAlignment w:val="baseline"/>
              <w:rPr>
                <w:rFonts w:hint="eastAsia" w:asciiTheme="minorEastAsia" w:hAnsiTheme="minorEastAsia" w:eastAsiaTheme="minorEastAsia" w:cstheme="minorEastAsia"/>
                <w:b w:val="0"/>
                <w:bCs/>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numPr>
                <w:ilvl w:val="0"/>
                <w:numId w:val="4"/>
              </w:numPr>
              <w:tabs>
                <w:tab w:val="left" w:pos="1260"/>
                <w:tab w:val="left" w:pos="1620"/>
              </w:tabs>
              <w:adjustRightInd w:val="0"/>
              <w:snapToGrid w:val="0"/>
              <w:textAlignment w:val="baseline"/>
              <w:rPr>
                <w:rFonts w:hint="eastAsia" w:asciiTheme="minorEastAsia" w:hAnsiTheme="minorEastAsia" w:eastAsiaTheme="minorEastAsia" w:cstheme="minorEastAsia"/>
                <w:b w:val="0"/>
                <w:bCs/>
                <w:color w:val="auto"/>
                <w:sz w:val="21"/>
                <w:szCs w:val="21"/>
                <w:highlight w:val="none"/>
              </w:rPr>
            </w:pPr>
          </w:p>
        </w:tc>
        <w:tc>
          <w:tcPr>
            <w:tcW w:w="1994" w:type="dxa"/>
            <w:noWrap w:val="0"/>
            <w:vAlign w:val="center"/>
          </w:tcPr>
          <w:p>
            <w:pPr>
              <w:tabs>
                <w:tab w:val="left" w:pos="1260"/>
                <w:tab w:val="left" w:pos="1620"/>
              </w:tabs>
              <w:adjustRightInd w:val="0"/>
              <w:snapToGrid w:val="0"/>
              <w:jc w:val="center"/>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公平竞争</w:t>
            </w:r>
          </w:p>
        </w:tc>
        <w:tc>
          <w:tcPr>
            <w:tcW w:w="5091" w:type="dxa"/>
            <w:noWrap w:val="0"/>
            <w:vAlign w:val="center"/>
          </w:tcPr>
          <w:p>
            <w:pPr>
              <w:tabs>
                <w:tab w:val="left" w:pos="1260"/>
                <w:tab w:val="left" w:pos="1620"/>
              </w:tabs>
              <w:adjustRightInd w:val="0"/>
              <w:snapToGrid w:val="0"/>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遵循公平竞争的原则，没有弄虚作假、恶意串通或妨碍其他供应商的竞争行为，损害采购人或者其他供应商的合法权益；</w:t>
            </w:r>
          </w:p>
          <w:p>
            <w:pPr>
              <w:tabs>
                <w:tab w:val="left" w:pos="1260"/>
                <w:tab w:val="left" w:pos="1620"/>
              </w:tabs>
              <w:adjustRightInd w:val="0"/>
              <w:snapToGrid w:val="0"/>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弄虚作假、相互串通的情形附后</w:t>
            </w:r>
          </w:p>
        </w:tc>
        <w:tc>
          <w:tcPr>
            <w:tcW w:w="1275" w:type="dxa"/>
            <w:noWrap w:val="0"/>
            <w:vAlign w:val="center"/>
          </w:tcPr>
          <w:p>
            <w:pPr>
              <w:tabs>
                <w:tab w:val="left" w:pos="1260"/>
                <w:tab w:val="left" w:pos="1620"/>
              </w:tabs>
              <w:adjustRightInd w:val="0"/>
              <w:snapToGrid w:val="0"/>
              <w:textAlignment w:val="baseline"/>
              <w:rPr>
                <w:rFonts w:hint="eastAsia" w:asciiTheme="minorEastAsia" w:hAnsiTheme="minorEastAsia" w:eastAsiaTheme="minorEastAsia" w:cstheme="minorEastAsia"/>
                <w:b w:val="0"/>
                <w:bCs/>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numPr>
                <w:ilvl w:val="0"/>
                <w:numId w:val="4"/>
              </w:numPr>
              <w:tabs>
                <w:tab w:val="left" w:pos="1260"/>
                <w:tab w:val="left" w:pos="1620"/>
              </w:tabs>
              <w:adjustRightInd w:val="0"/>
              <w:snapToGrid w:val="0"/>
              <w:textAlignment w:val="baseline"/>
              <w:rPr>
                <w:rFonts w:hint="eastAsia" w:asciiTheme="minorEastAsia" w:hAnsiTheme="minorEastAsia" w:eastAsiaTheme="minorEastAsia" w:cstheme="minorEastAsia"/>
                <w:b w:val="0"/>
                <w:bCs/>
                <w:color w:val="auto"/>
                <w:sz w:val="21"/>
                <w:szCs w:val="21"/>
                <w:highlight w:val="none"/>
              </w:rPr>
            </w:pPr>
          </w:p>
        </w:tc>
        <w:tc>
          <w:tcPr>
            <w:tcW w:w="1994" w:type="dxa"/>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投标有效期</w:t>
            </w:r>
          </w:p>
        </w:tc>
        <w:tc>
          <w:tcPr>
            <w:tcW w:w="5091" w:type="dxa"/>
            <w:noWrap w:val="0"/>
            <w:vAlign w:val="center"/>
          </w:tcPr>
          <w:p>
            <w:pPr>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kern w:val="15"/>
                <w:sz w:val="21"/>
                <w:szCs w:val="21"/>
                <w:highlight w:val="none"/>
              </w:rPr>
              <w:t>投标截止之日起90天（日</w:t>
            </w:r>
            <w:r>
              <w:rPr>
                <w:rFonts w:hint="eastAsia" w:asciiTheme="minorEastAsia" w:hAnsiTheme="minorEastAsia" w:eastAsiaTheme="minorEastAsia" w:cstheme="minorEastAsia"/>
                <w:b w:val="0"/>
                <w:bCs/>
                <w:color w:val="auto"/>
                <w:sz w:val="21"/>
                <w:szCs w:val="21"/>
                <w:highlight w:val="none"/>
                <w:lang w:val="zh-CN"/>
              </w:rPr>
              <w:t>历天）</w:t>
            </w:r>
          </w:p>
        </w:tc>
        <w:tc>
          <w:tcPr>
            <w:tcW w:w="1275" w:type="dxa"/>
            <w:noWrap w:val="0"/>
            <w:vAlign w:val="center"/>
          </w:tcPr>
          <w:p>
            <w:pPr>
              <w:tabs>
                <w:tab w:val="left" w:pos="1260"/>
                <w:tab w:val="left" w:pos="1620"/>
              </w:tabs>
              <w:adjustRightInd w:val="0"/>
              <w:snapToGrid w:val="0"/>
              <w:textAlignment w:val="baseline"/>
              <w:rPr>
                <w:rFonts w:hint="eastAsia" w:asciiTheme="minorEastAsia" w:hAnsiTheme="minorEastAsia" w:eastAsiaTheme="minorEastAsia" w:cstheme="minorEastAsia"/>
                <w:b w:val="0"/>
                <w:bCs/>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numPr>
                <w:ilvl w:val="0"/>
                <w:numId w:val="4"/>
              </w:numPr>
              <w:tabs>
                <w:tab w:val="left" w:pos="1260"/>
                <w:tab w:val="left" w:pos="1620"/>
              </w:tabs>
              <w:adjustRightInd w:val="0"/>
              <w:snapToGrid w:val="0"/>
              <w:textAlignment w:val="baseline"/>
              <w:rPr>
                <w:rFonts w:hint="eastAsia" w:asciiTheme="minorEastAsia" w:hAnsiTheme="minorEastAsia" w:eastAsiaTheme="minorEastAsia" w:cstheme="minorEastAsia"/>
                <w:b w:val="0"/>
                <w:bCs/>
                <w:color w:val="auto"/>
                <w:sz w:val="21"/>
                <w:szCs w:val="21"/>
                <w:highlight w:val="none"/>
              </w:rPr>
            </w:pPr>
          </w:p>
        </w:tc>
        <w:tc>
          <w:tcPr>
            <w:tcW w:w="1994" w:type="dxa"/>
            <w:noWrap w:val="0"/>
            <w:vAlign w:val="center"/>
          </w:tcPr>
          <w:p>
            <w:pPr>
              <w:tabs>
                <w:tab w:val="left" w:pos="1260"/>
                <w:tab w:val="left" w:pos="1620"/>
              </w:tabs>
              <w:adjustRightInd w:val="0"/>
              <w:snapToGrid w:val="0"/>
              <w:jc w:val="center"/>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响应文件格式</w:t>
            </w:r>
          </w:p>
        </w:tc>
        <w:tc>
          <w:tcPr>
            <w:tcW w:w="5091" w:type="dxa"/>
            <w:noWrap w:val="0"/>
            <w:vAlign w:val="center"/>
          </w:tcPr>
          <w:p>
            <w:pPr>
              <w:tabs>
                <w:tab w:val="left" w:pos="1260"/>
                <w:tab w:val="left" w:pos="1620"/>
              </w:tabs>
              <w:adjustRightInd w:val="0"/>
              <w:snapToGrid w:val="0"/>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响应文件按规定的格式填写，内容完整且关键字迹清晰；</w:t>
            </w:r>
          </w:p>
        </w:tc>
        <w:tc>
          <w:tcPr>
            <w:tcW w:w="1275" w:type="dxa"/>
            <w:noWrap w:val="0"/>
            <w:vAlign w:val="center"/>
          </w:tcPr>
          <w:p>
            <w:pPr>
              <w:tabs>
                <w:tab w:val="left" w:pos="1260"/>
                <w:tab w:val="left" w:pos="1620"/>
              </w:tabs>
              <w:adjustRightInd w:val="0"/>
              <w:snapToGrid w:val="0"/>
              <w:textAlignment w:val="baseline"/>
              <w:rPr>
                <w:rFonts w:hint="eastAsia" w:asciiTheme="minorEastAsia" w:hAnsiTheme="minorEastAsia" w:eastAsiaTheme="minorEastAsia" w:cstheme="minorEastAsia"/>
                <w:b w:val="0"/>
                <w:bCs/>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numPr>
                <w:ilvl w:val="0"/>
                <w:numId w:val="4"/>
              </w:numPr>
              <w:tabs>
                <w:tab w:val="left" w:pos="1260"/>
                <w:tab w:val="left" w:pos="1620"/>
              </w:tabs>
              <w:adjustRightInd w:val="0"/>
              <w:snapToGrid w:val="0"/>
              <w:textAlignment w:val="baseline"/>
              <w:rPr>
                <w:rFonts w:hint="eastAsia" w:asciiTheme="minorEastAsia" w:hAnsiTheme="minorEastAsia" w:eastAsiaTheme="minorEastAsia" w:cstheme="minorEastAsia"/>
                <w:b w:val="0"/>
                <w:bCs/>
                <w:color w:val="auto"/>
                <w:sz w:val="21"/>
                <w:szCs w:val="21"/>
                <w:highlight w:val="none"/>
              </w:rPr>
            </w:pPr>
          </w:p>
        </w:tc>
        <w:tc>
          <w:tcPr>
            <w:tcW w:w="1994" w:type="dxa"/>
            <w:noWrap w:val="0"/>
            <w:vAlign w:val="center"/>
          </w:tcPr>
          <w:p>
            <w:pPr>
              <w:tabs>
                <w:tab w:val="left" w:pos="1260"/>
                <w:tab w:val="left" w:pos="1620"/>
              </w:tabs>
              <w:adjustRightInd w:val="0"/>
              <w:snapToGrid w:val="0"/>
              <w:jc w:val="center"/>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响应文件内容</w:t>
            </w:r>
          </w:p>
        </w:tc>
        <w:tc>
          <w:tcPr>
            <w:tcW w:w="5091" w:type="dxa"/>
            <w:noWrap w:val="0"/>
            <w:vAlign w:val="center"/>
          </w:tcPr>
          <w:p>
            <w:pPr>
              <w:tabs>
                <w:tab w:val="left" w:pos="1260"/>
                <w:tab w:val="left" w:pos="1620"/>
              </w:tabs>
              <w:adjustRightInd w:val="0"/>
              <w:snapToGrid w:val="0"/>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供应商提供的服务无实质性遗漏</w:t>
            </w:r>
          </w:p>
        </w:tc>
        <w:tc>
          <w:tcPr>
            <w:tcW w:w="1275" w:type="dxa"/>
            <w:noWrap w:val="0"/>
            <w:vAlign w:val="center"/>
          </w:tcPr>
          <w:p>
            <w:pPr>
              <w:tabs>
                <w:tab w:val="left" w:pos="1260"/>
                <w:tab w:val="left" w:pos="1620"/>
              </w:tabs>
              <w:adjustRightInd w:val="0"/>
              <w:snapToGrid w:val="0"/>
              <w:textAlignment w:val="baseline"/>
              <w:rPr>
                <w:rFonts w:hint="eastAsia" w:asciiTheme="minorEastAsia" w:hAnsiTheme="minorEastAsia" w:eastAsiaTheme="minorEastAsia" w:cstheme="minorEastAsia"/>
                <w:b w:val="0"/>
                <w:bCs/>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numPr>
                <w:ilvl w:val="0"/>
                <w:numId w:val="4"/>
              </w:numPr>
              <w:tabs>
                <w:tab w:val="left" w:pos="1260"/>
                <w:tab w:val="left" w:pos="1620"/>
              </w:tabs>
              <w:adjustRightInd w:val="0"/>
              <w:snapToGrid w:val="0"/>
              <w:textAlignment w:val="baseline"/>
              <w:rPr>
                <w:rFonts w:hint="eastAsia" w:asciiTheme="minorEastAsia" w:hAnsiTheme="minorEastAsia" w:eastAsiaTheme="minorEastAsia" w:cstheme="minorEastAsia"/>
                <w:b w:val="0"/>
                <w:bCs/>
                <w:color w:val="auto"/>
                <w:sz w:val="21"/>
                <w:szCs w:val="21"/>
                <w:highlight w:val="none"/>
              </w:rPr>
            </w:pPr>
          </w:p>
        </w:tc>
        <w:tc>
          <w:tcPr>
            <w:tcW w:w="1994" w:type="dxa"/>
            <w:noWrap w:val="0"/>
            <w:vAlign w:val="center"/>
          </w:tcPr>
          <w:p>
            <w:pPr>
              <w:tabs>
                <w:tab w:val="left" w:pos="1260"/>
                <w:tab w:val="left" w:pos="1620"/>
              </w:tabs>
              <w:adjustRightInd w:val="0"/>
              <w:snapToGrid w:val="0"/>
              <w:jc w:val="center"/>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iCs/>
                <w:color w:val="auto"/>
                <w:sz w:val="21"/>
                <w:szCs w:val="21"/>
                <w:highlight w:val="none"/>
              </w:rPr>
              <w:t>采购期限</w:t>
            </w:r>
          </w:p>
        </w:tc>
        <w:tc>
          <w:tcPr>
            <w:tcW w:w="5091" w:type="dxa"/>
            <w:noWrap w:val="0"/>
            <w:vAlign w:val="center"/>
          </w:tcPr>
          <w:p>
            <w:pPr>
              <w:tabs>
                <w:tab w:val="left" w:pos="1260"/>
                <w:tab w:val="left" w:pos="1620"/>
              </w:tabs>
              <w:adjustRightInd w:val="0"/>
              <w:snapToGrid w:val="0"/>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iCs/>
                <w:color w:val="auto"/>
                <w:sz w:val="21"/>
                <w:szCs w:val="21"/>
                <w:highlight w:val="none"/>
              </w:rPr>
              <w:t>满足磋商文件要求；</w:t>
            </w:r>
          </w:p>
        </w:tc>
        <w:tc>
          <w:tcPr>
            <w:tcW w:w="1275" w:type="dxa"/>
            <w:noWrap w:val="0"/>
            <w:vAlign w:val="center"/>
          </w:tcPr>
          <w:p>
            <w:pPr>
              <w:tabs>
                <w:tab w:val="left" w:pos="1260"/>
                <w:tab w:val="left" w:pos="1620"/>
              </w:tabs>
              <w:adjustRightInd w:val="0"/>
              <w:snapToGrid w:val="0"/>
              <w:textAlignment w:val="baseline"/>
              <w:rPr>
                <w:rFonts w:hint="eastAsia" w:asciiTheme="minorEastAsia" w:hAnsiTheme="minorEastAsia" w:eastAsiaTheme="minorEastAsia" w:cstheme="minorEastAsia"/>
                <w:b w:val="0"/>
                <w:bCs/>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51" w:type="dxa"/>
            <w:noWrap w:val="0"/>
            <w:vAlign w:val="center"/>
          </w:tcPr>
          <w:p>
            <w:pPr>
              <w:numPr>
                <w:ilvl w:val="0"/>
                <w:numId w:val="4"/>
              </w:numPr>
              <w:tabs>
                <w:tab w:val="left" w:pos="1260"/>
                <w:tab w:val="left" w:pos="1620"/>
              </w:tabs>
              <w:adjustRightInd w:val="0"/>
              <w:snapToGrid w:val="0"/>
              <w:textAlignment w:val="baseline"/>
              <w:rPr>
                <w:rFonts w:hint="eastAsia" w:asciiTheme="minorEastAsia" w:hAnsiTheme="minorEastAsia" w:eastAsiaTheme="minorEastAsia" w:cstheme="minorEastAsia"/>
                <w:b w:val="0"/>
                <w:bCs/>
                <w:color w:val="auto"/>
                <w:sz w:val="21"/>
                <w:szCs w:val="21"/>
                <w:highlight w:val="none"/>
              </w:rPr>
            </w:pPr>
          </w:p>
        </w:tc>
        <w:tc>
          <w:tcPr>
            <w:tcW w:w="1994" w:type="dxa"/>
            <w:noWrap w:val="0"/>
            <w:vAlign w:val="center"/>
          </w:tcPr>
          <w:p>
            <w:pPr>
              <w:tabs>
                <w:tab w:val="left" w:pos="1260"/>
                <w:tab w:val="left" w:pos="1620"/>
              </w:tabs>
              <w:adjustRightInd w:val="0"/>
              <w:snapToGrid w:val="0"/>
              <w:jc w:val="center"/>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备选方案</w:t>
            </w:r>
          </w:p>
        </w:tc>
        <w:tc>
          <w:tcPr>
            <w:tcW w:w="5091" w:type="dxa"/>
            <w:noWrap w:val="0"/>
            <w:vAlign w:val="center"/>
          </w:tcPr>
          <w:p>
            <w:pPr>
              <w:tabs>
                <w:tab w:val="left" w:pos="1260"/>
                <w:tab w:val="left" w:pos="1620"/>
              </w:tabs>
              <w:adjustRightInd w:val="0"/>
              <w:snapToGrid w:val="0"/>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供应商不得提交两份或者多份内容不同的响应文件，或者在同一份响应文件中对同一磋商项目有两个或者多个报价；</w:t>
            </w:r>
          </w:p>
        </w:tc>
        <w:tc>
          <w:tcPr>
            <w:tcW w:w="1275" w:type="dxa"/>
            <w:noWrap w:val="0"/>
            <w:vAlign w:val="center"/>
          </w:tcPr>
          <w:p>
            <w:pPr>
              <w:tabs>
                <w:tab w:val="left" w:pos="1260"/>
                <w:tab w:val="left" w:pos="1620"/>
              </w:tabs>
              <w:adjustRightInd w:val="0"/>
              <w:snapToGrid w:val="0"/>
              <w:textAlignment w:val="baseline"/>
              <w:rPr>
                <w:rFonts w:hint="eastAsia" w:asciiTheme="minorEastAsia" w:hAnsiTheme="minorEastAsia" w:eastAsiaTheme="minorEastAsia" w:cstheme="minorEastAsia"/>
                <w:b w:val="0"/>
                <w:bCs/>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736" w:type="dxa"/>
            <w:gridSpan w:val="3"/>
            <w:noWrap w:val="0"/>
            <w:vAlign w:val="center"/>
          </w:tcPr>
          <w:p>
            <w:pPr>
              <w:tabs>
                <w:tab w:val="left" w:pos="1260"/>
                <w:tab w:val="left" w:pos="1620"/>
              </w:tabs>
              <w:adjustRightInd w:val="0"/>
              <w:snapToGrid w:val="0"/>
              <w:jc w:val="center"/>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结论（通过或未通过）</w:t>
            </w:r>
          </w:p>
        </w:tc>
        <w:tc>
          <w:tcPr>
            <w:tcW w:w="1275" w:type="dxa"/>
            <w:noWrap w:val="0"/>
            <w:vAlign w:val="center"/>
          </w:tcPr>
          <w:p>
            <w:pPr>
              <w:tabs>
                <w:tab w:val="left" w:pos="1260"/>
                <w:tab w:val="left" w:pos="1620"/>
              </w:tabs>
              <w:adjustRightInd w:val="0"/>
              <w:snapToGrid w:val="0"/>
              <w:textAlignment w:val="baseline"/>
              <w:rPr>
                <w:rFonts w:hint="eastAsia" w:asciiTheme="minorEastAsia" w:hAnsiTheme="minorEastAsia" w:eastAsiaTheme="minorEastAsia" w:cstheme="minorEastAsia"/>
                <w:b w:val="0"/>
                <w:bCs/>
                <w:color w:val="auto"/>
                <w:sz w:val="21"/>
                <w:szCs w:val="21"/>
                <w:highlight w:val="none"/>
              </w:rPr>
            </w:pPr>
          </w:p>
        </w:tc>
      </w:tr>
    </w:tbl>
    <w:p>
      <w:pPr>
        <w:tabs>
          <w:tab w:val="left" w:pos="1260"/>
          <w:tab w:val="left" w:pos="1620"/>
        </w:tabs>
        <w:adjustRightInd w:val="0"/>
        <w:spacing w:line="360" w:lineRule="auto"/>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注：</w:t>
      </w:r>
    </w:p>
    <w:p>
      <w:pPr>
        <w:tabs>
          <w:tab w:val="left" w:pos="1260"/>
          <w:tab w:val="left" w:pos="1620"/>
        </w:tabs>
        <w:adjustRightInd w:val="0"/>
        <w:spacing w:line="360" w:lineRule="auto"/>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1、符合磋商文件要求用“√”表示，不符合用“×”表示。有一项不符合要求，结论为不合格。</w:t>
      </w:r>
    </w:p>
    <w:p>
      <w:pPr>
        <w:tabs>
          <w:tab w:val="left" w:pos="1260"/>
          <w:tab w:val="left" w:pos="1620"/>
        </w:tabs>
        <w:adjustRightInd w:val="0"/>
        <w:spacing w:line="360" w:lineRule="auto"/>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2、有下列情形之一的，视为供应商相互串通：</w:t>
      </w:r>
    </w:p>
    <w:p>
      <w:pPr>
        <w:tabs>
          <w:tab w:val="left" w:pos="1260"/>
          <w:tab w:val="left" w:pos="1620"/>
        </w:tabs>
        <w:adjustRightInd w:val="0"/>
        <w:spacing w:line="360" w:lineRule="auto"/>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（1）不同供应商的响应文件由同一单位或者个人编制；</w:t>
      </w:r>
    </w:p>
    <w:p>
      <w:pPr>
        <w:tabs>
          <w:tab w:val="left" w:pos="1260"/>
          <w:tab w:val="left" w:pos="1620"/>
        </w:tabs>
        <w:adjustRightInd w:val="0"/>
        <w:spacing w:line="360" w:lineRule="auto"/>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（2）不同供应商委托同一单位或者个人办理参与磋商事宜；</w:t>
      </w:r>
    </w:p>
    <w:p>
      <w:pPr>
        <w:tabs>
          <w:tab w:val="left" w:pos="1260"/>
          <w:tab w:val="left" w:pos="1620"/>
        </w:tabs>
        <w:adjustRightInd w:val="0"/>
        <w:spacing w:line="360" w:lineRule="auto"/>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（3）不同供应商的响应文件载明的项目管理成员或者联系人员为同一人；</w:t>
      </w:r>
    </w:p>
    <w:p>
      <w:pPr>
        <w:tabs>
          <w:tab w:val="left" w:pos="1260"/>
          <w:tab w:val="left" w:pos="1620"/>
        </w:tabs>
        <w:adjustRightInd w:val="0"/>
        <w:spacing w:line="360" w:lineRule="auto"/>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（4）不同供应商的响应文件异常一致或者报价呈规律性差异；</w:t>
      </w:r>
    </w:p>
    <w:p>
      <w:pPr>
        <w:tabs>
          <w:tab w:val="left" w:pos="1260"/>
          <w:tab w:val="left" w:pos="1620"/>
        </w:tabs>
        <w:adjustRightInd w:val="0"/>
        <w:spacing w:line="360" w:lineRule="auto"/>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（5）不同供应商的响应文件相互混装；</w:t>
      </w:r>
    </w:p>
    <w:p>
      <w:pPr>
        <w:tabs>
          <w:tab w:val="left" w:pos="1260"/>
          <w:tab w:val="left" w:pos="1620"/>
        </w:tabs>
        <w:adjustRightInd w:val="0"/>
        <w:spacing w:line="360" w:lineRule="auto"/>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（6）不同供应商的磋商保证金从同一单位或者个人的账户转出。</w:t>
      </w:r>
    </w:p>
    <w:p>
      <w:pPr>
        <w:tabs>
          <w:tab w:val="left" w:pos="1260"/>
          <w:tab w:val="left" w:pos="1620"/>
        </w:tabs>
        <w:adjustRightInd w:val="0"/>
        <w:spacing w:line="360" w:lineRule="auto"/>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3、有下列情形之一的，属于提供虚假材料谋取成交的行为：</w:t>
      </w:r>
    </w:p>
    <w:p>
      <w:pPr>
        <w:tabs>
          <w:tab w:val="left" w:pos="1260"/>
          <w:tab w:val="left" w:pos="1620"/>
        </w:tabs>
        <w:adjustRightInd w:val="0"/>
        <w:spacing w:line="360" w:lineRule="auto"/>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（1）使用伪造、变造的许可证件；</w:t>
      </w:r>
    </w:p>
    <w:p>
      <w:pPr>
        <w:tabs>
          <w:tab w:val="left" w:pos="1260"/>
          <w:tab w:val="left" w:pos="1620"/>
        </w:tabs>
        <w:adjustRightInd w:val="0"/>
        <w:spacing w:line="360" w:lineRule="auto"/>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（2）提供虚假的财务状况或者业绩；</w:t>
      </w:r>
    </w:p>
    <w:p>
      <w:pPr>
        <w:tabs>
          <w:tab w:val="left" w:pos="1260"/>
          <w:tab w:val="left" w:pos="1620"/>
        </w:tabs>
        <w:adjustRightInd w:val="0"/>
        <w:spacing w:line="360" w:lineRule="auto"/>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（3）提供虚假的项目负责人或者主要技术人员简历、劳动关系证明；</w:t>
      </w:r>
    </w:p>
    <w:p>
      <w:pPr>
        <w:tabs>
          <w:tab w:val="left" w:pos="1260"/>
          <w:tab w:val="left" w:pos="1620"/>
        </w:tabs>
        <w:adjustRightInd w:val="0"/>
        <w:spacing w:line="360" w:lineRule="auto"/>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（4）提供虚假的信用状况；</w:t>
      </w:r>
    </w:p>
    <w:p>
      <w:pPr>
        <w:tabs>
          <w:tab w:val="left" w:pos="1260"/>
          <w:tab w:val="left" w:pos="1620"/>
        </w:tabs>
        <w:adjustRightInd w:val="0"/>
        <w:spacing w:line="360" w:lineRule="auto"/>
        <w:jc w:val="left"/>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（5）其他弄虚作假的行为。</w:t>
      </w:r>
    </w:p>
    <w:p>
      <w:pPr>
        <w:tabs>
          <w:tab w:val="left" w:pos="1260"/>
          <w:tab w:val="left" w:pos="1620"/>
        </w:tabs>
        <w:adjustRightInd w:val="0"/>
        <w:spacing w:line="360" w:lineRule="auto"/>
        <w:jc w:val="left"/>
        <w:textAlignment w:val="baseline"/>
        <w:rPr>
          <w:rFonts w:hint="eastAsia" w:asciiTheme="minorEastAsia" w:hAnsiTheme="minorEastAsia" w:eastAsiaTheme="minorEastAsia" w:cstheme="minorEastAsia"/>
          <w:b w:val="0"/>
          <w:bCs/>
          <w:color w:val="auto"/>
          <w:sz w:val="21"/>
          <w:szCs w:val="21"/>
          <w:highlight w:val="none"/>
        </w:rPr>
      </w:pPr>
    </w:p>
    <w:p>
      <w:pPr>
        <w:tabs>
          <w:tab w:val="left" w:pos="1260"/>
          <w:tab w:val="left" w:pos="1620"/>
        </w:tabs>
        <w:adjustRightInd w:val="0"/>
        <w:spacing w:line="360" w:lineRule="auto"/>
        <w:jc w:val="center"/>
        <w:textAlignment w:val="baseline"/>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br w:type="page"/>
      </w:r>
      <w:bookmarkStart w:id="30" w:name="_Toc410631198"/>
      <w:bookmarkStart w:id="31" w:name="_Toc414446034"/>
      <w:r>
        <w:rPr>
          <w:rFonts w:hint="eastAsia" w:asciiTheme="minorEastAsia" w:hAnsiTheme="minorEastAsia" w:eastAsiaTheme="minorEastAsia" w:cstheme="minorEastAsia"/>
          <w:b w:val="0"/>
          <w:bCs/>
          <w:color w:val="auto"/>
          <w:sz w:val="21"/>
          <w:szCs w:val="21"/>
          <w:highlight w:val="none"/>
        </w:rPr>
        <w:t>附表三 详细评审表</w:t>
      </w:r>
      <w:bookmarkEnd w:id="30"/>
      <w:bookmarkEnd w:id="31"/>
    </w:p>
    <w:tbl>
      <w:tblPr>
        <w:tblStyle w:val="43"/>
        <w:tblW w:w="8998" w:type="dxa"/>
        <w:tblInd w:w="0" w:type="dxa"/>
        <w:tblLayout w:type="fixed"/>
        <w:tblCellMar>
          <w:top w:w="0" w:type="dxa"/>
          <w:left w:w="0" w:type="dxa"/>
          <w:bottom w:w="0" w:type="dxa"/>
          <w:right w:w="0" w:type="dxa"/>
        </w:tblCellMar>
      </w:tblPr>
      <w:tblGrid>
        <w:gridCol w:w="392"/>
        <w:gridCol w:w="1133"/>
        <w:gridCol w:w="776"/>
        <w:gridCol w:w="870"/>
        <w:gridCol w:w="532"/>
        <w:gridCol w:w="5295"/>
      </w:tblGrid>
      <w:tr>
        <w:tblPrEx>
          <w:tblCellMar>
            <w:top w:w="0" w:type="dxa"/>
            <w:left w:w="0" w:type="dxa"/>
            <w:bottom w:w="0" w:type="dxa"/>
            <w:right w:w="0" w:type="dxa"/>
          </w:tblCellMar>
        </w:tblPrEx>
        <w:trPr>
          <w:trHeight w:val="91" w:hRule="atLeast"/>
          <w:tblHeader/>
        </w:trPr>
        <w:tc>
          <w:tcPr>
            <w:tcW w:w="3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序号</w:t>
            </w:r>
          </w:p>
        </w:tc>
        <w:tc>
          <w:tcPr>
            <w:tcW w:w="11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标准</w:t>
            </w:r>
          </w:p>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项目</w:t>
            </w:r>
          </w:p>
        </w:tc>
        <w:tc>
          <w:tcPr>
            <w:tcW w:w="164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标准内容</w:t>
            </w:r>
          </w:p>
        </w:tc>
        <w:tc>
          <w:tcPr>
            <w:tcW w:w="5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基准</w:t>
            </w:r>
          </w:p>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分值</w:t>
            </w:r>
          </w:p>
        </w:tc>
        <w:tc>
          <w:tcPr>
            <w:tcW w:w="52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评分标准</w:t>
            </w:r>
          </w:p>
        </w:tc>
      </w:tr>
      <w:tr>
        <w:tblPrEx>
          <w:tblCellMar>
            <w:top w:w="0" w:type="dxa"/>
            <w:left w:w="0" w:type="dxa"/>
            <w:bottom w:w="0" w:type="dxa"/>
            <w:right w:w="0" w:type="dxa"/>
          </w:tblCellMar>
        </w:tblPrEx>
        <w:trPr>
          <w:trHeight w:val="2636" w:hRule="atLeast"/>
        </w:trPr>
        <w:tc>
          <w:tcPr>
            <w:tcW w:w="3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w:t>
            </w:r>
          </w:p>
        </w:tc>
        <w:tc>
          <w:tcPr>
            <w:tcW w:w="11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报价</w:t>
            </w:r>
          </w:p>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（30分）</w:t>
            </w:r>
          </w:p>
        </w:tc>
        <w:tc>
          <w:tcPr>
            <w:tcW w:w="164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价格分采用低价优先法计算</w:t>
            </w:r>
          </w:p>
        </w:tc>
        <w:tc>
          <w:tcPr>
            <w:tcW w:w="5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30</w:t>
            </w:r>
          </w:p>
        </w:tc>
        <w:tc>
          <w:tcPr>
            <w:tcW w:w="52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磋商基准价为所有通过初步评审合格的供应商有效最终磋商报价（二次报价）中的最低报价，得满分</w:t>
            </w:r>
            <w:r>
              <w:rPr>
                <w:rFonts w:hint="eastAsia" w:asciiTheme="minorEastAsia" w:hAnsiTheme="minorEastAsia" w:eastAsiaTheme="minorEastAsia" w:cstheme="minorEastAsia"/>
                <w:b w:val="0"/>
                <w:bCs/>
                <w:color w:val="auto"/>
                <w:sz w:val="21"/>
                <w:szCs w:val="21"/>
                <w:highlight w:val="none"/>
                <w:lang w:val="en-US" w:eastAsia="zh-CN"/>
              </w:rPr>
              <w:t>30</w:t>
            </w:r>
            <w:r>
              <w:rPr>
                <w:rFonts w:hint="eastAsia" w:asciiTheme="minorEastAsia" w:hAnsiTheme="minorEastAsia" w:eastAsiaTheme="minorEastAsia" w:cstheme="minorEastAsia"/>
                <w:b w:val="0"/>
                <w:bCs/>
                <w:color w:val="auto"/>
                <w:sz w:val="21"/>
                <w:szCs w:val="21"/>
                <w:highlight w:val="none"/>
              </w:rPr>
              <w:t>分。</w:t>
            </w:r>
          </w:p>
          <w:p>
            <w:pPr>
              <w:autoSpaceDE w:val="0"/>
              <w:autoSpaceDN w:val="0"/>
              <w:adjustRightInd w:val="0"/>
              <w:spacing w:line="240" w:lineRule="exac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投标报价得分=（磋商基准价/最终磋商报价）×价格权值（</w:t>
            </w:r>
            <w:r>
              <w:rPr>
                <w:rFonts w:hint="eastAsia" w:asciiTheme="minorEastAsia" w:hAnsiTheme="minorEastAsia" w:eastAsiaTheme="minorEastAsia" w:cstheme="minorEastAsia"/>
                <w:b w:val="0"/>
                <w:bCs/>
                <w:color w:val="auto"/>
                <w:sz w:val="21"/>
                <w:szCs w:val="21"/>
                <w:highlight w:val="none"/>
                <w:lang w:val="en-US" w:eastAsia="zh-CN"/>
              </w:rPr>
              <w:t>30</w:t>
            </w:r>
            <w:r>
              <w:rPr>
                <w:rFonts w:hint="eastAsia" w:asciiTheme="minorEastAsia" w:hAnsiTheme="minorEastAsia" w:eastAsiaTheme="minorEastAsia" w:cstheme="minorEastAsia"/>
                <w:b w:val="0"/>
                <w:bCs/>
                <w:color w:val="auto"/>
                <w:sz w:val="21"/>
                <w:szCs w:val="21"/>
                <w:highlight w:val="none"/>
              </w:rPr>
              <w:t>%）×100</w:t>
            </w:r>
          </w:p>
          <w:p>
            <w:pPr>
              <w:autoSpaceDE w:val="0"/>
              <w:autoSpaceDN w:val="0"/>
              <w:adjustRightInd w:val="0"/>
              <w:spacing w:line="240" w:lineRule="exac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报价得分精确到小数点后二位；</w:t>
            </w:r>
          </w:p>
          <w:p>
            <w:pPr>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投标人应确保产品质量，不能蓄意低价投标。最终磋商报价明显低于进入商务报价程序的全部有效投标人的投标报价算术平均值20%的应提供有效合理的证明文件经过评委会认可，否则作为无效报价，价格分为0分。</w:t>
            </w:r>
          </w:p>
        </w:tc>
      </w:tr>
      <w:tr>
        <w:tblPrEx>
          <w:tblCellMar>
            <w:top w:w="0" w:type="dxa"/>
            <w:left w:w="0" w:type="dxa"/>
            <w:bottom w:w="0" w:type="dxa"/>
            <w:right w:w="0" w:type="dxa"/>
          </w:tblCellMar>
        </w:tblPrEx>
        <w:trPr>
          <w:trHeight w:val="675" w:hRule="atLeast"/>
        </w:trPr>
        <w:tc>
          <w:tcPr>
            <w:tcW w:w="39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113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商务</w:t>
            </w:r>
          </w:p>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部分</w:t>
            </w:r>
          </w:p>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(30分）</w:t>
            </w:r>
          </w:p>
        </w:tc>
        <w:tc>
          <w:tcPr>
            <w:tcW w:w="1646"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近三年类似业绩</w:t>
            </w:r>
          </w:p>
        </w:tc>
        <w:tc>
          <w:tcPr>
            <w:tcW w:w="532" w:type="dxa"/>
            <w:vMerge w:val="restart"/>
            <w:tcBorders>
              <w:top w:val="single" w:color="000000" w:sz="8" w:space="0"/>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6</w:t>
            </w:r>
          </w:p>
        </w:tc>
        <w:tc>
          <w:tcPr>
            <w:tcW w:w="5295"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投标人</w:t>
            </w:r>
            <w:r>
              <w:rPr>
                <w:rFonts w:hint="eastAsia" w:asciiTheme="minorEastAsia" w:hAnsiTheme="minorEastAsia" w:eastAsiaTheme="minorEastAsia" w:cstheme="minorEastAsia"/>
                <w:b w:val="0"/>
                <w:bCs/>
                <w:color w:val="auto"/>
                <w:sz w:val="21"/>
                <w:szCs w:val="21"/>
                <w:highlight w:val="none"/>
              </w:rPr>
              <w:t>近三年（2017年-至今）每提供一项OA协同办公系统软件业绩得1分，最高得3分；</w:t>
            </w:r>
          </w:p>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shd w:val="clear" w:color="auto" w:fill="FFFFFF"/>
                <w:lang w:val="zh-CN"/>
              </w:rPr>
              <w:t>【</w:t>
            </w:r>
            <w:r>
              <w:rPr>
                <w:rFonts w:hint="eastAsia" w:asciiTheme="minorEastAsia" w:hAnsiTheme="minorEastAsia" w:eastAsiaTheme="minorEastAsia" w:cstheme="minorEastAsia"/>
                <w:b w:val="0"/>
                <w:bCs/>
                <w:color w:val="auto"/>
                <w:sz w:val="21"/>
                <w:szCs w:val="21"/>
                <w:highlight w:val="none"/>
                <w:shd w:val="clear" w:color="auto" w:fill="FFFFFF"/>
              </w:rPr>
              <w:t>标书内附</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val="zh-CN"/>
              </w:rPr>
              <w:t>包含合同首页、标的及金额所在页、合同签字盖章页</w:t>
            </w:r>
            <w:r>
              <w:rPr>
                <w:rFonts w:hint="eastAsia" w:asciiTheme="minorEastAsia" w:hAnsiTheme="minorEastAsia" w:eastAsiaTheme="minorEastAsia" w:cstheme="minorEastAsia"/>
                <w:b w:val="0"/>
                <w:bCs/>
                <w:color w:val="auto"/>
                <w:sz w:val="21"/>
                <w:szCs w:val="21"/>
                <w:highlight w:val="none"/>
              </w:rPr>
              <w:t>所有扫描件并加盖公章。</w:t>
            </w:r>
            <w:r>
              <w:rPr>
                <w:rFonts w:hint="eastAsia" w:asciiTheme="minorEastAsia" w:hAnsiTheme="minorEastAsia" w:eastAsiaTheme="minorEastAsia" w:cstheme="minorEastAsia"/>
                <w:b w:val="0"/>
                <w:bCs/>
                <w:color w:val="auto"/>
                <w:sz w:val="21"/>
                <w:szCs w:val="21"/>
                <w:highlight w:val="none"/>
              </w:rPr>
              <w:t>否则不计分</w:t>
            </w:r>
            <w:r>
              <w:rPr>
                <w:rFonts w:hint="eastAsia" w:asciiTheme="minorEastAsia" w:hAnsiTheme="minorEastAsia" w:eastAsiaTheme="minorEastAsia" w:cstheme="minorEastAsia"/>
                <w:b w:val="0"/>
                <w:bCs/>
                <w:color w:val="auto"/>
                <w:sz w:val="21"/>
                <w:szCs w:val="21"/>
                <w:highlight w:val="none"/>
                <w:shd w:val="clear" w:color="auto" w:fill="FFFFFF"/>
                <w:lang w:val="zh-CN"/>
              </w:rPr>
              <w:t>】</w:t>
            </w:r>
          </w:p>
        </w:tc>
      </w:tr>
      <w:tr>
        <w:tblPrEx>
          <w:tblCellMar>
            <w:top w:w="0" w:type="dxa"/>
            <w:left w:w="0" w:type="dxa"/>
            <w:bottom w:w="0" w:type="dxa"/>
            <w:right w:w="0" w:type="dxa"/>
          </w:tblCellMar>
        </w:tblPrEx>
        <w:trPr>
          <w:trHeight w:val="1764" w:hRule="atLeast"/>
        </w:trPr>
        <w:tc>
          <w:tcPr>
            <w:tcW w:w="392" w:type="dxa"/>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532" w:type="dxa"/>
            <w:vMerge w:val="continue"/>
            <w:tcBorders>
              <w:left w:val="single" w:color="000000" w:sz="8" w:space="0"/>
              <w:bottom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5295"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投标人近三年（2017年-至今）提供的OA协同办公系统软件中具有资产管理功能或独立的资产管理软件业绩，每有1项得1分，最高得3分。</w:t>
            </w:r>
          </w:p>
          <w:p>
            <w:pPr>
              <w:pStyle w:val="21"/>
              <w:snapToGrid w:val="0"/>
              <w:rPr>
                <w:rFonts w:hint="eastAsia" w:asciiTheme="minorEastAsia" w:hAnsiTheme="minorEastAsia" w:eastAsiaTheme="minorEastAsia" w:cstheme="minorEastAsia"/>
                <w:b w:val="0"/>
                <w:bCs/>
                <w:color w:val="auto"/>
                <w:sz w:val="21"/>
                <w:szCs w:val="21"/>
                <w:highlight w:val="none"/>
                <w:lang w:val="zh-CN"/>
              </w:rPr>
            </w:pPr>
            <w:r>
              <w:rPr>
                <w:rFonts w:hint="eastAsia" w:asciiTheme="minorEastAsia" w:hAnsiTheme="minorEastAsia" w:eastAsiaTheme="minorEastAsia" w:cstheme="minorEastAsia"/>
                <w:b w:val="0"/>
                <w:bCs/>
                <w:color w:val="auto"/>
                <w:sz w:val="21"/>
                <w:szCs w:val="21"/>
                <w:highlight w:val="none"/>
                <w:shd w:val="clear" w:color="auto" w:fill="FFFFFF"/>
                <w:lang w:val="zh-CN"/>
              </w:rPr>
              <w:t>【</w:t>
            </w:r>
            <w:r>
              <w:rPr>
                <w:rFonts w:hint="eastAsia" w:asciiTheme="minorEastAsia" w:hAnsiTheme="minorEastAsia" w:eastAsiaTheme="minorEastAsia" w:cstheme="minorEastAsia"/>
                <w:b w:val="0"/>
                <w:bCs/>
                <w:color w:val="auto"/>
                <w:sz w:val="21"/>
                <w:szCs w:val="21"/>
                <w:highlight w:val="none"/>
                <w:shd w:val="clear" w:color="auto" w:fill="FFFFFF"/>
              </w:rPr>
              <w:t>标书内附</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val="zh-CN"/>
              </w:rPr>
              <w:t>包含合同首页、标的及金额所在页、合同签字盖章页</w:t>
            </w:r>
            <w:r>
              <w:rPr>
                <w:rFonts w:hint="eastAsia" w:asciiTheme="minorEastAsia" w:hAnsiTheme="minorEastAsia" w:eastAsiaTheme="minorEastAsia" w:cstheme="minorEastAsia"/>
                <w:b w:val="0"/>
                <w:bCs/>
                <w:color w:val="auto"/>
                <w:sz w:val="21"/>
                <w:szCs w:val="21"/>
                <w:highlight w:val="none"/>
              </w:rPr>
              <w:t>所有扫描件并加盖公章。</w:t>
            </w:r>
            <w:r>
              <w:rPr>
                <w:rFonts w:hint="eastAsia" w:asciiTheme="minorEastAsia" w:hAnsiTheme="minorEastAsia" w:eastAsiaTheme="minorEastAsia" w:cstheme="minorEastAsia"/>
                <w:b w:val="0"/>
                <w:bCs/>
                <w:color w:val="auto"/>
                <w:sz w:val="21"/>
                <w:szCs w:val="21"/>
                <w:highlight w:val="none"/>
              </w:rPr>
              <w:t>否则不计分</w:t>
            </w:r>
            <w:r>
              <w:rPr>
                <w:rFonts w:hint="eastAsia" w:asciiTheme="minorEastAsia" w:hAnsiTheme="minorEastAsia" w:eastAsiaTheme="minorEastAsia" w:cstheme="minorEastAsia"/>
                <w:b w:val="0"/>
                <w:bCs/>
                <w:color w:val="auto"/>
                <w:sz w:val="21"/>
                <w:szCs w:val="21"/>
                <w:highlight w:val="none"/>
                <w:shd w:val="clear" w:color="auto" w:fill="FFFFFF"/>
                <w:lang w:val="zh-CN"/>
              </w:rPr>
              <w:t>】</w:t>
            </w:r>
          </w:p>
        </w:tc>
      </w:tr>
      <w:tr>
        <w:tblPrEx>
          <w:tblCellMar>
            <w:top w:w="0" w:type="dxa"/>
            <w:left w:w="0" w:type="dxa"/>
            <w:bottom w:w="0" w:type="dxa"/>
            <w:right w:w="0" w:type="dxa"/>
          </w:tblCellMar>
        </w:tblPrEx>
        <w:trPr>
          <w:trHeight w:val="980" w:hRule="atLeast"/>
        </w:trPr>
        <w:tc>
          <w:tcPr>
            <w:tcW w:w="392" w:type="dxa"/>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项目团队</w:t>
            </w:r>
          </w:p>
        </w:tc>
        <w:tc>
          <w:tcPr>
            <w:tcW w:w="532" w:type="dxa"/>
            <w:vMerge w:val="restart"/>
            <w:tcBorders>
              <w:top w:val="single" w:color="000000" w:sz="8" w:space="0"/>
              <w:left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5</w:t>
            </w:r>
          </w:p>
        </w:tc>
        <w:tc>
          <w:tcPr>
            <w:tcW w:w="52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项目经理具有信息系统项目管理师（高级）证书、高级软件工程师证书得1分；</w:t>
            </w:r>
          </w:p>
          <w:p>
            <w:pPr>
              <w:autoSpaceDE w:val="0"/>
              <w:autoSpaceDN w:val="0"/>
              <w:adjustRightInd w:val="0"/>
              <w:spacing w:line="240" w:lineRule="exact"/>
              <w:rPr>
                <w:rFonts w:hint="eastAsia" w:asciiTheme="minorEastAsia" w:hAnsiTheme="minorEastAsia" w:eastAsiaTheme="minorEastAsia" w:cstheme="minorEastAsia"/>
                <w:b w:val="0"/>
                <w:bCs/>
                <w:color w:val="auto"/>
                <w:sz w:val="21"/>
                <w:szCs w:val="21"/>
                <w:highlight w:val="none"/>
                <w:lang w:val="zh-CN"/>
              </w:rPr>
            </w:pPr>
            <w:r>
              <w:rPr>
                <w:rFonts w:hint="eastAsia" w:asciiTheme="minorEastAsia" w:hAnsiTheme="minorEastAsia" w:eastAsiaTheme="minorEastAsia" w:cstheme="minorEastAsia"/>
                <w:b w:val="0"/>
                <w:bCs/>
                <w:color w:val="auto"/>
                <w:sz w:val="21"/>
                <w:szCs w:val="21"/>
                <w:highlight w:val="none"/>
                <w:lang w:val="zh-CN"/>
              </w:rPr>
              <w:t>【</w:t>
            </w:r>
            <w:r>
              <w:rPr>
                <w:rFonts w:hint="eastAsia" w:asciiTheme="minorEastAsia" w:hAnsiTheme="minorEastAsia" w:eastAsiaTheme="minorEastAsia" w:cstheme="minorEastAsia"/>
                <w:b w:val="0"/>
                <w:bCs/>
                <w:color w:val="auto"/>
                <w:sz w:val="21"/>
                <w:szCs w:val="21"/>
                <w:highlight w:val="none"/>
              </w:rPr>
              <w:t>标书内附相关证书的扫描件并加盖公章。否则不计分</w:t>
            </w:r>
            <w:r>
              <w:rPr>
                <w:rFonts w:hint="eastAsia" w:asciiTheme="minorEastAsia" w:hAnsiTheme="minorEastAsia" w:eastAsiaTheme="minorEastAsia" w:cstheme="minorEastAsia"/>
                <w:b w:val="0"/>
                <w:bCs/>
                <w:color w:val="auto"/>
                <w:sz w:val="21"/>
                <w:szCs w:val="21"/>
                <w:highlight w:val="none"/>
                <w:lang w:val="zh-CN"/>
              </w:rPr>
              <w:t>】</w:t>
            </w:r>
          </w:p>
        </w:tc>
      </w:tr>
      <w:tr>
        <w:tblPrEx>
          <w:tblCellMar>
            <w:top w:w="0" w:type="dxa"/>
            <w:left w:w="0" w:type="dxa"/>
            <w:bottom w:w="0" w:type="dxa"/>
            <w:right w:w="0" w:type="dxa"/>
          </w:tblCellMar>
        </w:tblPrEx>
        <w:trPr>
          <w:trHeight w:val="939" w:hRule="atLeast"/>
        </w:trPr>
        <w:tc>
          <w:tcPr>
            <w:tcW w:w="392" w:type="dxa"/>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tc>
        <w:tc>
          <w:tcPr>
            <w:tcW w:w="532" w:type="dxa"/>
            <w:vMerge w:val="continue"/>
            <w:tcBorders>
              <w:left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tc>
        <w:tc>
          <w:tcPr>
            <w:tcW w:w="52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技术负责人有信息系统项目管理师（高级）证书、中级及以上软件工程师证书得1分；</w:t>
            </w:r>
          </w:p>
          <w:p>
            <w:pPr>
              <w:autoSpaceDE w:val="0"/>
              <w:autoSpaceDN w:val="0"/>
              <w:adjustRightInd w:val="0"/>
              <w:spacing w:line="240" w:lineRule="exac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zh-CN"/>
              </w:rPr>
              <w:t>【</w:t>
            </w:r>
            <w:r>
              <w:rPr>
                <w:rFonts w:hint="eastAsia" w:asciiTheme="minorEastAsia" w:hAnsiTheme="minorEastAsia" w:eastAsiaTheme="minorEastAsia" w:cstheme="minorEastAsia"/>
                <w:b w:val="0"/>
                <w:bCs/>
                <w:color w:val="auto"/>
                <w:sz w:val="21"/>
                <w:szCs w:val="21"/>
                <w:highlight w:val="none"/>
              </w:rPr>
              <w:t>标书内附相关证书的扫描件并加盖公章。否则不计分</w:t>
            </w:r>
            <w:r>
              <w:rPr>
                <w:rFonts w:hint="eastAsia" w:asciiTheme="minorEastAsia" w:hAnsiTheme="minorEastAsia" w:eastAsiaTheme="minorEastAsia" w:cstheme="minorEastAsia"/>
                <w:b w:val="0"/>
                <w:bCs/>
                <w:color w:val="auto"/>
                <w:sz w:val="21"/>
                <w:szCs w:val="21"/>
                <w:highlight w:val="none"/>
                <w:lang w:val="zh-CN"/>
              </w:rPr>
              <w:t>】</w:t>
            </w:r>
          </w:p>
        </w:tc>
      </w:tr>
      <w:tr>
        <w:tblPrEx>
          <w:tblCellMar>
            <w:top w:w="0" w:type="dxa"/>
            <w:left w:w="0" w:type="dxa"/>
            <w:bottom w:w="0" w:type="dxa"/>
            <w:right w:w="0" w:type="dxa"/>
          </w:tblCellMar>
        </w:tblPrEx>
        <w:trPr>
          <w:trHeight w:val="785" w:hRule="atLeast"/>
        </w:trPr>
        <w:tc>
          <w:tcPr>
            <w:tcW w:w="392" w:type="dxa"/>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tc>
        <w:tc>
          <w:tcPr>
            <w:tcW w:w="532" w:type="dxa"/>
            <w:vMerge w:val="continue"/>
            <w:tcBorders>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tc>
        <w:tc>
          <w:tcPr>
            <w:tcW w:w="52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rPr>
                <w:rFonts w:hint="eastAsia" w:asciiTheme="minorEastAsia" w:hAnsiTheme="minorEastAsia" w:eastAsiaTheme="minorEastAsia" w:cstheme="minorEastAsia"/>
                <w:b w:val="0"/>
                <w:bCs/>
                <w:snapToGrid w:val="0"/>
                <w:color w:val="auto"/>
                <w:sz w:val="21"/>
                <w:szCs w:val="21"/>
                <w:highlight w:val="none"/>
              </w:rPr>
            </w:pPr>
            <w:r>
              <w:rPr>
                <w:rFonts w:hint="eastAsia" w:asciiTheme="minorEastAsia" w:hAnsiTheme="minorEastAsia" w:eastAsiaTheme="minorEastAsia" w:cstheme="minorEastAsia"/>
                <w:b w:val="0"/>
                <w:bCs/>
                <w:snapToGrid w:val="0"/>
                <w:color w:val="auto"/>
                <w:sz w:val="21"/>
                <w:szCs w:val="21"/>
                <w:highlight w:val="none"/>
              </w:rPr>
              <w:t>项目组其他成员每有一名高级职称人员得1分，最高得3分。</w:t>
            </w:r>
          </w:p>
          <w:p>
            <w:pPr>
              <w:autoSpaceDE w:val="0"/>
              <w:autoSpaceDN w:val="0"/>
              <w:adjustRightInd w:val="0"/>
              <w:spacing w:line="240" w:lineRule="exac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shd w:val="clear" w:color="auto" w:fill="FFFFFF"/>
                <w:lang w:val="zh-CN"/>
              </w:rPr>
              <w:t>【</w:t>
            </w:r>
            <w:r>
              <w:rPr>
                <w:rFonts w:hint="eastAsia" w:asciiTheme="minorEastAsia" w:hAnsiTheme="minorEastAsia" w:eastAsiaTheme="minorEastAsia" w:cstheme="minorEastAsia"/>
                <w:b w:val="0"/>
                <w:bCs/>
                <w:color w:val="auto"/>
                <w:sz w:val="21"/>
                <w:szCs w:val="21"/>
                <w:highlight w:val="none"/>
                <w:shd w:val="clear" w:color="auto" w:fill="FFFFFF"/>
              </w:rPr>
              <w:t>标书内附</w:t>
            </w:r>
            <w:r>
              <w:rPr>
                <w:rFonts w:hint="eastAsia" w:asciiTheme="minorEastAsia" w:hAnsiTheme="minorEastAsia" w:eastAsiaTheme="minorEastAsia" w:cstheme="minorEastAsia"/>
                <w:b w:val="0"/>
                <w:bCs/>
                <w:color w:val="auto"/>
                <w:sz w:val="21"/>
                <w:szCs w:val="21"/>
                <w:highlight w:val="none"/>
              </w:rPr>
              <w:t>相关证书的扫描件并加盖公章。</w:t>
            </w:r>
            <w:r>
              <w:rPr>
                <w:rFonts w:hint="eastAsia" w:asciiTheme="minorEastAsia" w:hAnsiTheme="minorEastAsia" w:eastAsiaTheme="minorEastAsia" w:cstheme="minorEastAsia"/>
                <w:b w:val="0"/>
                <w:bCs/>
                <w:color w:val="auto"/>
                <w:sz w:val="21"/>
                <w:szCs w:val="21"/>
                <w:highlight w:val="none"/>
              </w:rPr>
              <w:t>否则不计分</w:t>
            </w:r>
            <w:r>
              <w:rPr>
                <w:rFonts w:hint="eastAsia" w:asciiTheme="minorEastAsia" w:hAnsiTheme="minorEastAsia" w:eastAsiaTheme="minorEastAsia" w:cstheme="minorEastAsia"/>
                <w:b w:val="0"/>
                <w:bCs/>
                <w:color w:val="auto"/>
                <w:sz w:val="21"/>
                <w:szCs w:val="21"/>
                <w:highlight w:val="none"/>
                <w:shd w:val="clear" w:color="auto" w:fill="FFFFFF"/>
                <w:lang w:val="zh-CN"/>
              </w:rPr>
              <w:t>】</w:t>
            </w:r>
          </w:p>
        </w:tc>
      </w:tr>
      <w:tr>
        <w:tblPrEx>
          <w:tblCellMar>
            <w:top w:w="0" w:type="dxa"/>
            <w:left w:w="0" w:type="dxa"/>
            <w:bottom w:w="0" w:type="dxa"/>
            <w:right w:w="0" w:type="dxa"/>
          </w:tblCellMar>
        </w:tblPrEx>
        <w:trPr>
          <w:trHeight w:val="981" w:hRule="atLeast"/>
        </w:trPr>
        <w:tc>
          <w:tcPr>
            <w:tcW w:w="392" w:type="dxa"/>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信誉及认证</w:t>
            </w:r>
          </w:p>
        </w:tc>
        <w:tc>
          <w:tcPr>
            <w:tcW w:w="532" w:type="dxa"/>
            <w:vMerge w:val="restart"/>
            <w:tcBorders>
              <w:top w:val="single" w:color="000000" w:sz="8" w:space="0"/>
              <w:left w:val="single" w:color="000000" w:sz="8" w:space="0"/>
              <w:right w:val="single" w:color="000000" w:sz="8" w:space="0"/>
            </w:tcBorders>
            <w:shd w:val="clear" w:color="auto" w:fill="FFFFFF"/>
            <w:noWrap w:val="0"/>
            <w:vAlign w:val="center"/>
          </w:tcPr>
          <w:p>
            <w:pPr>
              <w:snapToGrid w:val="0"/>
              <w:spacing w:line="280" w:lineRule="exact"/>
              <w:ind w:left="-105" w:leftChars="-50" w:right="-105" w:rightChars="-50"/>
              <w:jc w:val="center"/>
              <w:rPr>
                <w:rFonts w:hint="eastAsia" w:asciiTheme="minorEastAsia" w:hAnsiTheme="minorEastAsia" w:eastAsiaTheme="minorEastAsia" w:cstheme="minorEastAsia"/>
                <w:b w:val="0"/>
                <w:bCs/>
                <w:color w:val="auto"/>
                <w:spacing w:val="6"/>
                <w:sz w:val="21"/>
                <w:szCs w:val="21"/>
                <w:highlight w:val="none"/>
              </w:rPr>
            </w:pPr>
            <w:r>
              <w:rPr>
                <w:rFonts w:hint="eastAsia" w:asciiTheme="minorEastAsia" w:hAnsiTheme="minorEastAsia" w:eastAsiaTheme="minorEastAsia" w:cstheme="minorEastAsia"/>
                <w:b w:val="0"/>
                <w:bCs/>
                <w:color w:val="auto"/>
                <w:sz w:val="21"/>
                <w:szCs w:val="21"/>
                <w:highlight w:val="none"/>
              </w:rPr>
              <w:t>5</w:t>
            </w:r>
          </w:p>
        </w:tc>
        <w:tc>
          <w:tcPr>
            <w:tcW w:w="52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软件企业认定证书、</w:t>
            </w:r>
            <w:r>
              <w:rPr>
                <w:rFonts w:hint="eastAsia" w:asciiTheme="minorEastAsia" w:hAnsiTheme="minorEastAsia" w:eastAsiaTheme="minorEastAsia" w:cstheme="minorEastAsia"/>
                <w:b w:val="0"/>
                <w:bCs/>
                <w:color w:val="auto"/>
                <w:sz w:val="21"/>
                <w:szCs w:val="21"/>
                <w:highlight w:val="none"/>
              </w:rPr>
              <w:t>具备CMMI3及以上、ISO27001资质认证，每提供1项得1分，最多得3分。</w:t>
            </w:r>
          </w:p>
          <w:p>
            <w:pPr>
              <w:snapToGrid w:val="0"/>
              <w:spacing w:line="280" w:lineRule="exact"/>
              <w:rPr>
                <w:rFonts w:hint="eastAsia" w:asciiTheme="minorEastAsia" w:hAnsiTheme="minorEastAsia" w:eastAsiaTheme="minorEastAsia" w:cstheme="minorEastAsia"/>
                <w:b w:val="0"/>
                <w:bCs/>
                <w:color w:val="auto"/>
                <w:spacing w:val="6"/>
                <w:sz w:val="21"/>
                <w:szCs w:val="21"/>
                <w:highlight w:val="none"/>
              </w:rPr>
            </w:pPr>
            <w:r>
              <w:rPr>
                <w:rFonts w:hint="eastAsia" w:asciiTheme="minorEastAsia" w:hAnsiTheme="minorEastAsia" w:eastAsiaTheme="minorEastAsia" w:cstheme="minorEastAsia"/>
                <w:b w:val="0"/>
                <w:bCs/>
                <w:color w:val="auto"/>
                <w:sz w:val="21"/>
                <w:szCs w:val="21"/>
                <w:highlight w:val="none"/>
                <w:shd w:val="clear" w:color="auto" w:fill="FFFFFF"/>
                <w:lang w:val="zh-CN"/>
              </w:rPr>
              <w:t>【</w:t>
            </w:r>
            <w:r>
              <w:rPr>
                <w:rFonts w:hint="eastAsia" w:asciiTheme="minorEastAsia" w:hAnsiTheme="minorEastAsia" w:eastAsiaTheme="minorEastAsia" w:cstheme="minorEastAsia"/>
                <w:b w:val="0"/>
                <w:bCs/>
                <w:color w:val="auto"/>
                <w:sz w:val="21"/>
                <w:szCs w:val="21"/>
                <w:highlight w:val="none"/>
                <w:shd w:val="clear" w:color="auto" w:fill="FFFFFF"/>
              </w:rPr>
              <w:t>标书内附</w:t>
            </w:r>
            <w:r>
              <w:rPr>
                <w:rFonts w:hint="eastAsia" w:asciiTheme="minorEastAsia" w:hAnsiTheme="minorEastAsia" w:eastAsiaTheme="minorEastAsia" w:cstheme="minorEastAsia"/>
                <w:b w:val="0"/>
                <w:bCs/>
                <w:color w:val="auto"/>
                <w:sz w:val="21"/>
                <w:szCs w:val="21"/>
                <w:highlight w:val="none"/>
              </w:rPr>
              <w:t>相关证书的扫描件并加盖公章。</w:t>
            </w:r>
            <w:r>
              <w:rPr>
                <w:rFonts w:hint="eastAsia" w:asciiTheme="minorEastAsia" w:hAnsiTheme="minorEastAsia" w:eastAsiaTheme="minorEastAsia" w:cstheme="minorEastAsia"/>
                <w:b w:val="0"/>
                <w:bCs/>
                <w:color w:val="auto"/>
                <w:sz w:val="21"/>
                <w:szCs w:val="21"/>
                <w:highlight w:val="none"/>
              </w:rPr>
              <w:t>否则不计分</w:t>
            </w:r>
            <w:r>
              <w:rPr>
                <w:rFonts w:hint="eastAsia" w:asciiTheme="minorEastAsia" w:hAnsiTheme="minorEastAsia" w:eastAsiaTheme="minorEastAsia" w:cstheme="minorEastAsia"/>
                <w:b w:val="0"/>
                <w:bCs/>
                <w:color w:val="auto"/>
                <w:sz w:val="21"/>
                <w:szCs w:val="21"/>
                <w:highlight w:val="none"/>
                <w:shd w:val="clear" w:color="auto" w:fill="FFFFFF"/>
                <w:lang w:val="zh-CN"/>
              </w:rPr>
              <w:t>】</w:t>
            </w:r>
          </w:p>
        </w:tc>
      </w:tr>
      <w:tr>
        <w:tblPrEx>
          <w:tblCellMar>
            <w:top w:w="0" w:type="dxa"/>
            <w:left w:w="0" w:type="dxa"/>
            <w:bottom w:w="0" w:type="dxa"/>
            <w:right w:w="0" w:type="dxa"/>
          </w:tblCellMar>
        </w:tblPrEx>
        <w:trPr>
          <w:trHeight w:val="981" w:hRule="atLeast"/>
        </w:trPr>
        <w:tc>
          <w:tcPr>
            <w:tcW w:w="392" w:type="dxa"/>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tc>
        <w:tc>
          <w:tcPr>
            <w:tcW w:w="532" w:type="dxa"/>
            <w:vMerge w:val="continue"/>
            <w:tcBorders>
              <w:left w:val="single" w:color="000000" w:sz="8" w:space="0"/>
              <w:bottom w:val="single" w:color="000000" w:sz="8" w:space="0"/>
              <w:right w:val="single" w:color="000000" w:sz="8" w:space="0"/>
            </w:tcBorders>
            <w:shd w:val="clear" w:color="auto" w:fill="FFFFFF"/>
            <w:noWrap w:val="0"/>
            <w:vAlign w:val="center"/>
          </w:tcPr>
          <w:p>
            <w:pPr>
              <w:snapToGrid w:val="0"/>
              <w:spacing w:line="280" w:lineRule="exact"/>
              <w:ind w:left="-105" w:leftChars="-50" w:right="-105" w:rightChars="-50"/>
              <w:jc w:val="center"/>
              <w:rPr>
                <w:rFonts w:hint="eastAsia" w:asciiTheme="minorEastAsia" w:hAnsiTheme="minorEastAsia" w:eastAsiaTheme="minorEastAsia" w:cstheme="minorEastAsia"/>
                <w:b w:val="0"/>
                <w:bCs/>
                <w:color w:val="auto"/>
                <w:sz w:val="21"/>
                <w:szCs w:val="21"/>
                <w:highlight w:val="none"/>
              </w:rPr>
            </w:pPr>
          </w:p>
        </w:tc>
        <w:tc>
          <w:tcPr>
            <w:tcW w:w="52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供应商拟为本项目提供对电子文档采用加密技术及解密技术，保证文档的安全性得2分，没有不得分</w:t>
            </w:r>
          </w:p>
          <w:p>
            <w:pPr>
              <w:pStyle w:val="2"/>
              <w:snapToGrid w:val="0"/>
              <w:spacing w:line="240" w:lineRule="auto"/>
              <w:ind w:firstLine="0" w:firstLineChars="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rPr>
              <w:t>【提供省级以上部门出具的电子文档的加解密方法的证书复印件并加盖公章】</w:t>
            </w:r>
          </w:p>
        </w:tc>
      </w:tr>
      <w:tr>
        <w:tblPrEx>
          <w:tblCellMar>
            <w:top w:w="0" w:type="dxa"/>
            <w:left w:w="0" w:type="dxa"/>
            <w:bottom w:w="0" w:type="dxa"/>
            <w:right w:w="0" w:type="dxa"/>
          </w:tblCellMar>
        </w:tblPrEx>
        <w:trPr>
          <w:trHeight w:val="571" w:hRule="atLeast"/>
        </w:trPr>
        <w:tc>
          <w:tcPr>
            <w:tcW w:w="392" w:type="dxa"/>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售后服务及培训方案</w:t>
            </w:r>
          </w:p>
        </w:tc>
        <w:tc>
          <w:tcPr>
            <w:tcW w:w="5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8</w:t>
            </w:r>
          </w:p>
        </w:tc>
        <w:tc>
          <w:tcPr>
            <w:tcW w:w="52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根据售后服务及培训方案，满足采购人的程度：</w:t>
            </w:r>
          </w:p>
          <w:p>
            <w:pPr>
              <w:autoSpaceDE w:val="0"/>
              <w:autoSpaceDN w:val="0"/>
              <w:adjustRightInd w:val="0"/>
              <w:spacing w:line="240" w:lineRule="exact"/>
              <w:rPr>
                <w:rFonts w:hint="eastAsia" w:asciiTheme="minorEastAsia" w:hAnsiTheme="minorEastAsia" w:eastAsiaTheme="minorEastAsia" w:cstheme="minorEastAsia"/>
                <w:b w:val="0"/>
                <w:bCs/>
                <w:snapToGrid w:val="0"/>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满意7-8分，较好4-6分，一般1-3分。</w:t>
            </w:r>
          </w:p>
        </w:tc>
      </w:tr>
      <w:tr>
        <w:tblPrEx>
          <w:tblCellMar>
            <w:top w:w="0" w:type="dxa"/>
            <w:left w:w="0" w:type="dxa"/>
            <w:bottom w:w="0" w:type="dxa"/>
            <w:right w:w="0" w:type="dxa"/>
          </w:tblCellMar>
        </w:tblPrEx>
        <w:trPr>
          <w:trHeight w:val="90" w:hRule="atLeast"/>
        </w:trPr>
        <w:tc>
          <w:tcPr>
            <w:tcW w:w="392" w:type="dxa"/>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免费运维期限</w:t>
            </w:r>
          </w:p>
        </w:tc>
        <w:tc>
          <w:tcPr>
            <w:tcW w:w="5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w:t>
            </w:r>
          </w:p>
        </w:tc>
        <w:tc>
          <w:tcPr>
            <w:tcW w:w="52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满足最低免费服务期限要求基础上，每增加一年免费服务期得1分，最多得3分。</w:t>
            </w:r>
          </w:p>
        </w:tc>
      </w:tr>
      <w:tr>
        <w:tblPrEx>
          <w:tblCellMar>
            <w:top w:w="0" w:type="dxa"/>
            <w:left w:w="0" w:type="dxa"/>
            <w:bottom w:w="0" w:type="dxa"/>
            <w:right w:w="0" w:type="dxa"/>
          </w:tblCellMar>
        </w:tblPrEx>
        <w:trPr>
          <w:trHeight w:val="420" w:hRule="atLeast"/>
        </w:trPr>
        <w:tc>
          <w:tcPr>
            <w:tcW w:w="392"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优惠条件</w:t>
            </w:r>
          </w:p>
        </w:tc>
        <w:tc>
          <w:tcPr>
            <w:tcW w:w="5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w:t>
            </w:r>
          </w:p>
        </w:tc>
        <w:tc>
          <w:tcPr>
            <w:tcW w:w="52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采购人可接受的实质性优惠条件，每一条得1分，最高得3分。</w:t>
            </w:r>
          </w:p>
        </w:tc>
      </w:tr>
      <w:tr>
        <w:tblPrEx>
          <w:tblCellMar>
            <w:top w:w="0" w:type="dxa"/>
            <w:left w:w="0" w:type="dxa"/>
            <w:bottom w:w="0" w:type="dxa"/>
            <w:right w:w="0" w:type="dxa"/>
          </w:tblCellMar>
        </w:tblPrEx>
        <w:trPr>
          <w:trHeight w:val="1073" w:hRule="atLeast"/>
        </w:trPr>
        <w:tc>
          <w:tcPr>
            <w:tcW w:w="392" w:type="dxa"/>
            <w:vMerge w:val="restart"/>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2"/>
              <w:ind w:firstLine="0" w:firstLineChars="0"/>
              <w:jc w:val="center"/>
              <w:rPr>
                <w:rFonts w:hint="eastAsia" w:asciiTheme="minorEastAsia" w:hAnsiTheme="minorEastAsia" w:eastAsiaTheme="minorEastAsia" w:cstheme="minorEastAsia"/>
                <w:b w:val="0"/>
                <w:bCs/>
                <w:color w:val="auto"/>
                <w:sz w:val="21"/>
                <w:szCs w:val="21"/>
                <w:highlight w:val="none"/>
                <w:lang w:val="en-US"/>
              </w:rPr>
            </w:pPr>
            <w:r>
              <w:rPr>
                <w:rFonts w:hint="eastAsia" w:asciiTheme="minorEastAsia" w:hAnsiTheme="minorEastAsia" w:eastAsiaTheme="minorEastAsia" w:cstheme="minorEastAsia"/>
                <w:b w:val="0"/>
                <w:bCs/>
                <w:color w:val="auto"/>
                <w:sz w:val="21"/>
                <w:szCs w:val="21"/>
                <w:highlight w:val="none"/>
                <w:lang w:val="en-US"/>
              </w:rPr>
              <w:t>3</w:t>
            </w:r>
          </w:p>
        </w:tc>
        <w:tc>
          <w:tcPr>
            <w:tcW w:w="1133" w:type="dxa"/>
            <w:vMerge w:val="restart"/>
            <w:tcBorders>
              <w:top w:val="single" w:color="auto" w:sz="4" w:space="0"/>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技术</w:t>
            </w:r>
          </w:p>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部分</w:t>
            </w:r>
          </w:p>
          <w:p>
            <w:pPr>
              <w:pStyle w:val="2"/>
              <w:ind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val="en-US"/>
              </w:rPr>
              <w:t>40</w:t>
            </w:r>
            <w:r>
              <w:rPr>
                <w:rFonts w:hint="eastAsia" w:asciiTheme="minorEastAsia" w:hAnsiTheme="minorEastAsia" w:eastAsiaTheme="minorEastAsia" w:cstheme="minorEastAsia"/>
                <w:b w:val="0"/>
                <w:bCs/>
                <w:color w:val="auto"/>
                <w:sz w:val="21"/>
                <w:szCs w:val="21"/>
                <w:highlight w:val="none"/>
              </w:rPr>
              <w:t>分）</w:t>
            </w: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p>
          <w:p>
            <w:pPr>
              <w:pStyle w:val="2"/>
              <w:ind w:firstLine="420"/>
              <w:rPr>
                <w:rFonts w:hint="eastAsia" w:asciiTheme="minorEastAsia" w:hAnsiTheme="minorEastAsia" w:eastAsiaTheme="minorEastAsia" w:cstheme="minorEastAsia"/>
                <w:b w:val="0"/>
                <w:bCs/>
                <w:color w:val="auto"/>
                <w:sz w:val="21"/>
                <w:szCs w:val="21"/>
                <w:highlight w:val="none"/>
              </w:rPr>
            </w:pPr>
          </w:p>
          <w:p>
            <w:pPr>
              <w:pStyle w:val="2"/>
              <w:ind w:firstLine="420"/>
              <w:rPr>
                <w:rFonts w:hint="eastAsia" w:asciiTheme="minorEastAsia" w:hAnsiTheme="minorEastAsia" w:eastAsiaTheme="minorEastAsia" w:cstheme="minorEastAsia"/>
                <w:b w:val="0"/>
                <w:bCs/>
                <w:color w:val="auto"/>
                <w:sz w:val="21"/>
                <w:szCs w:val="21"/>
                <w:highlight w:val="none"/>
              </w:rPr>
            </w:pPr>
          </w:p>
          <w:p>
            <w:pPr>
              <w:pStyle w:val="2"/>
              <w:ind w:firstLine="0" w:firstLineChars="0"/>
              <w:rPr>
                <w:rFonts w:hint="eastAsia" w:asciiTheme="minorEastAsia" w:hAnsiTheme="minorEastAsia" w:eastAsiaTheme="minorEastAsia" w:cstheme="minorEastAsia"/>
                <w:b w:val="0"/>
                <w:bCs/>
                <w:color w:val="auto"/>
                <w:sz w:val="21"/>
                <w:szCs w:val="21"/>
                <w:highlight w:val="none"/>
              </w:rPr>
            </w:pPr>
          </w:p>
          <w:p>
            <w:pPr>
              <w:pStyle w:val="2"/>
              <w:ind w:firstLine="420"/>
              <w:rPr>
                <w:rFonts w:hint="eastAsia" w:asciiTheme="minorEastAsia" w:hAnsiTheme="minorEastAsia" w:eastAsiaTheme="minorEastAsia" w:cstheme="minorEastAsia"/>
                <w:b w:val="0"/>
                <w:bCs/>
                <w:color w:val="auto"/>
                <w:sz w:val="21"/>
                <w:szCs w:val="21"/>
                <w:highlight w:val="none"/>
              </w:rPr>
            </w:pPr>
          </w:p>
          <w:p>
            <w:pPr>
              <w:pStyle w:val="2"/>
              <w:ind w:firstLine="0" w:firstLineChars="0"/>
              <w:rPr>
                <w:rFonts w:hint="eastAsia" w:asciiTheme="minorEastAsia" w:hAnsiTheme="minorEastAsia" w:eastAsiaTheme="minorEastAsia" w:cstheme="minorEastAsia"/>
                <w:b w:val="0"/>
                <w:bCs/>
                <w:color w:val="auto"/>
                <w:sz w:val="21"/>
                <w:szCs w:val="21"/>
                <w:highlight w:val="none"/>
              </w:rPr>
            </w:pPr>
          </w:p>
          <w:p>
            <w:pPr>
              <w:pStyle w:val="2"/>
              <w:ind w:firstLine="0" w:firstLineChars="0"/>
              <w:jc w:val="center"/>
              <w:rPr>
                <w:rFonts w:hint="eastAsia" w:asciiTheme="minorEastAsia" w:hAnsiTheme="minorEastAsia" w:eastAsiaTheme="minorEastAsia" w:cstheme="minorEastAsia"/>
                <w:b w:val="0"/>
                <w:bCs/>
                <w:color w:val="auto"/>
                <w:sz w:val="21"/>
                <w:szCs w:val="21"/>
                <w:highlight w:val="none"/>
              </w:rPr>
            </w:pPr>
          </w:p>
          <w:p>
            <w:pPr>
              <w:pStyle w:val="2"/>
              <w:ind w:firstLine="0" w:firstLineChars="0"/>
              <w:jc w:val="center"/>
              <w:rPr>
                <w:rFonts w:hint="eastAsia" w:asciiTheme="minorEastAsia" w:hAnsiTheme="minorEastAsia" w:eastAsiaTheme="minorEastAsia" w:cstheme="minorEastAsia"/>
                <w:b w:val="0"/>
                <w:bCs/>
                <w:color w:val="auto"/>
                <w:sz w:val="21"/>
                <w:szCs w:val="21"/>
                <w:highlight w:val="none"/>
              </w:rPr>
            </w:pPr>
          </w:p>
          <w:p>
            <w:pPr>
              <w:pStyle w:val="2"/>
              <w:ind w:firstLine="0" w:firstLineChars="0"/>
              <w:jc w:val="center"/>
              <w:rPr>
                <w:rFonts w:hint="eastAsia" w:asciiTheme="minorEastAsia" w:hAnsiTheme="minorEastAsia" w:eastAsiaTheme="minorEastAsia" w:cstheme="minorEastAsia"/>
                <w:b w:val="0"/>
                <w:bCs/>
                <w:color w:val="auto"/>
                <w:sz w:val="21"/>
                <w:szCs w:val="21"/>
                <w:highlight w:val="none"/>
              </w:rPr>
            </w:pPr>
          </w:p>
          <w:p>
            <w:pPr>
              <w:pStyle w:val="2"/>
              <w:ind w:firstLine="0" w:firstLineChars="0"/>
              <w:jc w:val="center"/>
              <w:rPr>
                <w:rFonts w:hint="eastAsia" w:asciiTheme="minorEastAsia" w:hAnsiTheme="minorEastAsia" w:eastAsiaTheme="minorEastAsia" w:cstheme="minorEastAsia"/>
                <w:b w:val="0"/>
                <w:bCs/>
                <w:color w:val="auto"/>
                <w:sz w:val="21"/>
                <w:szCs w:val="21"/>
                <w:highlight w:val="none"/>
              </w:rPr>
            </w:pPr>
          </w:p>
          <w:p>
            <w:pPr>
              <w:pStyle w:val="2"/>
              <w:ind w:firstLine="0" w:firstLineChars="0"/>
              <w:jc w:val="center"/>
              <w:rPr>
                <w:rFonts w:hint="eastAsia" w:asciiTheme="minorEastAsia" w:hAnsiTheme="minorEastAsia" w:eastAsiaTheme="minorEastAsia" w:cstheme="minorEastAsia"/>
                <w:b w:val="0"/>
                <w:bCs/>
                <w:color w:val="auto"/>
                <w:sz w:val="21"/>
                <w:szCs w:val="21"/>
                <w:highlight w:val="none"/>
              </w:rPr>
            </w:pPr>
          </w:p>
          <w:p>
            <w:pPr>
              <w:pStyle w:val="2"/>
              <w:ind w:firstLine="0" w:firstLineChars="0"/>
              <w:jc w:val="center"/>
              <w:rPr>
                <w:rFonts w:hint="eastAsia" w:asciiTheme="minorEastAsia" w:hAnsiTheme="minorEastAsia" w:eastAsiaTheme="minorEastAsia" w:cstheme="minorEastAsia"/>
                <w:b w:val="0"/>
                <w:bCs/>
                <w:color w:val="auto"/>
                <w:sz w:val="21"/>
                <w:szCs w:val="21"/>
                <w:highlight w:val="none"/>
              </w:rPr>
            </w:pPr>
          </w:p>
          <w:p>
            <w:pPr>
              <w:pStyle w:val="2"/>
              <w:ind w:firstLine="0" w:firstLineChars="0"/>
              <w:jc w:val="center"/>
              <w:rPr>
                <w:rFonts w:hint="eastAsia" w:asciiTheme="minorEastAsia" w:hAnsiTheme="minorEastAsia" w:eastAsiaTheme="minorEastAsia" w:cstheme="minorEastAsia"/>
                <w:b w:val="0"/>
                <w:bCs/>
                <w:color w:val="auto"/>
                <w:sz w:val="21"/>
                <w:szCs w:val="21"/>
                <w:highlight w:val="none"/>
              </w:rPr>
            </w:pPr>
          </w:p>
          <w:p>
            <w:pPr>
              <w:pStyle w:val="2"/>
              <w:ind w:firstLine="0" w:firstLineChars="0"/>
              <w:jc w:val="center"/>
              <w:rPr>
                <w:rFonts w:hint="eastAsia" w:asciiTheme="minorEastAsia" w:hAnsiTheme="minorEastAsia" w:eastAsiaTheme="minorEastAsia" w:cstheme="minorEastAsia"/>
                <w:b w:val="0"/>
                <w:bCs/>
                <w:color w:val="auto"/>
                <w:sz w:val="21"/>
                <w:szCs w:val="21"/>
                <w:highlight w:val="none"/>
              </w:rPr>
            </w:pPr>
          </w:p>
          <w:p>
            <w:pPr>
              <w:pStyle w:val="2"/>
              <w:ind w:firstLine="0" w:firstLineChars="0"/>
              <w:jc w:val="center"/>
              <w:rPr>
                <w:rFonts w:hint="eastAsia" w:asciiTheme="minorEastAsia" w:hAnsiTheme="minorEastAsia" w:eastAsiaTheme="minorEastAsia" w:cstheme="minorEastAsia"/>
                <w:b w:val="0"/>
                <w:bCs/>
                <w:color w:val="auto"/>
                <w:sz w:val="21"/>
                <w:szCs w:val="21"/>
                <w:highlight w:val="none"/>
              </w:rPr>
            </w:pPr>
          </w:p>
          <w:p>
            <w:pPr>
              <w:pStyle w:val="2"/>
              <w:ind w:firstLine="0" w:firstLineChars="0"/>
              <w:jc w:val="center"/>
              <w:rPr>
                <w:rFonts w:hint="eastAsia" w:asciiTheme="minorEastAsia" w:hAnsiTheme="minorEastAsia" w:eastAsiaTheme="minorEastAsia" w:cstheme="minorEastAsia"/>
                <w:b w:val="0"/>
                <w:bCs/>
                <w:color w:val="auto"/>
                <w:sz w:val="21"/>
                <w:szCs w:val="21"/>
                <w:highlight w:val="none"/>
              </w:rPr>
            </w:pPr>
          </w:p>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技术</w:t>
            </w:r>
          </w:p>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部分</w:t>
            </w:r>
          </w:p>
          <w:p>
            <w:pPr>
              <w:pStyle w:val="2"/>
              <w:ind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val="en-US"/>
              </w:rPr>
              <w:t>40</w:t>
            </w:r>
            <w:r>
              <w:rPr>
                <w:rFonts w:hint="eastAsia" w:asciiTheme="minorEastAsia" w:hAnsiTheme="minorEastAsia" w:eastAsiaTheme="minorEastAsia" w:cstheme="minorEastAsia"/>
                <w:b w:val="0"/>
                <w:bCs/>
                <w:color w:val="auto"/>
                <w:sz w:val="21"/>
                <w:szCs w:val="21"/>
                <w:highlight w:val="none"/>
              </w:rPr>
              <w:t>分）</w:t>
            </w:r>
          </w:p>
        </w:tc>
        <w:tc>
          <w:tcPr>
            <w:tcW w:w="1646" w:type="dxa"/>
            <w:gridSpan w:val="2"/>
            <w:vMerge w:val="restart"/>
            <w:tcBorders>
              <w:top w:val="single" w:color="000000" w:sz="8" w:space="0"/>
              <w:left w:val="single" w:color="000000" w:sz="8" w:space="0"/>
              <w:right w:val="single" w:color="000000" w:sz="8" w:space="0"/>
            </w:tcBorders>
            <w:shd w:val="clear" w:color="auto" w:fill="FFFFFF"/>
            <w:noWrap w:val="0"/>
            <w:vAlign w:val="center"/>
          </w:tcPr>
          <w:p>
            <w:pPr>
              <w:pStyle w:val="2"/>
              <w:ind w:firstLine="420"/>
              <w:rPr>
                <w:rFonts w:hint="eastAsia" w:asciiTheme="minorEastAsia" w:hAnsiTheme="minorEastAsia" w:eastAsiaTheme="minorEastAsia" w:cstheme="minorEastAsia"/>
                <w:b w:val="0"/>
                <w:bCs/>
                <w:color w:val="auto"/>
                <w:kern w:val="2"/>
                <w:sz w:val="21"/>
                <w:szCs w:val="21"/>
                <w:highlight w:val="none"/>
                <w:lang w:val="en-US"/>
              </w:rPr>
            </w:pPr>
          </w:p>
          <w:p>
            <w:pPr>
              <w:pStyle w:val="2"/>
              <w:snapToGrid w:val="0"/>
              <w:spacing w:line="240" w:lineRule="auto"/>
              <w:ind w:firstLine="0" w:firstLineChars="0"/>
              <w:jc w:val="left"/>
              <w:rPr>
                <w:rFonts w:hint="eastAsia" w:asciiTheme="minorEastAsia" w:hAnsiTheme="minorEastAsia" w:eastAsiaTheme="minorEastAsia" w:cstheme="minorEastAsia"/>
                <w:b w:val="0"/>
                <w:bCs/>
                <w:color w:val="auto"/>
                <w:kern w:val="2"/>
                <w:sz w:val="21"/>
                <w:szCs w:val="21"/>
                <w:highlight w:val="none"/>
                <w:lang w:val="en-US"/>
              </w:rPr>
            </w:pPr>
            <w:r>
              <w:rPr>
                <w:rFonts w:hint="eastAsia" w:asciiTheme="minorEastAsia" w:hAnsiTheme="minorEastAsia" w:eastAsiaTheme="minorEastAsia" w:cstheme="minorEastAsia"/>
                <w:b w:val="0"/>
                <w:bCs/>
                <w:color w:val="auto"/>
                <w:kern w:val="2"/>
                <w:sz w:val="21"/>
                <w:szCs w:val="21"/>
                <w:highlight w:val="none"/>
                <w:lang w:val="en-US"/>
              </w:rPr>
              <w:t>功能需求满足度（28分）</w:t>
            </w:r>
          </w:p>
          <w:p>
            <w:pPr>
              <w:autoSpaceDE w:val="0"/>
              <w:autoSpaceDN w:val="0"/>
              <w:adjustRightInd w:val="0"/>
              <w:spacing w:line="240" w:lineRule="exact"/>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p>
          <w:p>
            <w:pPr>
              <w:pStyle w:val="2"/>
              <w:ind w:firstLine="420"/>
              <w:rPr>
                <w:rFonts w:hint="eastAsia" w:asciiTheme="minorEastAsia" w:hAnsiTheme="minorEastAsia" w:eastAsiaTheme="minorEastAsia" w:cstheme="minorEastAsia"/>
                <w:b w:val="0"/>
                <w:bCs/>
                <w:color w:val="auto"/>
                <w:kern w:val="2"/>
                <w:sz w:val="21"/>
                <w:szCs w:val="21"/>
                <w:highlight w:val="none"/>
                <w:lang w:val="en-US"/>
              </w:rPr>
            </w:pPr>
          </w:p>
          <w:p>
            <w:pPr>
              <w:pStyle w:val="2"/>
              <w:ind w:firstLine="420"/>
              <w:rPr>
                <w:rFonts w:hint="eastAsia" w:asciiTheme="minorEastAsia" w:hAnsiTheme="minorEastAsia" w:eastAsiaTheme="minorEastAsia" w:cstheme="minorEastAsia"/>
                <w:b w:val="0"/>
                <w:bCs/>
                <w:color w:val="auto"/>
                <w:kern w:val="2"/>
                <w:sz w:val="21"/>
                <w:szCs w:val="21"/>
                <w:highlight w:val="none"/>
                <w:lang w:val="en-US"/>
              </w:rPr>
            </w:pPr>
          </w:p>
          <w:p>
            <w:pPr>
              <w:pStyle w:val="2"/>
              <w:ind w:firstLine="420"/>
              <w:rPr>
                <w:rFonts w:hint="eastAsia" w:asciiTheme="minorEastAsia" w:hAnsiTheme="minorEastAsia" w:eastAsiaTheme="minorEastAsia" w:cstheme="minorEastAsia"/>
                <w:b w:val="0"/>
                <w:bCs/>
                <w:color w:val="auto"/>
                <w:kern w:val="2"/>
                <w:sz w:val="21"/>
                <w:szCs w:val="21"/>
                <w:highlight w:val="none"/>
                <w:lang w:val="en-US"/>
              </w:rPr>
            </w:pPr>
          </w:p>
          <w:p>
            <w:pPr>
              <w:pStyle w:val="2"/>
              <w:ind w:firstLine="420"/>
              <w:rPr>
                <w:rFonts w:hint="eastAsia" w:asciiTheme="minorEastAsia" w:hAnsiTheme="minorEastAsia" w:eastAsiaTheme="minorEastAsia" w:cstheme="minorEastAsia"/>
                <w:b w:val="0"/>
                <w:bCs/>
                <w:color w:val="auto"/>
                <w:kern w:val="2"/>
                <w:sz w:val="21"/>
                <w:szCs w:val="21"/>
                <w:highlight w:val="none"/>
                <w:lang w:val="en-US"/>
              </w:rPr>
            </w:pPr>
          </w:p>
          <w:p>
            <w:pPr>
              <w:pStyle w:val="2"/>
              <w:ind w:firstLine="420"/>
              <w:rPr>
                <w:rFonts w:hint="eastAsia" w:asciiTheme="minorEastAsia" w:hAnsiTheme="minorEastAsia" w:eastAsiaTheme="minorEastAsia" w:cstheme="minorEastAsia"/>
                <w:b w:val="0"/>
                <w:bCs/>
                <w:color w:val="auto"/>
                <w:kern w:val="2"/>
                <w:sz w:val="21"/>
                <w:szCs w:val="21"/>
                <w:highlight w:val="none"/>
                <w:lang w:val="en-US"/>
              </w:rPr>
            </w:pPr>
          </w:p>
          <w:p>
            <w:pPr>
              <w:pStyle w:val="2"/>
              <w:ind w:firstLine="420"/>
              <w:rPr>
                <w:rFonts w:hint="eastAsia" w:asciiTheme="minorEastAsia" w:hAnsiTheme="minorEastAsia" w:eastAsiaTheme="minorEastAsia" w:cstheme="minorEastAsia"/>
                <w:b w:val="0"/>
                <w:bCs/>
                <w:color w:val="auto"/>
                <w:kern w:val="2"/>
                <w:sz w:val="21"/>
                <w:szCs w:val="21"/>
                <w:highlight w:val="none"/>
                <w:lang w:val="en-US"/>
              </w:rPr>
            </w:pPr>
          </w:p>
          <w:p>
            <w:pPr>
              <w:pStyle w:val="2"/>
              <w:ind w:firstLine="420"/>
              <w:rPr>
                <w:rFonts w:hint="eastAsia" w:asciiTheme="minorEastAsia" w:hAnsiTheme="minorEastAsia" w:eastAsiaTheme="minorEastAsia" w:cstheme="minorEastAsia"/>
                <w:b w:val="0"/>
                <w:bCs/>
                <w:color w:val="auto"/>
                <w:kern w:val="2"/>
                <w:sz w:val="21"/>
                <w:szCs w:val="21"/>
                <w:highlight w:val="none"/>
                <w:lang w:val="en-US"/>
              </w:rPr>
            </w:pPr>
          </w:p>
          <w:p>
            <w:pPr>
              <w:pStyle w:val="2"/>
              <w:ind w:firstLine="0" w:firstLineChars="0"/>
              <w:rPr>
                <w:rFonts w:hint="eastAsia" w:asciiTheme="minorEastAsia" w:hAnsiTheme="minorEastAsia" w:eastAsiaTheme="minorEastAsia" w:cstheme="minorEastAsia"/>
                <w:b w:val="0"/>
                <w:bCs/>
                <w:color w:val="auto"/>
                <w:kern w:val="2"/>
                <w:sz w:val="21"/>
                <w:szCs w:val="21"/>
                <w:highlight w:val="none"/>
                <w:lang w:val="en-US"/>
              </w:rPr>
            </w:pPr>
          </w:p>
          <w:p>
            <w:pPr>
              <w:pStyle w:val="2"/>
              <w:ind w:firstLine="0" w:firstLineChars="0"/>
              <w:rPr>
                <w:rFonts w:hint="eastAsia" w:asciiTheme="minorEastAsia" w:hAnsiTheme="minorEastAsia" w:eastAsiaTheme="minorEastAsia" w:cstheme="minorEastAsia"/>
                <w:b w:val="0"/>
                <w:bCs/>
                <w:color w:val="auto"/>
                <w:kern w:val="2"/>
                <w:sz w:val="21"/>
                <w:szCs w:val="21"/>
                <w:highlight w:val="none"/>
                <w:lang w:val="en-US"/>
              </w:rPr>
            </w:pPr>
          </w:p>
          <w:p>
            <w:pPr>
              <w:pStyle w:val="2"/>
              <w:ind w:firstLine="0" w:firstLineChars="0"/>
              <w:rPr>
                <w:rFonts w:hint="eastAsia" w:asciiTheme="minorEastAsia" w:hAnsiTheme="minorEastAsia" w:eastAsiaTheme="minorEastAsia" w:cstheme="minorEastAsia"/>
                <w:b w:val="0"/>
                <w:bCs/>
                <w:color w:val="auto"/>
                <w:kern w:val="2"/>
                <w:sz w:val="21"/>
                <w:szCs w:val="21"/>
                <w:highlight w:val="none"/>
                <w:lang w:val="en-US"/>
              </w:rPr>
            </w:pPr>
          </w:p>
          <w:p>
            <w:pPr>
              <w:pStyle w:val="2"/>
              <w:ind w:firstLine="0" w:firstLineChars="0"/>
              <w:rPr>
                <w:rFonts w:hint="eastAsia" w:asciiTheme="minorEastAsia" w:hAnsiTheme="minorEastAsia" w:eastAsiaTheme="minorEastAsia" w:cstheme="minorEastAsia"/>
                <w:b w:val="0"/>
                <w:bCs/>
                <w:color w:val="auto"/>
                <w:kern w:val="2"/>
                <w:sz w:val="21"/>
                <w:szCs w:val="21"/>
                <w:highlight w:val="none"/>
                <w:lang w:val="en-US"/>
              </w:rPr>
            </w:pPr>
          </w:p>
          <w:p>
            <w:pPr>
              <w:pStyle w:val="2"/>
              <w:ind w:firstLine="0" w:firstLineChars="0"/>
              <w:rPr>
                <w:rFonts w:hint="eastAsia" w:asciiTheme="minorEastAsia" w:hAnsiTheme="minorEastAsia" w:eastAsiaTheme="minorEastAsia" w:cstheme="minorEastAsia"/>
                <w:b w:val="0"/>
                <w:bCs/>
                <w:color w:val="auto"/>
                <w:kern w:val="2"/>
                <w:sz w:val="21"/>
                <w:szCs w:val="21"/>
                <w:highlight w:val="none"/>
                <w:lang w:val="en-US"/>
              </w:rPr>
            </w:pPr>
          </w:p>
          <w:p>
            <w:pPr>
              <w:pStyle w:val="2"/>
              <w:ind w:firstLine="0" w:firstLineChars="0"/>
              <w:rPr>
                <w:rFonts w:hint="eastAsia" w:asciiTheme="minorEastAsia" w:hAnsiTheme="minorEastAsia" w:eastAsiaTheme="minorEastAsia" w:cstheme="minorEastAsia"/>
                <w:b w:val="0"/>
                <w:bCs/>
                <w:color w:val="auto"/>
                <w:kern w:val="2"/>
                <w:sz w:val="21"/>
                <w:szCs w:val="21"/>
                <w:highlight w:val="none"/>
                <w:lang w:val="en-US"/>
              </w:rPr>
            </w:pPr>
          </w:p>
          <w:p>
            <w:pPr>
              <w:pStyle w:val="2"/>
              <w:ind w:firstLine="420"/>
              <w:rPr>
                <w:rFonts w:hint="eastAsia" w:asciiTheme="minorEastAsia" w:hAnsiTheme="minorEastAsia" w:eastAsiaTheme="minorEastAsia" w:cstheme="minorEastAsia"/>
                <w:b w:val="0"/>
                <w:bCs/>
                <w:color w:val="auto"/>
                <w:kern w:val="2"/>
                <w:sz w:val="21"/>
                <w:szCs w:val="21"/>
                <w:highlight w:val="none"/>
                <w:lang w:val="en-US"/>
              </w:rPr>
            </w:pPr>
          </w:p>
          <w:p>
            <w:pPr>
              <w:pStyle w:val="2"/>
              <w:ind w:firstLine="420"/>
              <w:rPr>
                <w:rFonts w:hint="eastAsia" w:asciiTheme="minorEastAsia" w:hAnsiTheme="minorEastAsia" w:eastAsiaTheme="minorEastAsia" w:cstheme="minorEastAsia"/>
                <w:b w:val="0"/>
                <w:bCs/>
                <w:color w:val="auto"/>
                <w:kern w:val="2"/>
                <w:sz w:val="21"/>
                <w:szCs w:val="21"/>
                <w:highlight w:val="none"/>
                <w:lang w:val="en-US"/>
              </w:rPr>
            </w:pPr>
          </w:p>
          <w:p>
            <w:pPr>
              <w:pStyle w:val="2"/>
              <w:ind w:firstLine="420"/>
              <w:rPr>
                <w:rFonts w:hint="eastAsia" w:asciiTheme="minorEastAsia" w:hAnsiTheme="minorEastAsia" w:eastAsiaTheme="minorEastAsia" w:cstheme="minorEastAsia"/>
                <w:b w:val="0"/>
                <w:bCs/>
                <w:color w:val="auto"/>
                <w:kern w:val="2"/>
                <w:sz w:val="21"/>
                <w:szCs w:val="21"/>
                <w:highlight w:val="none"/>
                <w:lang w:val="en-US"/>
              </w:rPr>
            </w:pPr>
          </w:p>
          <w:p>
            <w:pPr>
              <w:snapToGrid w:val="0"/>
              <w:jc w:val="center"/>
              <w:rPr>
                <w:rFonts w:hint="eastAsia" w:asciiTheme="minorEastAsia" w:hAnsiTheme="minorEastAsia" w:eastAsiaTheme="minorEastAsia" w:cstheme="minorEastAsia"/>
                <w:b w:val="0"/>
                <w:bCs/>
                <w:color w:val="auto"/>
                <w:sz w:val="21"/>
                <w:szCs w:val="21"/>
                <w:highlight w:val="none"/>
              </w:rPr>
            </w:pPr>
          </w:p>
        </w:tc>
        <w:tc>
          <w:tcPr>
            <w:tcW w:w="532" w:type="dxa"/>
            <w:tcBorders>
              <w:top w:val="single" w:color="000000" w:sz="8" w:space="0"/>
              <w:left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52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具备”公文文单和正文可一屏处理，左右并列展示”、“三段式文号”、“多部门联合发文功能”。</w:t>
            </w:r>
          </w:p>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完全满足2分；部分满足或不满足0-1分；</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注：供应商须提供系统截图并加盖供应商公章</w:t>
            </w:r>
          </w:p>
        </w:tc>
      </w:tr>
      <w:tr>
        <w:tblPrEx>
          <w:tblCellMar>
            <w:top w:w="0" w:type="dxa"/>
            <w:left w:w="0" w:type="dxa"/>
            <w:bottom w:w="0" w:type="dxa"/>
            <w:right w:w="0" w:type="dxa"/>
          </w:tblCellMar>
        </w:tblPrEx>
        <w:trPr>
          <w:trHeight w:val="1010" w:hRule="atLeast"/>
        </w:trPr>
        <w:tc>
          <w:tcPr>
            <w:tcW w:w="392"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p>
            <w:pPr>
              <w:pStyle w:val="2"/>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532"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5295" w:type="dxa"/>
            <w:tcBorders>
              <w:top w:val="single" w:color="auto" w:sz="4" w:space="0"/>
              <w:left w:val="single" w:color="000000" w:sz="8" w:space="0"/>
              <w:bottom w:val="single" w:color="000000" w:sz="8" w:space="0"/>
              <w:right w:val="single" w:color="000000" w:sz="8" w:space="0"/>
            </w:tcBorders>
            <w:shd w:val="clear" w:color="auto" w:fill="FFFFFF"/>
            <w:noWrap w:val="0"/>
            <w:vAlign w:val="top"/>
          </w:tcPr>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供应商提供的系统产品具有“流程复活”功能，可以将已结束流程返回最后一个节点代办人重新办理。</w:t>
            </w:r>
          </w:p>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完全满足2分；部分满足或不满足0-1分；</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注：供应商须提供系统截图并加盖供应商公章</w:t>
            </w:r>
          </w:p>
        </w:tc>
      </w:tr>
      <w:tr>
        <w:tblPrEx>
          <w:tblCellMar>
            <w:top w:w="0" w:type="dxa"/>
            <w:left w:w="0" w:type="dxa"/>
            <w:bottom w:w="0" w:type="dxa"/>
            <w:right w:w="0" w:type="dxa"/>
          </w:tblCellMar>
        </w:tblPrEx>
        <w:trPr>
          <w:trHeight w:val="979" w:hRule="atLeast"/>
        </w:trPr>
        <w:tc>
          <w:tcPr>
            <w:tcW w:w="392" w:type="dxa"/>
            <w:vMerge w:val="continue"/>
            <w:tcBorders>
              <w:left w:val="single" w:color="000000" w:sz="8" w:space="0"/>
              <w:bottom w:val="single" w:color="auto" w:sz="4" w:space="0"/>
              <w:right w:val="single" w:color="000000" w:sz="8" w:space="0"/>
            </w:tcBorders>
            <w:shd w:val="clear" w:color="auto" w:fill="FFFFFF"/>
            <w:noWrap w:val="0"/>
            <w:vAlign w:val="center"/>
          </w:tcPr>
          <w:p>
            <w:pPr>
              <w:pStyle w:val="2"/>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532"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5295" w:type="dxa"/>
            <w:tcBorders>
              <w:top w:val="single" w:color="auto" w:sz="4" w:space="0"/>
              <w:left w:val="single" w:color="000000" w:sz="8" w:space="0"/>
              <w:bottom w:val="single" w:color="000000" w:sz="8" w:space="0"/>
              <w:right w:val="single" w:color="000000" w:sz="8" w:space="0"/>
            </w:tcBorders>
            <w:shd w:val="clear" w:color="auto" w:fill="FFFFFF"/>
            <w:noWrap w:val="0"/>
            <w:vAlign w:val="top"/>
          </w:tcPr>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查看系统流程图，通过图标的“醒目显示”各节点的处理状态未查看、已查看、正在办理、办理完。</w:t>
            </w:r>
          </w:p>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完全满足2分；部分满足或不满足0-1分；</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注：供应商须提供系统截图并加盖供应商公章</w:t>
            </w:r>
          </w:p>
        </w:tc>
      </w:tr>
      <w:tr>
        <w:tblPrEx>
          <w:tblCellMar>
            <w:top w:w="0" w:type="dxa"/>
            <w:left w:w="0" w:type="dxa"/>
            <w:bottom w:w="0" w:type="dxa"/>
            <w:right w:w="0" w:type="dxa"/>
          </w:tblCellMar>
        </w:tblPrEx>
        <w:trPr>
          <w:trHeight w:val="1158" w:hRule="atLeast"/>
        </w:trPr>
        <w:tc>
          <w:tcPr>
            <w:tcW w:w="392" w:type="dxa"/>
            <w:vMerge w:val="continue"/>
            <w:tcBorders>
              <w:left w:val="single" w:color="000000" w:sz="8" w:space="0"/>
              <w:bottom w:val="single" w:color="auto" w:sz="4" w:space="0"/>
              <w:right w:val="single" w:color="000000" w:sz="8" w:space="0"/>
            </w:tcBorders>
            <w:shd w:val="clear" w:color="auto" w:fill="FFFFFF"/>
            <w:noWrap w:val="0"/>
            <w:vAlign w:val="center"/>
          </w:tcPr>
          <w:p>
            <w:pPr>
              <w:pStyle w:val="2"/>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532"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5295" w:type="dxa"/>
            <w:tcBorders>
              <w:top w:val="single" w:color="auto" w:sz="4" w:space="0"/>
              <w:left w:val="single" w:color="000000" w:sz="8" w:space="0"/>
              <w:bottom w:val="single" w:color="000000" w:sz="8" w:space="0"/>
              <w:right w:val="single" w:color="000000" w:sz="8" w:space="0"/>
            </w:tcBorders>
            <w:shd w:val="clear" w:color="auto" w:fill="FFFFFF"/>
            <w:noWrap w:val="0"/>
            <w:vAlign w:val="top"/>
          </w:tcPr>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支持独立设置系统管理员、单位管理员、部门管理员、公文管理员、表单管理员、文档管理员、审计管理员、业务应用管理管理员。</w:t>
            </w:r>
          </w:p>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完全满足2分；部分满足或不满足0-1分；</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注：供应商须提供系统截图并加盖供应商公章</w:t>
            </w:r>
          </w:p>
        </w:tc>
      </w:tr>
      <w:tr>
        <w:tblPrEx>
          <w:tblCellMar>
            <w:top w:w="0" w:type="dxa"/>
            <w:left w:w="0" w:type="dxa"/>
            <w:bottom w:w="0" w:type="dxa"/>
            <w:right w:w="0" w:type="dxa"/>
          </w:tblCellMar>
        </w:tblPrEx>
        <w:trPr>
          <w:trHeight w:val="1009" w:hRule="atLeast"/>
        </w:trPr>
        <w:tc>
          <w:tcPr>
            <w:tcW w:w="392"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532"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5295" w:type="dxa"/>
            <w:tcBorders>
              <w:top w:val="single" w:color="auto" w:sz="4" w:space="0"/>
              <w:left w:val="single" w:color="000000" w:sz="8" w:space="0"/>
              <w:bottom w:val="single" w:color="000000" w:sz="8" w:space="0"/>
              <w:right w:val="single" w:color="000000" w:sz="8" w:space="0"/>
            </w:tcBorders>
            <w:shd w:val="clear" w:color="auto" w:fill="FFFFFF"/>
            <w:noWrap w:val="0"/>
            <w:vAlign w:val="top"/>
          </w:tcPr>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支持行政组织与业务/项目组织并存的组织结构方式。</w:t>
            </w:r>
          </w:p>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完全满足2分；</w:t>
            </w:r>
          </w:p>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部分满足或不满足0-1分；</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注：供应商须提供系统截图并加盖供应商公章</w:t>
            </w:r>
          </w:p>
        </w:tc>
      </w:tr>
      <w:tr>
        <w:tblPrEx>
          <w:tblCellMar>
            <w:top w:w="0" w:type="dxa"/>
            <w:left w:w="0" w:type="dxa"/>
            <w:bottom w:w="0" w:type="dxa"/>
            <w:right w:w="0" w:type="dxa"/>
          </w:tblCellMar>
        </w:tblPrEx>
        <w:trPr>
          <w:trHeight w:val="859" w:hRule="atLeast"/>
        </w:trPr>
        <w:tc>
          <w:tcPr>
            <w:tcW w:w="392"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532"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5295" w:type="dxa"/>
            <w:tcBorders>
              <w:top w:val="single" w:color="auto" w:sz="4" w:space="0"/>
              <w:left w:val="single" w:color="000000" w:sz="8" w:space="0"/>
              <w:bottom w:val="single" w:color="000000" w:sz="8" w:space="0"/>
              <w:right w:val="single" w:color="000000" w:sz="8" w:space="0"/>
            </w:tcBorders>
            <w:shd w:val="clear" w:color="auto" w:fill="FFFFFF"/>
            <w:noWrap w:val="0"/>
            <w:vAlign w:val="top"/>
          </w:tcPr>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安全保护进行一键体检，全面检测系统配置的安全性。</w:t>
            </w:r>
          </w:p>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完全满足2分；部分满足或不满足0-1分；</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注：供应商须提供系统截图并加盖供应商公章</w:t>
            </w:r>
          </w:p>
        </w:tc>
      </w:tr>
      <w:tr>
        <w:tblPrEx>
          <w:tblCellMar>
            <w:top w:w="0" w:type="dxa"/>
            <w:left w:w="0" w:type="dxa"/>
            <w:bottom w:w="0" w:type="dxa"/>
            <w:right w:w="0" w:type="dxa"/>
          </w:tblCellMar>
        </w:tblPrEx>
        <w:trPr>
          <w:trHeight w:val="1158" w:hRule="atLeast"/>
        </w:trPr>
        <w:tc>
          <w:tcPr>
            <w:tcW w:w="392"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532"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5295" w:type="dxa"/>
            <w:tcBorders>
              <w:top w:val="single" w:color="auto" w:sz="4" w:space="0"/>
              <w:left w:val="single" w:color="000000" w:sz="8" w:space="0"/>
              <w:bottom w:val="single" w:color="000000" w:sz="8" w:space="0"/>
              <w:right w:val="single" w:color="000000" w:sz="8" w:space="0"/>
            </w:tcBorders>
            <w:shd w:val="clear" w:color="auto" w:fill="FFFFFF"/>
            <w:noWrap w:val="0"/>
            <w:vAlign w:val="top"/>
          </w:tcPr>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流程操作有各种关键的常用功能回退前一节点、“指定回退”任何之前节点，终止、知会、“加签在后面节点”、当前节点进行加签、减签、转发、修改正文、签章、撤销、“督查督办”、修改附件、转事件等。OA后台或流程督办人员可强制修正、撤销、终止流程。</w:t>
            </w:r>
          </w:p>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完全满足2分；部分满足或不满足0-1分；</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注：供应商须提供系统截图并加盖供应商公章</w:t>
            </w:r>
          </w:p>
        </w:tc>
      </w:tr>
      <w:tr>
        <w:tblPrEx>
          <w:tblCellMar>
            <w:top w:w="0" w:type="dxa"/>
            <w:left w:w="0" w:type="dxa"/>
            <w:bottom w:w="0" w:type="dxa"/>
            <w:right w:w="0" w:type="dxa"/>
          </w:tblCellMar>
        </w:tblPrEx>
        <w:trPr>
          <w:trHeight w:val="1158" w:hRule="atLeast"/>
        </w:trPr>
        <w:tc>
          <w:tcPr>
            <w:tcW w:w="392"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532"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5295" w:type="dxa"/>
            <w:tcBorders>
              <w:top w:val="single" w:color="auto" w:sz="4" w:space="0"/>
              <w:left w:val="single" w:color="000000" w:sz="8" w:space="0"/>
              <w:bottom w:val="single" w:color="000000" w:sz="8" w:space="0"/>
              <w:right w:val="single" w:color="000000" w:sz="8" w:space="0"/>
            </w:tcBorders>
            <w:shd w:val="clear" w:color="auto" w:fill="FFFFFF"/>
            <w:noWrap w:val="0"/>
            <w:vAlign w:val="top"/>
          </w:tcPr>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移动客户端中任意功能均可生成单独的APP端与微信端进行使用，无需二次设计。</w:t>
            </w:r>
          </w:p>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完全满足2分；部分满足或不满足0-1分；</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注：供应商需提供表单配置截图、移动端应用截图、PC端应用截图并加盖供应商公章。</w:t>
            </w:r>
          </w:p>
        </w:tc>
      </w:tr>
      <w:tr>
        <w:tblPrEx>
          <w:tblCellMar>
            <w:top w:w="0" w:type="dxa"/>
            <w:left w:w="0" w:type="dxa"/>
            <w:bottom w:w="0" w:type="dxa"/>
            <w:right w:w="0" w:type="dxa"/>
          </w:tblCellMar>
        </w:tblPrEx>
        <w:trPr>
          <w:trHeight w:val="653" w:hRule="atLeast"/>
        </w:trPr>
        <w:tc>
          <w:tcPr>
            <w:tcW w:w="392"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w:t>
            </w:r>
          </w:p>
        </w:tc>
        <w:tc>
          <w:tcPr>
            <w:tcW w:w="1133"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532"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5295" w:type="dxa"/>
            <w:tcBorders>
              <w:top w:val="single" w:color="auto" w:sz="4" w:space="0"/>
              <w:left w:val="single" w:color="000000" w:sz="8" w:space="0"/>
              <w:bottom w:val="single" w:color="000000" w:sz="8" w:space="0"/>
              <w:right w:val="single" w:color="000000" w:sz="8" w:space="0"/>
            </w:tcBorders>
            <w:shd w:val="clear" w:color="auto" w:fill="FFFFFF"/>
            <w:noWrap w:val="0"/>
            <w:vAlign w:val="top"/>
          </w:tcPr>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系统后台可设置附件的加密级别及文档文件的加密级别。完全满足2分；部分满足或不满足0-1分；</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注：供应商须提供系统内产品截图加盖公章。</w:t>
            </w:r>
          </w:p>
        </w:tc>
      </w:tr>
      <w:tr>
        <w:tblPrEx>
          <w:tblCellMar>
            <w:top w:w="0" w:type="dxa"/>
            <w:left w:w="0" w:type="dxa"/>
            <w:bottom w:w="0" w:type="dxa"/>
            <w:right w:w="0" w:type="dxa"/>
          </w:tblCellMar>
        </w:tblPrEx>
        <w:trPr>
          <w:trHeight w:val="990" w:hRule="atLeast"/>
        </w:trPr>
        <w:tc>
          <w:tcPr>
            <w:tcW w:w="392"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532"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5295" w:type="dxa"/>
            <w:tcBorders>
              <w:top w:val="single" w:color="auto" w:sz="4" w:space="0"/>
              <w:left w:val="single" w:color="000000" w:sz="8" w:space="0"/>
              <w:bottom w:val="single" w:color="000000" w:sz="8" w:space="0"/>
              <w:right w:val="single" w:color="000000" w:sz="8" w:space="0"/>
            </w:tcBorders>
            <w:shd w:val="clear" w:color="auto" w:fill="FFFFFF"/>
            <w:noWrap w:val="0"/>
            <w:vAlign w:val="top"/>
          </w:tcPr>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支持对系统中无论是附件（PDF/Office）、正文关键字检索，通过模糊搜索找到需要的新闻、公告、公文、表单协同等。完全满足2分；部分满足或不满足0-1分；</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注：供应商须提供系统内产品截图加盖公章。</w:t>
            </w:r>
          </w:p>
        </w:tc>
      </w:tr>
      <w:tr>
        <w:tblPrEx>
          <w:tblCellMar>
            <w:top w:w="0" w:type="dxa"/>
            <w:left w:w="0" w:type="dxa"/>
            <w:bottom w:w="0" w:type="dxa"/>
            <w:right w:w="0" w:type="dxa"/>
          </w:tblCellMar>
        </w:tblPrEx>
        <w:trPr>
          <w:trHeight w:val="1158" w:hRule="atLeast"/>
        </w:trPr>
        <w:tc>
          <w:tcPr>
            <w:tcW w:w="392"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532"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5295" w:type="dxa"/>
            <w:tcBorders>
              <w:top w:val="single" w:color="auto" w:sz="4" w:space="0"/>
              <w:left w:val="single" w:color="000000" w:sz="8" w:space="0"/>
              <w:bottom w:val="single" w:color="000000" w:sz="8" w:space="0"/>
              <w:right w:val="single" w:color="000000" w:sz="8" w:space="0"/>
            </w:tcBorders>
            <w:shd w:val="clear" w:color="auto" w:fill="FFFFFF"/>
            <w:noWrap w:val="0"/>
            <w:vAlign w:val="top"/>
          </w:tcPr>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新建表单时，一键复用以往的历史数据，降低手工操作；审批时相关数据自动呈现，为领导决策提供数据支撑。</w:t>
            </w:r>
          </w:p>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完全满足2分；部分满足或不满足0-1分；</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注：供应商须提供系统内产品截图加盖公章。</w:t>
            </w:r>
          </w:p>
        </w:tc>
      </w:tr>
      <w:tr>
        <w:tblPrEx>
          <w:tblCellMar>
            <w:top w:w="0" w:type="dxa"/>
            <w:left w:w="0" w:type="dxa"/>
            <w:bottom w:w="0" w:type="dxa"/>
            <w:right w:w="0" w:type="dxa"/>
          </w:tblCellMar>
        </w:tblPrEx>
        <w:trPr>
          <w:trHeight w:val="1158" w:hRule="atLeast"/>
        </w:trPr>
        <w:tc>
          <w:tcPr>
            <w:tcW w:w="392"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w:t>
            </w:r>
          </w:p>
        </w:tc>
        <w:tc>
          <w:tcPr>
            <w:tcW w:w="1133" w:type="dxa"/>
            <w:vMerge w:val="continue"/>
            <w:tcBorders>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532"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autoSpaceDE w:val="0"/>
              <w:autoSpaceDN w:val="0"/>
              <w:adjustRightInd w:val="0"/>
              <w:spacing w:line="240" w:lineRule="exact"/>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5295" w:type="dxa"/>
            <w:tcBorders>
              <w:top w:val="single" w:color="auto" w:sz="4" w:space="0"/>
              <w:left w:val="single" w:color="000000" w:sz="8" w:space="0"/>
              <w:bottom w:val="single" w:color="000000" w:sz="8" w:space="0"/>
              <w:right w:val="single" w:color="000000" w:sz="8" w:space="0"/>
            </w:tcBorders>
            <w:shd w:val="clear" w:color="auto" w:fill="FFFFFF"/>
            <w:noWrap w:val="0"/>
            <w:vAlign w:val="top"/>
          </w:tcPr>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表单在移动端应支持两种呈现方式：一种是和PC端同步的原样表单，一种是自适应手机屏幕大小的表单，方便使用者操作。</w:t>
            </w:r>
          </w:p>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完全满足2分；部分满足或不满足0-1分；</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注：供应商须提供系统内产品截图加盖公章。</w:t>
            </w:r>
          </w:p>
        </w:tc>
      </w:tr>
      <w:tr>
        <w:tblPrEx>
          <w:tblCellMar>
            <w:top w:w="0" w:type="dxa"/>
            <w:left w:w="0" w:type="dxa"/>
            <w:bottom w:w="0" w:type="dxa"/>
            <w:right w:w="0" w:type="dxa"/>
          </w:tblCellMar>
        </w:tblPrEx>
        <w:trPr>
          <w:trHeight w:val="566" w:hRule="atLeast"/>
        </w:trPr>
        <w:tc>
          <w:tcPr>
            <w:tcW w:w="392"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vMerge w:val="continue"/>
            <w:tcBorders>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532"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529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资产管理需求满足度：</w:t>
            </w:r>
          </w:p>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完全满足2分；部分满足或不满足0-1分。</w:t>
            </w:r>
          </w:p>
        </w:tc>
      </w:tr>
      <w:tr>
        <w:tblPrEx>
          <w:tblCellMar>
            <w:top w:w="0" w:type="dxa"/>
            <w:left w:w="0" w:type="dxa"/>
            <w:bottom w:w="0" w:type="dxa"/>
            <w:right w:w="0" w:type="dxa"/>
          </w:tblCellMar>
        </w:tblPrEx>
        <w:trPr>
          <w:trHeight w:val="584" w:hRule="atLeast"/>
        </w:trPr>
        <w:tc>
          <w:tcPr>
            <w:tcW w:w="392"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snapToGrid w:val="0"/>
              <w:jc w:val="center"/>
              <w:rPr>
                <w:rFonts w:hint="eastAsia" w:asciiTheme="minorEastAsia" w:hAnsiTheme="minorEastAsia" w:eastAsiaTheme="minorEastAsia" w:cstheme="minorEastAsia"/>
                <w:b w:val="0"/>
                <w:bCs/>
                <w:color w:val="auto"/>
                <w:sz w:val="21"/>
                <w:szCs w:val="21"/>
                <w:highlight w:val="none"/>
              </w:rPr>
            </w:pPr>
          </w:p>
        </w:tc>
        <w:tc>
          <w:tcPr>
            <w:tcW w:w="1646" w:type="dxa"/>
            <w:gridSpan w:val="2"/>
            <w:vMerge w:val="continue"/>
            <w:tcBorders>
              <w:left w:val="single" w:color="000000" w:sz="8" w:space="0"/>
              <w:bottom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532"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5295"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资产报表需求满足度：</w:t>
            </w:r>
          </w:p>
          <w:p>
            <w:pPr>
              <w:pStyle w:val="21"/>
              <w:snapToGrid w:val="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完全满足2分；部分满足或不满足0-1分；</w:t>
            </w:r>
          </w:p>
        </w:tc>
      </w:tr>
      <w:tr>
        <w:tblPrEx>
          <w:tblCellMar>
            <w:top w:w="0" w:type="dxa"/>
            <w:left w:w="0" w:type="dxa"/>
            <w:bottom w:w="0" w:type="dxa"/>
            <w:right w:w="0" w:type="dxa"/>
          </w:tblCellMar>
        </w:tblPrEx>
        <w:trPr>
          <w:trHeight w:val="584" w:hRule="atLeast"/>
        </w:trPr>
        <w:tc>
          <w:tcPr>
            <w:tcW w:w="392"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snapToGrid w:val="0"/>
              <w:jc w:val="center"/>
              <w:rPr>
                <w:rFonts w:hint="eastAsia" w:asciiTheme="minorEastAsia" w:hAnsiTheme="minorEastAsia" w:eastAsiaTheme="minorEastAsia" w:cstheme="minorEastAsia"/>
                <w:b w:val="0"/>
                <w:bCs/>
                <w:color w:val="auto"/>
                <w:sz w:val="21"/>
                <w:szCs w:val="21"/>
                <w:highlight w:val="none"/>
              </w:rPr>
            </w:pPr>
          </w:p>
        </w:tc>
        <w:tc>
          <w:tcPr>
            <w:tcW w:w="776" w:type="dxa"/>
            <w:vMerge w:val="restart"/>
            <w:tcBorders>
              <w:left w:val="single" w:color="000000" w:sz="8" w:space="0"/>
              <w:right w:val="single" w:color="auto" w:sz="4"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技术要求满足度（12分）</w:t>
            </w:r>
          </w:p>
        </w:tc>
        <w:tc>
          <w:tcPr>
            <w:tcW w:w="870" w:type="dxa"/>
            <w:vMerge w:val="restart"/>
            <w:tcBorders>
              <w:left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OA协同办公系统（8分）</w:t>
            </w:r>
          </w:p>
        </w:tc>
        <w:tc>
          <w:tcPr>
            <w:tcW w:w="532"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5295" w:type="dxa"/>
            <w:tcBorders>
              <w:top w:val="single" w:color="auto" w:sz="4" w:space="0"/>
              <w:left w:val="single" w:color="000000" w:sz="8" w:space="0"/>
              <w:bottom w:val="single" w:color="000000" w:sz="8" w:space="0"/>
              <w:right w:val="single" w:color="000000" w:sz="8" w:space="0"/>
            </w:tcBorders>
            <w:shd w:val="clear" w:color="auto" w:fill="FFFFFF"/>
            <w:noWrap w:val="0"/>
            <w:vAlign w:val="top"/>
          </w:tcPr>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供应商拟为本项目提供的产品支持国家OFD版式文件，能提供带有明确相关条款的合同证明文件、客户验收签字文件、相关项目系统截图，并加盖供应商公章，得2分，否则不得分。</w:t>
            </w:r>
          </w:p>
        </w:tc>
      </w:tr>
      <w:tr>
        <w:trPr>
          <w:trHeight w:val="584" w:hRule="atLeast"/>
        </w:trPr>
        <w:tc>
          <w:tcPr>
            <w:tcW w:w="392"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snapToGrid w:val="0"/>
              <w:jc w:val="center"/>
              <w:rPr>
                <w:rFonts w:hint="eastAsia" w:asciiTheme="minorEastAsia" w:hAnsiTheme="minorEastAsia" w:eastAsiaTheme="minorEastAsia" w:cstheme="minorEastAsia"/>
                <w:b w:val="0"/>
                <w:bCs/>
                <w:color w:val="auto"/>
                <w:sz w:val="21"/>
                <w:szCs w:val="21"/>
                <w:highlight w:val="none"/>
              </w:rPr>
            </w:pPr>
          </w:p>
        </w:tc>
        <w:tc>
          <w:tcPr>
            <w:tcW w:w="776" w:type="dxa"/>
            <w:vMerge w:val="continue"/>
            <w:tcBorders>
              <w:left w:val="single" w:color="000000" w:sz="8" w:space="0"/>
              <w:right w:val="single" w:color="auto" w:sz="4" w:space="0"/>
            </w:tcBorders>
            <w:shd w:val="clear" w:color="auto" w:fill="FFFFFF"/>
            <w:noWrap w:val="0"/>
            <w:vAlign w:val="center"/>
          </w:tcPr>
          <w:p>
            <w:pPr>
              <w:pStyle w:val="21"/>
              <w:snapToGrid w:val="0"/>
              <w:rPr>
                <w:rFonts w:hint="eastAsia" w:asciiTheme="minorEastAsia" w:hAnsiTheme="minorEastAsia" w:eastAsiaTheme="minorEastAsia" w:cstheme="minorEastAsia"/>
                <w:b w:val="0"/>
                <w:bCs/>
                <w:color w:val="auto"/>
                <w:sz w:val="21"/>
                <w:szCs w:val="21"/>
                <w:highlight w:val="none"/>
              </w:rPr>
            </w:pPr>
          </w:p>
        </w:tc>
        <w:tc>
          <w:tcPr>
            <w:tcW w:w="870" w:type="dxa"/>
            <w:vMerge w:val="continue"/>
            <w:tcBorders>
              <w:left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532"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5295" w:type="dxa"/>
            <w:tcBorders>
              <w:top w:val="single" w:color="auto" w:sz="4" w:space="0"/>
              <w:left w:val="single" w:color="000000" w:sz="8" w:space="0"/>
              <w:bottom w:val="single" w:color="000000" w:sz="8" w:space="0"/>
              <w:right w:val="single" w:color="000000" w:sz="8" w:space="0"/>
            </w:tcBorders>
            <w:shd w:val="clear" w:color="auto" w:fill="FFFFFF"/>
            <w:noWrap w:val="0"/>
            <w:vAlign w:val="top"/>
          </w:tcPr>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供应商拟为本项目提供系统包括移动终端（ISO、Android、Windows系统平台及wap、web）有省级以上的权威机构的测试报告，得2分，没有不得分。</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注：供应商需提供测试包的复印件加盖供应商公章</w:t>
            </w:r>
          </w:p>
        </w:tc>
      </w:tr>
      <w:tr>
        <w:tblPrEx>
          <w:tblCellMar>
            <w:top w:w="0" w:type="dxa"/>
            <w:left w:w="0" w:type="dxa"/>
            <w:bottom w:w="0" w:type="dxa"/>
            <w:right w:w="0" w:type="dxa"/>
          </w:tblCellMar>
        </w:tblPrEx>
        <w:trPr>
          <w:trHeight w:val="584" w:hRule="atLeast"/>
        </w:trPr>
        <w:tc>
          <w:tcPr>
            <w:tcW w:w="392"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snapToGrid w:val="0"/>
              <w:jc w:val="center"/>
              <w:rPr>
                <w:rFonts w:hint="eastAsia" w:asciiTheme="minorEastAsia" w:hAnsiTheme="minorEastAsia" w:eastAsiaTheme="minorEastAsia" w:cstheme="minorEastAsia"/>
                <w:b w:val="0"/>
                <w:bCs/>
                <w:color w:val="auto"/>
                <w:sz w:val="21"/>
                <w:szCs w:val="21"/>
                <w:highlight w:val="none"/>
              </w:rPr>
            </w:pPr>
          </w:p>
        </w:tc>
        <w:tc>
          <w:tcPr>
            <w:tcW w:w="776" w:type="dxa"/>
            <w:vMerge w:val="continue"/>
            <w:tcBorders>
              <w:left w:val="single" w:color="000000" w:sz="8" w:space="0"/>
              <w:right w:val="single" w:color="auto" w:sz="4" w:space="0"/>
            </w:tcBorders>
            <w:shd w:val="clear" w:color="auto" w:fill="FFFFFF"/>
            <w:noWrap w:val="0"/>
            <w:vAlign w:val="center"/>
          </w:tcPr>
          <w:p>
            <w:pPr>
              <w:pStyle w:val="21"/>
              <w:snapToGrid w:val="0"/>
              <w:rPr>
                <w:rFonts w:hint="eastAsia" w:asciiTheme="minorEastAsia" w:hAnsiTheme="minorEastAsia" w:eastAsiaTheme="minorEastAsia" w:cstheme="minorEastAsia"/>
                <w:b w:val="0"/>
                <w:bCs/>
                <w:color w:val="auto"/>
                <w:sz w:val="21"/>
                <w:szCs w:val="21"/>
                <w:highlight w:val="none"/>
              </w:rPr>
            </w:pPr>
          </w:p>
        </w:tc>
        <w:tc>
          <w:tcPr>
            <w:tcW w:w="870" w:type="dxa"/>
            <w:vMerge w:val="continue"/>
            <w:tcBorders>
              <w:left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532"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5295" w:type="dxa"/>
            <w:tcBorders>
              <w:top w:val="single" w:color="auto" w:sz="4" w:space="0"/>
              <w:left w:val="single" w:color="000000" w:sz="8" w:space="0"/>
              <w:bottom w:val="single" w:color="000000" w:sz="8" w:space="0"/>
              <w:right w:val="single" w:color="000000" w:sz="8" w:space="0"/>
            </w:tcBorders>
            <w:shd w:val="clear" w:color="auto" w:fill="FFFFFF"/>
            <w:noWrap w:val="0"/>
            <w:vAlign w:val="top"/>
          </w:tcPr>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供应商拟为本项目提供的协同应用平台具有国家级第三方测试机构出具的安全（测试）报告，得2分，没有不得分。</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注：供应商须提供测试报告的复印件并加盖供应商公章。</w:t>
            </w:r>
          </w:p>
        </w:tc>
      </w:tr>
      <w:tr>
        <w:tblPrEx>
          <w:tblCellMar>
            <w:top w:w="0" w:type="dxa"/>
            <w:left w:w="0" w:type="dxa"/>
            <w:bottom w:w="0" w:type="dxa"/>
            <w:right w:w="0" w:type="dxa"/>
          </w:tblCellMar>
        </w:tblPrEx>
        <w:trPr>
          <w:trHeight w:val="841" w:hRule="atLeast"/>
        </w:trPr>
        <w:tc>
          <w:tcPr>
            <w:tcW w:w="392"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widowControl/>
              <w:snapToGrid w:val="0"/>
              <w:jc w:val="center"/>
              <w:rPr>
                <w:rFonts w:hint="eastAsia" w:asciiTheme="minorEastAsia" w:hAnsiTheme="minorEastAsia" w:eastAsiaTheme="minorEastAsia" w:cstheme="minorEastAsia"/>
                <w:b w:val="0"/>
                <w:bCs/>
                <w:color w:val="auto"/>
                <w:sz w:val="21"/>
                <w:szCs w:val="21"/>
                <w:highlight w:val="none"/>
              </w:rPr>
            </w:pPr>
          </w:p>
        </w:tc>
        <w:tc>
          <w:tcPr>
            <w:tcW w:w="776" w:type="dxa"/>
            <w:vMerge w:val="continue"/>
            <w:tcBorders>
              <w:left w:val="single" w:color="000000" w:sz="8" w:space="0"/>
              <w:right w:val="single" w:color="auto" w:sz="4" w:space="0"/>
            </w:tcBorders>
            <w:shd w:val="clear" w:color="auto" w:fill="FFFFFF"/>
            <w:noWrap w:val="0"/>
            <w:vAlign w:val="center"/>
          </w:tcPr>
          <w:p>
            <w:pPr>
              <w:pStyle w:val="21"/>
              <w:snapToGrid w:val="0"/>
              <w:rPr>
                <w:rFonts w:hint="eastAsia" w:asciiTheme="minorEastAsia" w:hAnsiTheme="minorEastAsia" w:eastAsiaTheme="minorEastAsia" w:cstheme="minorEastAsia"/>
                <w:b w:val="0"/>
                <w:bCs/>
                <w:color w:val="auto"/>
                <w:sz w:val="21"/>
                <w:szCs w:val="21"/>
                <w:highlight w:val="none"/>
              </w:rPr>
            </w:pPr>
          </w:p>
        </w:tc>
        <w:tc>
          <w:tcPr>
            <w:tcW w:w="870" w:type="dxa"/>
            <w:vMerge w:val="continue"/>
            <w:tcBorders>
              <w:left w:val="single" w:color="auto" w:sz="4"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532" w:type="dxa"/>
            <w:tcBorders>
              <w:top w:val="single" w:color="auto" w:sz="4" w:space="0"/>
              <w:left w:val="single" w:color="000000" w:sz="8"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5295" w:type="dxa"/>
            <w:tcBorders>
              <w:top w:val="single" w:color="auto" w:sz="4" w:space="0"/>
              <w:left w:val="single" w:color="000000" w:sz="8" w:space="0"/>
              <w:bottom w:val="single" w:color="000000" w:sz="8" w:space="0"/>
              <w:right w:val="single" w:color="000000" w:sz="8" w:space="0"/>
            </w:tcBorders>
            <w:shd w:val="clear" w:color="auto" w:fill="FFFFFF"/>
            <w:noWrap w:val="0"/>
            <w:vAlign w:val="top"/>
          </w:tcPr>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供应商拟为本项目提供投标软件产品的发明专利技术证书。符合的2分，不符合得0分。</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注：供应商须提供相应截图并复印件加盖供应商公章。</w:t>
            </w:r>
          </w:p>
        </w:tc>
      </w:tr>
      <w:tr>
        <w:tblPrEx>
          <w:tblCellMar>
            <w:top w:w="0" w:type="dxa"/>
            <w:left w:w="0" w:type="dxa"/>
            <w:bottom w:w="0" w:type="dxa"/>
            <w:right w:w="0" w:type="dxa"/>
          </w:tblCellMar>
        </w:tblPrEx>
        <w:trPr>
          <w:trHeight w:val="907" w:hRule="atLeast"/>
        </w:trPr>
        <w:tc>
          <w:tcPr>
            <w:tcW w:w="392"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776" w:type="dxa"/>
            <w:vMerge w:val="continue"/>
            <w:tcBorders>
              <w:left w:val="single" w:color="000000" w:sz="8" w:space="0"/>
              <w:right w:val="single" w:color="auto" w:sz="4" w:space="0"/>
            </w:tcBorders>
            <w:shd w:val="clear" w:color="auto" w:fill="FFFFFF"/>
            <w:noWrap w:val="0"/>
            <w:vAlign w:val="center"/>
          </w:tcPr>
          <w:p>
            <w:pPr>
              <w:snapToGrid w:val="0"/>
              <w:jc w:val="left"/>
              <w:rPr>
                <w:rFonts w:hint="eastAsia" w:asciiTheme="minorEastAsia" w:hAnsiTheme="minorEastAsia" w:eastAsiaTheme="minorEastAsia" w:cstheme="minorEastAsia"/>
                <w:b w:val="0"/>
                <w:bCs/>
                <w:color w:val="auto"/>
                <w:sz w:val="21"/>
                <w:szCs w:val="21"/>
                <w:highlight w:val="none"/>
              </w:rPr>
            </w:pPr>
          </w:p>
        </w:tc>
        <w:tc>
          <w:tcPr>
            <w:tcW w:w="870" w:type="dxa"/>
            <w:vMerge w:val="restart"/>
            <w:tcBorders>
              <w:top w:val="single" w:color="auto" w:sz="4" w:space="0"/>
              <w:left w:val="single" w:color="auto" w:sz="4" w:space="0"/>
              <w:right w:val="single" w:color="000000" w:sz="8" w:space="0"/>
            </w:tcBorders>
            <w:shd w:val="clear" w:color="auto" w:fill="FFFFFF"/>
            <w:noWrap w:val="0"/>
            <w:vAlign w:val="center"/>
          </w:tcPr>
          <w:p>
            <w:pPr>
              <w:autoSpaceDE w:val="0"/>
              <w:autoSpaceDN w:val="0"/>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资产管理功能   （4分）</w:t>
            </w:r>
          </w:p>
        </w:tc>
        <w:tc>
          <w:tcPr>
            <w:tcW w:w="53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52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产品服务环境支持Windows、Linux、Macos等操作系统。</w:t>
            </w:r>
          </w:p>
          <w:p>
            <w:pP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全部满足2分；不满足0分。</w:t>
            </w:r>
          </w:p>
          <w:p>
            <w:pPr>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注：供应商须提供相应截图并复印件加盖供应商公章。</w:t>
            </w:r>
          </w:p>
        </w:tc>
      </w:tr>
      <w:tr>
        <w:tblPrEx>
          <w:tblCellMar>
            <w:top w:w="0" w:type="dxa"/>
            <w:left w:w="0" w:type="dxa"/>
            <w:bottom w:w="0" w:type="dxa"/>
            <w:right w:w="0" w:type="dxa"/>
          </w:tblCellMar>
        </w:tblPrEx>
        <w:trPr>
          <w:trHeight w:val="999" w:hRule="atLeast"/>
        </w:trPr>
        <w:tc>
          <w:tcPr>
            <w:tcW w:w="392"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1133"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snapToGrid w:val="0"/>
              <w:jc w:val="center"/>
              <w:rPr>
                <w:rFonts w:hint="eastAsia" w:asciiTheme="minorEastAsia" w:hAnsiTheme="minorEastAsia" w:eastAsiaTheme="minorEastAsia" w:cstheme="minorEastAsia"/>
                <w:b w:val="0"/>
                <w:bCs/>
                <w:color w:val="auto"/>
                <w:sz w:val="21"/>
                <w:szCs w:val="21"/>
                <w:highlight w:val="none"/>
              </w:rPr>
            </w:pPr>
          </w:p>
        </w:tc>
        <w:tc>
          <w:tcPr>
            <w:tcW w:w="776" w:type="dxa"/>
            <w:vMerge w:val="continue"/>
            <w:tcBorders>
              <w:left w:val="single" w:color="000000" w:sz="8" w:space="0"/>
              <w:bottom w:val="single" w:color="auto" w:sz="4" w:space="0"/>
              <w:right w:val="single" w:color="auto" w:sz="4" w:space="0"/>
            </w:tcBorders>
            <w:shd w:val="clear" w:color="auto" w:fill="FFFFFF"/>
            <w:noWrap w:val="0"/>
            <w:vAlign w:val="top"/>
          </w:tcPr>
          <w:p>
            <w:pPr>
              <w:widowControl/>
              <w:snapToGrid w:val="0"/>
              <w:jc w:val="left"/>
              <w:rPr>
                <w:rFonts w:hint="eastAsia" w:asciiTheme="minorEastAsia" w:hAnsiTheme="minorEastAsia" w:eastAsiaTheme="minorEastAsia" w:cstheme="minorEastAsia"/>
                <w:b w:val="0"/>
                <w:bCs/>
                <w:color w:val="auto"/>
                <w:sz w:val="21"/>
                <w:szCs w:val="21"/>
                <w:highlight w:val="none"/>
              </w:rPr>
            </w:pPr>
          </w:p>
        </w:tc>
        <w:tc>
          <w:tcPr>
            <w:tcW w:w="870" w:type="dxa"/>
            <w:vMerge w:val="continue"/>
            <w:tcBorders>
              <w:left w:val="single" w:color="auto" w:sz="4" w:space="0"/>
              <w:bottom w:val="single" w:color="auto" w:sz="4" w:space="0"/>
              <w:right w:val="single" w:color="000000" w:sz="8" w:space="0"/>
            </w:tcBorders>
            <w:shd w:val="clear" w:color="auto" w:fill="FFFFFF"/>
            <w:noWrap w:val="0"/>
            <w:vAlign w:val="top"/>
          </w:tcPr>
          <w:p>
            <w:pPr>
              <w:autoSpaceDE w:val="0"/>
              <w:autoSpaceDN w:val="0"/>
              <w:snapToGrid w:val="0"/>
              <w:rPr>
                <w:rFonts w:hint="eastAsia" w:asciiTheme="minorEastAsia" w:hAnsiTheme="minorEastAsia" w:eastAsiaTheme="minorEastAsia" w:cstheme="minorEastAsia"/>
                <w:b w:val="0"/>
                <w:bCs/>
                <w:color w:val="auto"/>
                <w:sz w:val="21"/>
                <w:szCs w:val="21"/>
                <w:highlight w:val="none"/>
              </w:rPr>
            </w:pPr>
          </w:p>
        </w:tc>
        <w:tc>
          <w:tcPr>
            <w:tcW w:w="532" w:type="dxa"/>
            <w:tcBorders>
              <w:top w:val="single" w:color="000000" w:sz="8" w:space="0"/>
              <w:left w:val="single" w:color="000000" w:sz="8" w:space="0"/>
              <w:bottom w:val="single" w:color="auto" w:sz="4" w:space="0"/>
              <w:right w:val="single" w:color="000000" w:sz="8" w:space="0"/>
            </w:tcBorders>
            <w:shd w:val="clear" w:color="auto" w:fill="FFFFFF"/>
            <w:noWrap w:val="0"/>
            <w:vAlign w:val="center"/>
          </w:tcPr>
          <w:p>
            <w:pPr>
              <w:widowControl/>
              <w:snapToGrid w:val="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529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napToGrid w:val="0"/>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产品应支持MS SQL、Oracle等数据库：全部满足2分；不满足0分。</w:t>
            </w:r>
          </w:p>
          <w:p>
            <w:pPr>
              <w:pStyle w:val="2"/>
              <w:ind w:firstLine="0" w:firstLineChars="0"/>
              <w:rPr>
                <w:rFonts w:hint="eastAsia" w:asciiTheme="minorEastAsia" w:hAnsiTheme="minorEastAsia" w:eastAsiaTheme="minorEastAsia" w:cstheme="minorEastAsia"/>
                <w:b w:val="0"/>
                <w:bCs/>
                <w:color w:val="auto"/>
                <w:sz w:val="21"/>
                <w:szCs w:val="21"/>
                <w:highlight w:val="none"/>
                <w:lang w:val="en-US"/>
              </w:rPr>
            </w:pPr>
            <w:r>
              <w:rPr>
                <w:rFonts w:hint="eastAsia" w:asciiTheme="minorEastAsia" w:hAnsiTheme="minorEastAsia" w:eastAsiaTheme="minorEastAsia" w:cstheme="minorEastAsia"/>
                <w:b w:val="0"/>
                <w:bCs/>
                <w:color w:val="auto"/>
                <w:kern w:val="2"/>
                <w:sz w:val="21"/>
                <w:szCs w:val="21"/>
                <w:highlight w:val="none"/>
                <w:lang w:val="en-US"/>
              </w:rPr>
              <w:t>注：供应商须提供相应截图并复印件加盖供应商公章。</w:t>
            </w:r>
          </w:p>
        </w:tc>
      </w:tr>
    </w:tbl>
    <w:p>
      <w:pPr>
        <w:pStyle w:val="2"/>
        <w:numPr>
          <w:numId w:val="0"/>
        </w:numPr>
        <w:rPr>
          <w:rFonts w:hint="eastAsia" w:asciiTheme="minorEastAsia" w:hAnsiTheme="minorEastAsia" w:eastAsiaTheme="minorEastAsia" w:cstheme="minorEastAsia"/>
          <w:b w:val="0"/>
          <w:bCs/>
          <w:color w:val="auto"/>
          <w:sz w:val="21"/>
          <w:szCs w:val="21"/>
        </w:rPr>
      </w:pPr>
    </w:p>
    <w:p>
      <w:pPr>
        <w:tabs>
          <w:tab w:val="left" w:pos="1260"/>
          <w:tab w:val="left" w:pos="1620"/>
        </w:tabs>
        <w:adjustRightInd w:val="0"/>
        <w:spacing w:line="360" w:lineRule="auto"/>
        <w:jc w:val="left"/>
        <w:textAlignment w:val="baseline"/>
        <w:rPr>
          <w:rFonts w:hint="eastAsia" w:asciiTheme="minorEastAsia" w:hAnsiTheme="minorEastAsia" w:eastAsiaTheme="minorEastAsia" w:cstheme="minorEastAsia"/>
          <w:b w:val="0"/>
          <w:bCs/>
          <w:color w:val="auto"/>
          <w:kern w:val="44"/>
          <w:sz w:val="21"/>
          <w:szCs w:val="21"/>
        </w:rPr>
      </w:pPr>
      <w:r>
        <w:rPr>
          <w:rFonts w:hint="eastAsia" w:asciiTheme="minorEastAsia" w:hAnsiTheme="minorEastAsia" w:eastAsiaTheme="minorEastAsia" w:cstheme="minorEastAsia"/>
          <w:b w:val="0"/>
          <w:bCs/>
          <w:color w:val="auto"/>
          <w:kern w:val="44"/>
          <w:sz w:val="21"/>
          <w:szCs w:val="21"/>
          <w:lang w:val="en-US" w:eastAsia="zh-CN"/>
        </w:rPr>
        <w:t>五</w:t>
      </w:r>
      <w:r>
        <w:rPr>
          <w:rFonts w:hint="eastAsia" w:asciiTheme="minorEastAsia" w:hAnsiTheme="minorEastAsia" w:eastAsiaTheme="minorEastAsia" w:cstheme="minorEastAsia"/>
          <w:b w:val="0"/>
          <w:bCs/>
          <w:color w:val="auto"/>
          <w:kern w:val="44"/>
          <w:sz w:val="21"/>
          <w:szCs w:val="21"/>
        </w:rPr>
        <w:t>.</w:t>
      </w:r>
      <w:r>
        <w:rPr>
          <w:rFonts w:hint="eastAsia" w:asciiTheme="minorEastAsia" w:hAnsiTheme="minorEastAsia" w:eastAsiaTheme="minorEastAsia" w:cstheme="minorEastAsia"/>
          <w:b w:val="0"/>
          <w:bCs/>
          <w:color w:val="auto"/>
          <w:sz w:val="21"/>
          <w:szCs w:val="21"/>
        </w:rPr>
        <w:t xml:space="preserve"> </w:t>
      </w:r>
      <w:r>
        <w:rPr>
          <w:rFonts w:hint="eastAsia" w:asciiTheme="minorEastAsia" w:hAnsiTheme="minorEastAsia" w:eastAsiaTheme="minorEastAsia" w:cstheme="minorEastAsia"/>
          <w:b w:val="0"/>
          <w:bCs/>
          <w:color w:val="auto"/>
          <w:kern w:val="44"/>
          <w:sz w:val="21"/>
          <w:szCs w:val="21"/>
        </w:rPr>
        <w:t>公开时间</w:t>
      </w:r>
    </w:p>
    <w:p>
      <w:pPr>
        <w:keepNext/>
        <w:keepLines/>
        <w:tabs>
          <w:tab w:val="left" w:pos="426"/>
        </w:tabs>
        <w:spacing w:line="360" w:lineRule="exact"/>
        <w:jc w:val="left"/>
        <w:outlineLvl w:val="2"/>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kern w:val="44"/>
          <w:sz w:val="21"/>
          <w:szCs w:val="21"/>
        </w:rPr>
        <w:t>本次磋商文件关键内容信息公开时间至2020年</w:t>
      </w:r>
      <w:r>
        <w:rPr>
          <w:rFonts w:hint="eastAsia" w:asciiTheme="minorEastAsia" w:hAnsiTheme="minorEastAsia" w:eastAsiaTheme="minorEastAsia" w:cstheme="minorEastAsia"/>
          <w:b w:val="0"/>
          <w:bCs/>
          <w:color w:val="auto"/>
          <w:kern w:val="44"/>
          <w:sz w:val="21"/>
          <w:szCs w:val="21"/>
          <w:lang w:val="en-US" w:eastAsia="zh-CN"/>
        </w:rPr>
        <w:t>6</w:t>
      </w:r>
      <w:r>
        <w:rPr>
          <w:rFonts w:hint="eastAsia" w:asciiTheme="minorEastAsia" w:hAnsiTheme="minorEastAsia" w:eastAsiaTheme="minorEastAsia" w:cstheme="minorEastAsia"/>
          <w:b w:val="0"/>
          <w:bCs/>
          <w:color w:val="auto"/>
          <w:kern w:val="44"/>
          <w:sz w:val="21"/>
          <w:szCs w:val="21"/>
        </w:rPr>
        <w:t>月</w:t>
      </w:r>
      <w:r>
        <w:rPr>
          <w:rFonts w:hint="eastAsia" w:asciiTheme="minorEastAsia" w:hAnsiTheme="minorEastAsia" w:eastAsiaTheme="minorEastAsia" w:cstheme="minorEastAsia"/>
          <w:b w:val="0"/>
          <w:bCs/>
          <w:color w:val="auto"/>
          <w:kern w:val="44"/>
          <w:sz w:val="21"/>
          <w:szCs w:val="21"/>
          <w:lang w:val="en-US" w:eastAsia="zh-CN"/>
        </w:rPr>
        <w:t>2</w:t>
      </w:r>
      <w:r>
        <w:rPr>
          <w:rFonts w:hint="eastAsia" w:asciiTheme="minorEastAsia" w:hAnsiTheme="minorEastAsia" w:eastAsiaTheme="minorEastAsia" w:cstheme="minorEastAsia"/>
          <w:b w:val="0"/>
          <w:bCs/>
          <w:color w:val="auto"/>
          <w:kern w:val="44"/>
          <w:sz w:val="21"/>
          <w:szCs w:val="21"/>
        </w:rPr>
        <w:t>日24时00分结束</w:t>
      </w:r>
    </w:p>
    <w:p>
      <w:pPr>
        <w:keepNext/>
        <w:keepLines/>
        <w:tabs>
          <w:tab w:val="left" w:pos="426"/>
        </w:tabs>
        <w:spacing w:line="360" w:lineRule="exact"/>
        <w:jc w:val="left"/>
        <w:outlineLvl w:val="2"/>
        <w:rPr>
          <w:rFonts w:hint="eastAsia" w:asciiTheme="minorEastAsia" w:hAnsiTheme="minorEastAsia" w:eastAsiaTheme="minorEastAsia" w:cstheme="minorEastAsia"/>
          <w:color w:val="auto"/>
          <w:kern w:val="44"/>
          <w:sz w:val="21"/>
          <w:szCs w:val="21"/>
        </w:rPr>
      </w:pPr>
      <w:r>
        <w:rPr>
          <w:rFonts w:hint="eastAsia" w:asciiTheme="minorEastAsia" w:hAnsiTheme="minorEastAsia" w:eastAsiaTheme="minorEastAsia" w:cstheme="minorEastAsia"/>
          <w:color w:val="auto"/>
          <w:kern w:val="44"/>
          <w:sz w:val="21"/>
          <w:szCs w:val="21"/>
          <w:lang w:val="en-US" w:eastAsia="zh-CN"/>
        </w:rPr>
        <w:t>六</w:t>
      </w:r>
      <w:r>
        <w:rPr>
          <w:rFonts w:hint="eastAsia" w:asciiTheme="minorEastAsia" w:hAnsiTheme="minorEastAsia" w:eastAsiaTheme="minorEastAsia" w:cstheme="minorEastAsia"/>
          <w:color w:val="auto"/>
          <w:kern w:val="44"/>
          <w:sz w:val="21"/>
          <w:szCs w:val="21"/>
        </w:rPr>
        <w:t>.联系方式</w:t>
      </w:r>
    </w:p>
    <w:tbl>
      <w:tblPr>
        <w:tblStyle w:val="43"/>
        <w:tblW w:w="9322" w:type="dxa"/>
        <w:tblInd w:w="0" w:type="dxa"/>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9028"/>
        <w:gridCol w:w="294"/>
      </w:tblGrid>
      <w:tr>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9028" w:type="dxa"/>
          </w:tcPr>
          <w:p>
            <w:pPr>
              <w:pStyle w:val="38"/>
              <w:shd w:val="clear" w:color="auto" w:fill="FFFFFF"/>
              <w:snapToGrid w:val="0"/>
              <w:spacing w:before="0" w:beforeAutospacing="0" w:after="0" w:afterAutospacing="0"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采购人：吉林省高速公路集团有限公司</w:t>
            </w:r>
          </w:p>
          <w:p>
            <w:pPr>
              <w:pStyle w:val="38"/>
              <w:shd w:val="clear" w:color="auto" w:fill="FFFFFF"/>
              <w:snapToGrid w:val="0"/>
              <w:spacing w:before="0" w:beforeAutospacing="0" w:after="0" w:afterAutospacing="0" w:line="360" w:lineRule="exac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地址：吉林省长春市人民大街11511号</w:t>
            </w:r>
          </w:p>
          <w:p>
            <w:pPr>
              <w:pStyle w:val="38"/>
              <w:shd w:val="clear" w:color="auto" w:fill="FFFFFF"/>
              <w:snapToGrid w:val="0"/>
              <w:spacing w:before="0" w:beforeAutospacing="0" w:after="0" w:afterAutospacing="0"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邮政编码：130033</w:t>
            </w:r>
          </w:p>
          <w:p>
            <w:pPr>
              <w:pStyle w:val="38"/>
              <w:shd w:val="clear" w:color="auto" w:fill="FFFFFF"/>
              <w:snapToGrid w:val="0"/>
              <w:spacing w:before="0" w:beforeAutospacing="0" w:after="0" w:afterAutospacing="0"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联系人：</w:t>
            </w:r>
            <w:r>
              <w:rPr>
                <w:rFonts w:hint="eastAsia" w:asciiTheme="minorEastAsia" w:hAnsiTheme="minorEastAsia" w:eastAsiaTheme="minorEastAsia" w:cstheme="minorEastAsia"/>
                <w:color w:val="auto"/>
                <w:sz w:val="21"/>
                <w:szCs w:val="21"/>
              </w:rPr>
              <w:t>张振东</w:t>
            </w:r>
          </w:p>
          <w:p>
            <w:pPr>
              <w:pStyle w:val="38"/>
              <w:shd w:val="clear" w:color="auto" w:fill="FFFFFF"/>
              <w:snapToGrid w:val="0"/>
              <w:spacing w:before="0" w:beforeAutospacing="0" w:after="0" w:afterAutospacing="0"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电话：0431-85254020</w:t>
            </w:r>
          </w:p>
          <w:p>
            <w:pPr>
              <w:pStyle w:val="38"/>
              <w:shd w:val="clear" w:color="auto" w:fill="FFFFFF"/>
              <w:snapToGrid w:val="0"/>
              <w:spacing w:before="0" w:beforeAutospacing="0" w:after="0" w:afterAutospacing="0" w:line="360" w:lineRule="exact"/>
              <w:rPr>
                <w:rFonts w:hint="eastAsia" w:asciiTheme="minorEastAsia" w:hAnsiTheme="minorEastAsia" w:eastAsiaTheme="minorEastAsia" w:cstheme="minorEastAsia"/>
                <w:color w:val="auto"/>
                <w:sz w:val="21"/>
                <w:szCs w:val="21"/>
                <w:shd w:val="clear" w:color="auto" w:fill="FFFFFF"/>
              </w:rPr>
            </w:pPr>
            <w:r>
              <w:rPr>
                <w:rFonts w:hint="eastAsia" w:asciiTheme="minorEastAsia" w:hAnsiTheme="minorEastAsia" w:eastAsiaTheme="minorEastAsia" w:cstheme="minorEastAsia"/>
                <w:color w:val="auto"/>
                <w:sz w:val="21"/>
                <w:szCs w:val="21"/>
                <w:shd w:val="clear" w:color="auto" w:fill="FFFFFF"/>
              </w:rPr>
              <w:t>传真：0431-85254020</w:t>
            </w:r>
          </w:p>
          <w:p>
            <w:pPr>
              <w:pStyle w:val="38"/>
              <w:shd w:val="clear" w:color="auto" w:fill="FFFFFF"/>
              <w:snapToGrid w:val="0"/>
              <w:spacing w:before="0" w:beforeAutospacing="0" w:after="0" w:afterAutospacing="0"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采购代理机构：国信招标集团股份有限公司</w:t>
            </w:r>
          </w:p>
          <w:p>
            <w:pPr>
              <w:pStyle w:val="38"/>
              <w:shd w:val="clear" w:color="auto" w:fill="FFFFFF"/>
              <w:snapToGrid w:val="0"/>
              <w:spacing w:before="0" w:beforeAutospacing="0" w:after="0" w:afterAutospacing="0"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执行机构：国信招标集团股份有限公司吉林省分公司</w:t>
            </w:r>
          </w:p>
          <w:p>
            <w:pPr>
              <w:pStyle w:val="38"/>
              <w:shd w:val="clear" w:color="auto" w:fill="FFFFFF"/>
              <w:snapToGrid w:val="0"/>
              <w:spacing w:before="0" w:beforeAutospacing="0" w:after="0" w:afterAutospacing="0"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地址：长春市净月旅游开发区生态大街3777号明宇广场A4栋32层招标部</w:t>
            </w:r>
          </w:p>
          <w:p>
            <w:pPr>
              <w:pStyle w:val="38"/>
              <w:shd w:val="clear" w:color="auto" w:fill="FFFFFF"/>
              <w:snapToGrid w:val="0"/>
              <w:spacing w:before="0" w:beforeAutospacing="0" w:after="0" w:afterAutospacing="0"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联系人：张娉婷</w:t>
            </w:r>
          </w:p>
          <w:p>
            <w:pPr>
              <w:pStyle w:val="38"/>
              <w:shd w:val="clear" w:color="auto" w:fill="FFFFFF"/>
              <w:snapToGrid w:val="0"/>
              <w:spacing w:before="0" w:beforeAutospacing="0" w:after="0" w:afterAutospacing="0"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电话：0431-81852896</w:t>
            </w:r>
          </w:p>
          <w:p>
            <w:pPr>
              <w:spacing w:line="36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邮箱：</w:t>
            </w:r>
            <w:r>
              <w:rPr>
                <w:rFonts w:hint="eastAsia" w:asciiTheme="minorEastAsia" w:hAnsiTheme="minorEastAsia" w:eastAsiaTheme="minorEastAsia" w:cstheme="minorEastAsia"/>
                <w:color w:val="auto"/>
                <w:sz w:val="21"/>
                <w:szCs w:val="21"/>
                <w:highlight w:val="none"/>
                <w:shd w:val="clear" w:color="auto" w:fill="FFFFFF"/>
              </w:rPr>
              <w:t>2232574732@qq.com</w:t>
            </w:r>
          </w:p>
          <w:p>
            <w:pPr>
              <w:spacing w:line="360" w:lineRule="exact"/>
              <w:rPr>
                <w:rFonts w:hint="eastAsia" w:asciiTheme="minorEastAsia" w:hAnsiTheme="minorEastAsia" w:eastAsiaTheme="minorEastAsia" w:cstheme="minorEastAsia"/>
                <w:color w:val="auto"/>
                <w:sz w:val="21"/>
                <w:szCs w:val="21"/>
              </w:rPr>
            </w:pPr>
          </w:p>
        </w:tc>
        <w:tc>
          <w:tcPr>
            <w:tcW w:w="294" w:type="dxa"/>
          </w:tcPr>
          <w:p>
            <w:pPr>
              <w:autoSpaceDE w:val="0"/>
              <w:autoSpaceDN w:val="0"/>
              <w:adjustRightInd w:val="0"/>
              <w:spacing w:line="360" w:lineRule="exact"/>
              <w:rPr>
                <w:rFonts w:hint="eastAsia" w:asciiTheme="minorEastAsia" w:hAnsiTheme="minorEastAsia" w:eastAsiaTheme="minorEastAsia" w:cstheme="minorEastAsia"/>
                <w:color w:val="auto"/>
                <w:sz w:val="21"/>
                <w:szCs w:val="21"/>
              </w:rPr>
            </w:pPr>
          </w:p>
        </w:tc>
      </w:tr>
      <w:tr>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trPr>
        <w:tc>
          <w:tcPr>
            <w:tcW w:w="9028" w:type="dxa"/>
          </w:tcPr>
          <w:p>
            <w:pPr>
              <w:spacing w:line="360" w:lineRule="atLeast"/>
              <w:rPr>
                <w:rFonts w:hint="eastAsia" w:asciiTheme="minorEastAsia" w:hAnsiTheme="minorEastAsia" w:eastAsiaTheme="minorEastAsia" w:cstheme="minorEastAsia"/>
                <w:color w:val="auto"/>
                <w:sz w:val="21"/>
                <w:szCs w:val="21"/>
              </w:rPr>
            </w:pPr>
          </w:p>
        </w:tc>
        <w:tc>
          <w:tcPr>
            <w:tcW w:w="294" w:type="dxa"/>
          </w:tcPr>
          <w:p>
            <w:pPr>
              <w:autoSpaceDE w:val="0"/>
              <w:autoSpaceDN w:val="0"/>
              <w:adjustRightInd w:val="0"/>
              <w:spacing w:line="360" w:lineRule="atLeast"/>
              <w:rPr>
                <w:rFonts w:hint="eastAsia" w:asciiTheme="minorEastAsia" w:hAnsiTheme="minorEastAsia" w:eastAsiaTheme="minorEastAsia" w:cstheme="minorEastAsia"/>
                <w:color w:val="auto"/>
                <w:sz w:val="21"/>
                <w:szCs w:val="21"/>
              </w:rPr>
            </w:pPr>
          </w:p>
        </w:tc>
      </w:tr>
      <w:bookmarkEnd w:id="16"/>
      <w:bookmarkEnd w:id="17"/>
      <w:bookmarkEnd w:id="18"/>
      <w:bookmarkEnd w:id="19"/>
      <w:bookmarkEnd w:id="20"/>
    </w:tbl>
    <w:p>
      <w:pPr>
        <w:spacing w:line="360" w:lineRule="atLeast"/>
        <w:jc w:val="both"/>
        <w:rPr>
          <w:rFonts w:hint="eastAsia" w:asciiTheme="minorEastAsia" w:hAnsiTheme="minorEastAsia" w:eastAsiaTheme="minorEastAsia" w:cstheme="minorEastAsia"/>
          <w:color w:val="auto"/>
          <w:sz w:val="21"/>
          <w:szCs w:val="21"/>
        </w:rPr>
      </w:pPr>
    </w:p>
    <w:sectPr>
      <w:footnotePr>
        <w:numFmt w:val="decimalEnclosedCircleChinese"/>
        <w:numRestart w:val="eachPage"/>
      </w:footnotePr>
      <w:pgSz w:w="11907" w:h="16840"/>
      <w:pgMar w:top="1418" w:right="1134" w:bottom="1134" w:left="1418" w:header="680" w:footer="90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mbria">
    <w:altName w:val="Miriam Mono CLM"/>
    <w:panose1 w:val="02040503050406030204"/>
    <w:charset w:val="00"/>
    <w:family w:val="roman"/>
    <w:pitch w:val="default"/>
    <w:sig w:usb0="00000000" w:usb1="00000000" w:usb2="00000000" w:usb3="00000000" w:csb0="0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00"/>
    <w:family w:val="swiss"/>
    <w:pitch w:val="default"/>
    <w:sig w:usb0="80001AFF" w:usb1="0000396B" w:usb2="00000000" w:usb3="00000000" w:csb0="200000BF" w:csb1="D7F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Miriam Mono CLM">
    <w:panose1 w:val="02000503000000000000"/>
    <w:charset w:val="00"/>
    <w:family w:val="auto"/>
    <w:pitch w:val="default"/>
    <w:sig w:usb0="80000803" w:usb1="50002802" w:usb2="00000000" w:usb3="00000000" w:csb0="0000002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B017D"/>
    <w:multiLevelType w:val="singleLevel"/>
    <w:tmpl w:val="19AB017D"/>
    <w:lvl w:ilvl="0" w:tentative="0">
      <w:start w:val="1"/>
      <w:numFmt w:val="decimal"/>
      <w:lvlText w:val="%1."/>
      <w:lvlJc w:val="left"/>
      <w:pPr>
        <w:tabs>
          <w:tab w:val="left" w:pos="312"/>
        </w:tabs>
      </w:pPr>
    </w:lvl>
  </w:abstractNum>
  <w:abstractNum w:abstractNumId="1">
    <w:nsid w:val="26AF1F73"/>
    <w:multiLevelType w:val="singleLevel"/>
    <w:tmpl w:val="26AF1F73"/>
    <w:lvl w:ilvl="0" w:tentative="0">
      <w:start w:val="4"/>
      <w:numFmt w:val="chineseCounting"/>
      <w:suff w:val="nothing"/>
      <w:lvlText w:val="%1、"/>
      <w:lvlJc w:val="left"/>
      <w:rPr>
        <w:rFonts w:hint="eastAsia"/>
      </w:rPr>
    </w:lvl>
  </w:abstractNum>
  <w:abstractNum w:abstractNumId="2">
    <w:nsid w:val="5AAB3475"/>
    <w:multiLevelType w:val="singleLevel"/>
    <w:tmpl w:val="5AAB3475"/>
    <w:lvl w:ilvl="0" w:tentative="0">
      <w:start w:val="1"/>
      <w:numFmt w:val="decimal"/>
      <w:lvlText w:val="%1."/>
      <w:lvlJc w:val="left"/>
      <w:pPr>
        <w:ind w:left="425" w:hanging="425"/>
      </w:pPr>
      <w:rPr>
        <w:rFonts w:hint="default"/>
      </w:rPr>
    </w:lvl>
  </w:abstractNum>
  <w:abstractNum w:abstractNumId="3">
    <w:nsid w:val="72A16D51"/>
    <w:multiLevelType w:val="multilevel"/>
    <w:tmpl w:val="72A16D51"/>
    <w:lvl w:ilvl="0" w:tentative="0">
      <w:start w:val="1"/>
      <w:numFmt w:val="decimal"/>
      <w:pStyle w:val="7"/>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9"/>
      <w:suff w:val="space"/>
      <w:lvlText w:val="%1.%2.%3"/>
      <w:lvlJc w:val="left"/>
      <w:pPr>
        <w:ind w:left="143" w:firstLine="425"/>
      </w:pPr>
      <w:rPr>
        <w:rFonts w:hint="eastAsia"/>
      </w:rPr>
    </w:lvl>
    <w:lvl w:ilvl="3" w:tentative="0">
      <w:start w:val="1"/>
      <w:numFmt w:val="decimal"/>
      <w:lvlText w:val="%1.%2.%3.%4"/>
      <w:lvlJc w:val="left"/>
      <w:pPr>
        <w:ind w:left="0" w:firstLine="851"/>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05"/>
  <w:drawingGridVerticalSpacing w:val="120"/>
  <w:displayHorizontalDrawingGridEvery w:val="0"/>
  <w:displayVerticalDrawingGridEvery w:val="3"/>
  <w:doNotShadeFormData w:val="1"/>
  <w:characterSpacingControl w:val="compressPunctuation"/>
  <w:doNotValidateAgainstSchema/>
  <w:doNotDemarcateInvalidXml/>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55"/>
    <w:rsid w:val="00000B9B"/>
    <w:rsid w:val="0000164E"/>
    <w:rsid w:val="00001854"/>
    <w:rsid w:val="00001EB2"/>
    <w:rsid w:val="0000200A"/>
    <w:rsid w:val="00002670"/>
    <w:rsid w:val="00002B75"/>
    <w:rsid w:val="00002CF2"/>
    <w:rsid w:val="00003556"/>
    <w:rsid w:val="000055C5"/>
    <w:rsid w:val="00005739"/>
    <w:rsid w:val="00005846"/>
    <w:rsid w:val="000058E7"/>
    <w:rsid w:val="000068D5"/>
    <w:rsid w:val="0001062E"/>
    <w:rsid w:val="000111B0"/>
    <w:rsid w:val="0001261F"/>
    <w:rsid w:val="00012D41"/>
    <w:rsid w:val="00015328"/>
    <w:rsid w:val="0001651E"/>
    <w:rsid w:val="0001762B"/>
    <w:rsid w:val="00017D1F"/>
    <w:rsid w:val="000207BA"/>
    <w:rsid w:val="0002185E"/>
    <w:rsid w:val="00022437"/>
    <w:rsid w:val="0002244B"/>
    <w:rsid w:val="00022C84"/>
    <w:rsid w:val="00023F1C"/>
    <w:rsid w:val="000240A3"/>
    <w:rsid w:val="000246DD"/>
    <w:rsid w:val="00024C32"/>
    <w:rsid w:val="00024CAF"/>
    <w:rsid w:val="00025358"/>
    <w:rsid w:val="00025D97"/>
    <w:rsid w:val="0002642A"/>
    <w:rsid w:val="0002665C"/>
    <w:rsid w:val="00026758"/>
    <w:rsid w:val="00027250"/>
    <w:rsid w:val="000276C7"/>
    <w:rsid w:val="00027CFB"/>
    <w:rsid w:val="00030B33"/>
    <w:rsid w:val="00030C58"/>
    <w:rsid w:val="00030CA0"/>
    <w:rsid w:val="00030DCE"/>
    <w:rsid w:val="0003216C"/>
    <w:rsid w:val="00033262"/>
    <w:rsid w:val="00033D43"/>
    <w:rsid w:val="000340F4"/>
    <w:rsid w:val="00034D28"/>
    <w:rsid w:val="0003563D"/>
    <w:rsid w:val="00035B0E"/>
    <w:rsid w:val="00036DE6"/>
    <w:rsid w:val="00036FDC"/>
    <w:rsid w:val="0003787D"/>
    <w:rsid w:val="0003793F"/>
    <w:rsid w:val="0004083E"/>
    <w:rsid w:val="000414C3"/>
    <w:rsid w:val="00042733"/>
    <w:rsid w:val="00044116"/>
    <w:rsid w:val="000443B5"/>
    <w:rsid w:val="00045885"/>
    <w:rsid w:val="00045D64"/>
    <w:rsid w:val="000466E5"/>
    <w:rsid w:val="00046751"/>
    <w:rsid w:val="000468EA"/>
    <w:rsid w:val="00046D60"/>
    <w:rsid w:val="00047021"/>
    <w:rsid w:val="00047858"/>
    <w:rsid w:val="00047B78"/>
    <w:rsid w:val="0005070F"/>
    <w:rsid w:val="000516FE"/>
    <w:rsid w:val="0005207B"/>
    <w:rsid w:val="0005262D"/>
    <w:rsid w:val="00052D21"/>
    <w:rsid w:val="000533F6"/>
    <w:rsid w:val="00053CBB"/>
    <w:rsid w:val="0005680E"/>
    <w:rsid w:val="000574B5"/>
    <w:rsid w:val="0006081B"/>
    <w:rsid w:val="00060AAD"/>
    <w:rsid w:val="0006119D"/>
    <w:rsid w:val="000613C2"/>
    <w:rsid w:val="000615E0"/>
    <w:rsid w:val="00061C5F"/>
    <w:rsid w:val="0006313A"/>
    <w:rsid w:val="0006347D"/>
    <w:rsid w:val="000639E1"/>
    <w:rsid w:val="00063C68"/>
    <w:rsid w:val="00064203"/>
    <w:rsid w:val="000653DF"/>
    <w:rsid w:val="000655D9"/>
    <w:rsid w:val="00065A86"/>
    <w:rsid w:val="00065D5D"/>
    <w:rsid w:val="00065F01"/>
    <w:rsid w:val="000670FF"/>
    <w:rsid w:val="00070427"/>
    <w:rsid w:val="00070FC5"/>
    <w:rsid w:val="00072755"/>
    <w:rsid w:val="000727F1"/>
    <w:rsid w:val="00073055"/>
    <w:rsid w:val="0007315A"/>
    <w:rsid w:val="00073795"/>
    <w:rsid w:val="00074B6C"/>
    <w:rsid w:val="00075463"/>
    <w:rsid w:val="0007556A"/>
    <w:rsid w:val="00075810"/>
    <w:rsid w:val="000762F0"/>
    <w:rsid w:val="00076C84"/>
    <w:rsid w:val="00076CEA"/>
    <w:rsid w:val="000771CE"/>
    <w:rsid w:val="00077776"/>
    <w:rsid w:val="00077902"/>
    <w:rsid w:val="00077922"/>
    <w:rsid w:val="00080185"/>
    <w:rsid w:val="000817BB"/>
    <w:rsid w:val="00081911"/>
    <w:rsid w:val="00081AB7"/>
    <w:rsid w:val="00081D98"/>
    <w:rsid w:val="00081FA9"/>
    <w:rsid w:val="000823F5"/>
    <w:rsid w:val="00082E7C"/>
    <w:rsid w:val="000832A9"/>
    <w:rsid w:val="0008332C"/>
    <w:rsid w:val="000838E6"/>
    <w:rsid w:val="000846AF"/>
    <w:rsid w:val="00084825"/>
    <w:rsid w:val="00084A3F"/>
    <w:rsid w:val="0008625F"/>
    <w:rsid w:val="00086D4E"/>
    <w:rsid w:val="0008707D"/>
    <w:rsid w:val="0008788F"/>
    <w:rsid w:val="00087CBE"/>
    <w:rsid w:val="00090609"/>
    <w:rsid w:val="000911C9"/>
    <w:rsid w:val="000915FA"/>
    <w:rsid w:val="00091EC3"/>
    <w:rsid w:val="000925E2"/>
    <w:rsid w:val="00092FA6"/>
    <w:rsid w:val="0009309D"/>
    <w:rsid w:val="0009360A"/>
    <w:rsid w:val="00094763"/>
    <w:rsid w:val="00094FE3"/>
    <w:rsid w:val="00095B77"/>
    <w:rsid w:val="000963F7"/>
    <w:rsid w:val="00096448"/>
    <w:rsid w:val="00096A6E"/>
    <w:rsid w:val="00096D0D"/>
    <w:rsid w:val="00097046"/>
    <w:rsid w:val="0009787A"/>
    <w:rsid w:val="000979C9"/>
    <w:rsid w:val="00097ABD"/>
    <w:rsid w:val="00097B8B"/>
    <w:rsid w:val="000A02EE"/>
    <w:rsid w:val="000A04D7"/>
    <w:rsid w:val="000A0D58"/>
    <w:rsid w:val="000A0EED"/>
    <w:rsid w:val="000A12A7"/>
    <w:rsid w:val="000A133F"/>
    <w:rsid w:val="000A1952"/>
    <w:rsid w:val="000A1F24"/>
    <w:rsid w:val="000A2B29"/>
    <w:rsid w:val="000A2E29"/>
    <w:rsid w:val="000A3325"/>
    <w:rsid w:val="000A3487"/>
    <w:rsid w:val="000A39C9"/>
    <w:rsid w:val="000A3A37"/>
    <w:rsid w:val="000A62C4"/>
    <w:rsid w:val="000A66CE"/>
    <w:rsid w:val="000A6C8B"/>
    <w:rsid w:val="000A6FA4"/>
    <w:rsid w:val="000A7BC8"/>
    <w:rsid w:val="000B0042"/>
    <w:rsid w:val="000B00FD"/>
    <w:rsid w:val="000B1499"/>
    <w:rsid w:val="000B1F3B"/>
    <w:rsid w:val="000B2598"/>
    <w:rsid w:val="000B2C45"/>
    <w:rsid w:val="000B31D3"/>
    <w:rsid w:val="000B38B2"/>
    <w:rsid w:val="000B38B4"/>
    <w:rsid w:val="000B3BA7"/>
    <w:rsid w:val="000B43C1"/>
    <w:rsid w:val="000B5A25"/>
    <w:rsid w:val="000B69B8"/>
    <w:rsid w:val="000B6E85"/>
    <w:rsid w:val="000B7483"/>
    <w:rsid w:val="000B7AA8"/>
    <w:rsid w:val="000C01B4"/>
    <w:rsid w:val="000C03AA"/>
    <w:rsid w:val="000C115A"/>
    <w:rsid w:val="000C177A"/>
    <w:rsid w:val="000C1828"/>
    <w:rsid w:val="000C201D"/>
    <w:rsid w:val="000C2087"/>
    <w:rsid w:val="000C2657"/>
    <w:rsid w:val="000C26D3"/>
    <w:rsid w:val="000C3501"/>
    <w:rsid w:val="000C3A43"/>
    <w:rsid w:val="000C3C4E"/>
    <w:rsid w:val="000C46D8"/>
    <w:rsid w:val="000C46EE"/>
    <w:rsid w:val="000C4CD7"/>
    <w:rsid w:val="000C53F3"/>
    <w:rsid w:val="000C5F63"/>
    <w:rsid w:val="000C6ED6"/>
    <w:rsid w:val="000C73F5"/>
    <w:rsid w:val="000C782E"/>
    <w:rsid w:val="000C7EA2"/>
    <w:rsid w:val="000D05FA"/>
    <w:rsid w:val="000D1A97"/>
    <w:rsid w:val="000D28D1"/>
    <w:rsid w:val="000D2F97"/>
    <w:rsid w:val="000D36FB"/>
    <w:rsid w:val="000D39B3"/>
    <w:rsid w:val="000D3A22"/>
    <w:rsid w:val="000D4386"/>
    <w:rsid w:val="000D46BA"/>
    <w:rsid w:val="000D4724"/>
    <w:rsid w:val="000D49A6"/>
    <w:rsid w:val="000D4BFA"/>
    <w:rsid w:val="000D4D2D"/>
    <w:rsid w:val="000D504E"/>
    <w:rsid w:val="000D525A"/>
    <w:rsid w:val="000D563E"/>
    <w:rsid w:val="000D5D86"/>
    <w:rsid w:val="000D600E"/>
    <w:rsid w:val="000D68BD"/>
    <w:rsid w:val="000D6A87"/>
    <w:rsid w:val="000D6DCF"/>
    <w:rsid w:val="000D6F16"/>
    <w:rsid w:val="000D74D3"/>
    <w:rsid w:val="000D7B4C"/>
    <w:rsid w:val="000D7F1F"/>
    <w:rsid w:val="000E100D"/>
    <w:rsid w:val="000E181B"/>
    <w:rsid w:val="000E2019"/>
    <w:rsid w:val="000E244B"/>
    <w:rsid w:val="000E264B"/>
    <w:rsid w:val="000E32C4"/>
    <w:rsid w:val="000E384C"/>
    <w:rsid w:val="000E4BCB"/>
    <w:rsid w:val="000E5520"/>
    <w:rsid w:val="000E61B1"/>
    <w:rsid w:val="000E6370"/>
    <w:rsid w:val="000E64A8"/>
    <w:rsid w:val="000E6B45"/>
    <w:rsid w:val="000E7547"/>
    <w:rsid w:val="000F1B64"/>
    <w:rsid w:val="000F2922"/>
    <w:rsid w:val="000F2EB9"/>
    <w:rsid w:val="000F37E4"/>
    <w:rsid w:val="000F426B"/>
    <w:rsid w:val="000F4514"/>
    <w:rsid w:val="000F550F"/>
    <w:rsid w:val="000F5D10"/>
    <w:rsid w:val="000F66CF"/>
    <w:rsid w:val="000F68AF"/>
    <w:rsid w:val="000F6DAF"/>
    <w:rsid w:val="000F7647"/>
    <w:rsid w:val="000F7ACF"/>
    <w:rsid w:val="000F7F19"/>
    <w:rsid w:val="00104A3C"/>
    <w:rsid w:val="00104BF4"/>
    <w:rsid w:val="001058DB"/>
    <w:rsid w:val="00105DEA"/>
    <w:rsid w:val="00106D4E"/>
    <w:rsid w:val="001077E7"/>
    <w:rsid w:val="0011028D"/>
    <w:rsid w:val="001105B9"/>
    <w:rsid w:val="00110690"/>
    <w:rsid w:val="00111887"/>
    <w:rsid w:val="00111951"/>
    <w:rsid w:val="00111AB9"/>
    <w:rsid w:val="00111C2D"/>
    <w:rsid w:val="001125F6"/>
    <w:rsid w:val="001129BB"/>
    <w:rsid w:val="00112E86"/>
    <w:rsid w:val="00113FE3"/>
    <w:rsid w:val="00114197"/>
    <w:rsid w:val="00114B1E"/>
    <w:rsid w:val="00114D8A"/>
    <w:rsid w:val="00115699"/>
    <w:rsid w:val="001167B7"/>
    <w:rsid w:val="00116A43"/>
    <w:rsid w:val="00117180"/>
    <w:rsid w:val="0011753E"/>
    <w:rsid w:val="00120AD6"/>
    <w:rsid w:val="00120FBA"/>
    <w:rsid w:val="00121319"/>
    <w:rsid w:val="001215FC"/>
    <w:rsid w:val="001219AE"/>
    <w:rsid w:val="00121A12"/>
    <w:rsid w:val="00121BC5"/>
    <w:rsid w:val="00122492"/>
    <w:rsid w:val="0012370F"/>
    <w:rsid w:val="00123DBA"/>
    <w:rsid w:val="00123E43"/>
    <w:rsid w:val="00125C69"/>
    <w:rsid w:val="00125DBD"/>
    <w:rsid w:val="001269F9"/>
    <w:rsid w:val="00127235"/>
    <w:rsid w:val="00130528"/>
    <w:rsid w:val="00131013"/>
    <w:rsid w:val="001310F7"/>
    <w:rsid w:val="0013179E"/>
    <w:rsid w:val="00131BA0"/>
    <w:rsid w:val="001321AF"/>
    <w:rsid w:val="001324BD"/>
    <w:rsid w:val="001336DC"/>
    <w:rsid w:val="00133DD3"/>
    <w:rsid w:val="00134416"/>
    <w:rsid w:val="00134439"/>
    <w:rsid w:val="00134A78"/>
    <w:rsid w:val="00134C98"/>
    <w:rsid w:val="001361FD"/>
    <w:rsid w:val="00137298"/>
    <w:rsid w:val="0013732B"/>
    <w:rsid w:val="00137624"/>
    <w:rsid w:val="00137660"/>
    <w:rsid w:val="00137768"/>
    <w:rsid w:val="001377C2"/>
    <w:rsid w:val="00137BD9"/>
    <w:rsid w:val="00140273"/>
    <w:rsid w:val="00141C93"/>
    <w:rsid w:val="0014218B"/>
    <w:rsid w:val="00142912"/>
    <w:rsid w:val="00142965"/>
    <w:rsid w:val="001431B8"/>
    <w:rsid w:val="00143A83"/>
    <w:rsid w:val="00143D28"/>
    <w:rsid w:val="0014423A"/>
    <w:rsid w:val="001442B2"/>
    <w:rsid w:val="001449BD"/>
    <w:rsid w:val="00145084"/>
    <w:rsid w:val="00145B5E"/>
    <w:rsid w:val="00145D0B"/>
    <w:rsid w:val="001466A5"/>
    <w:rsid w:val="001466FB"/>
    <w:rsid w:val="001476B0"/>
    <w:rsid w:val="00151444"/>
    <w:rsid w:val="001515FC"/>
    <w:rsid w:val="00152C7C"/>
    <w:rsid w:val="00153224"/>
    <w:rsid w:val="00153CBB"/>
    <w:rsid w:val="00154D17"/>
    <w:rsid w:val="00154F92"/>
    <w:rsid w:val="001550A7"/>
    <w:rsid w:val="0015685F"/>
    <w:rsid w:val="00157007"/>
    <w:rsid w:val="0015791D"/>
    <w:rsid w:val="00157AA1"/>
    <w:rsid w:val="001601AF"/>
    <w:rsid w:val="0016068D"/>
    <w:rsid w:val="00160EA8"/>
    <w:rsid w:val="00162114"/>
    <w:rsid w:val="001628D0"/>
    <w:rsid w:val="00162A31"/>
    <w:rsid w:val="00162B87"/>
    <w:rsid w:val="00162C3C"/>
    <w:rsid w:val="00162D6A"/>
    <w:rsid w:val="00163435"/>
    <w:rsid w:val="0016506F"/>
    <w:rsid w:val="001650E5"/>
    <w:rsid w:val="001660B3"/>
    <w:rsid w:val="00170562"/>
    <w:rsid w:val="00170F05"/>
    <w:rsid w:val="00171834"/>
    <w:rsid w:val="00171C31"/>
    <w:rsid w:val="00172277"/>
    <w:rsid w:val="001740C2"/>
    <w:rsid w:val="001743D5"/>
    <w:rsid w:val="001747C2"/>
    <w:rsid w:val="00174836"/>
    <w:rsid w:val="00174BF4"/>
    <w:rsid w:val="00174E52"/>
    <w:rsid w:val="00174EAA"/>
    <w:rsid w:val="001760A8"/>
    <w:rsid w:val="00176472"/>
    <w:rsid w:val="001777F9"/>
    <w:rsid w:val="00177814"/>
    <w:rsid w:val="001779C9"/>
    <w:rsid w:val="00180709"/>
    <w:rsid w:val="001820F2"/>
    <w:rsid w:val="001821AB"/>
    <w:rsid w:val="00182251"/>
    <w:rsid w:val="001823E8"/>
    <w:rsid w:val="00182CDB"/>
    <w:rsid w:val="00183839"/>
    <w:rsid w:val="00183B51"/>
    <w:rsid w:val="0018405C"/>
    <w:rsid w:val="001840AD"/>
    <w:rsid w:val="001845E7"/>
    <w:rsid w:val="00185023"/>
    <w:rsid w:val="0018579A"/>
    <w:rsid w:val="00186119"/>
    <w:rsid w:val="00186581"/>
    <w:rsid w:val="001869C7"/>
    <w:rsid w:val="00186D76"/>
    <w:rsid w:val="0018728D"/>
    <w:rsid w:val="0018754D"/>
    <w:rsid w:val="00190D26"/>
    <w:rsid w:val="00190DA9"/>
    <w:rsid w:val="00191F94"/>
    <w:rsid w:val="001922FD"/>
    <w:rsid w:val="001926BD"/>
    <w:rsid w:val="0019346D"/>
    <w:rsid w:val="00193CFF"/>
    <w:rsid w:val="00194185"/>
    <w:rsid w:val="0019477D"/>
    <w:rsid w:val="00195160"/>
    <w:rsid w:val="0019700F"/>
    <w:rsid w:val="00197035"/>
    <w:rsid w:val="0019746E"/>
    <w:rsid w:val="001A0099"/>
    <w:rsid w:val="001A0345"/>
    <w:rsid w:val="001A10D9"/>
    <w:rsid w:val="001A130E"/>
    <w:rsid w:val="001A1B30"/>
    <w:rsid w:val="001A1E86"/>
    <w:rsid w:val="001A2006"/>
    <w:rsid w:val="001A28E6"/>
    <w:rsid w:val="001A3AB3"/>
    <w:rsid w:val="001A3DD6"/>
    <w:rsid w:val="001A7CB6"/>
    <w:rsid w:val="001B0F91"/>
    <w:rsid w:val="001B1CF2"/>
    <w:rsid w:val="001B24CA"/>
    <w:rsid w:val="001B2820"/>
    <w:rsid w:val="001B2D59"/>
    <w:rsid w:val="001B2DAC"/>
    <w:rsid w:val="001B30ED"/>
    <w:rsid w:val="001B37A6"/>
    <w:rsid w:val="001B4686"/>
    <w:rsid w:val="001B5036"/>
    <w:rsid w:val="001B5BCB"/>
    <w:rsid w:val="001B6098"/>
    <w:rsid w:val="001B77CD"/>
    <w:rsid w:val="001C12A4"/>
    <w:rsid w:val="001C1586"/>
    <w:rsid w:val="001C1766"/>
    <w:rsid w:val="001C20F3"/>
    <w:rsid w:val="001C3423"/>
    <w:rsid w:val="001C39F2"/>
    <w:rsid w:val="001C3DB3"/>
    <w:rsid w:val="001C5832"/>
    <w:rsid w:val="001C6164"/>
    <w:rsid w:val="001C6FE6"/>
    <w:rsid w:val="001C7902"/>
    <w:rsid w:val="001D0C95"/>
    <w:rsid w:val="001D0E1D"/>
    <w:rsid w:val="001D1530"/>
    <w:rsid w:val="001D19B2"/>
    <w:rsid w:val="001D2BDA"/>
    <w:rsid w:val="001D2D75"/>
    <w:rsid w:val="001D2DE1"/>
    <w:rsid w:val="001D39DF"/>
    <w:rsid w:val="001D3C63"/>
    <w:rsid w:val="001D46F6"/>
    <w:rsid w:val="001D5A27"/>
    <w:rsid w:val="001D60DA"/>
    <w:rsid w:val="001D635C"/>
    <w:rsid w:val="001E07D6"/>
    <w:rsid w:val="001E0A8A"/>
    <w:rsid w:val="001E16F3"/>
    <w:rsid w:val="001E18CC"/>
    <w:rsid w:val="001E19C3"/>
    <w:rsid w:val="001E1B16"/>
    <w:rsid w:val="001E1CBC"/>
    <w:rsid w:val="001E2B69"/>
    <w:rsid w:val="001E2C0C"/>
    <w:rsid w:val="001E3C4B"/>
    <w:rsid w:val="001E3FBF"/>
    <w:rsid w:val="001E4ABF"/>
    <w:rsid w:val="001E54E1"/>
    <w:rsid w:val="001E6722"/>
    <w:rsid w:val="001E69D9"/>
    <w:rsid w:val="001E6AAD"/>
    <w:rsid w:val="001E7855"/>
    <w:rsid w:val="001E787C"/>
    <w:rsid w:val="001E79E4"/>
    <w:rsid w:val="001F0038"/>
    <w:rsid w:val="001F0353"/>
    <w:rsid w:val="001F1991"/>
    <w:rsid w:val="001F1DF4"/>
    <w:rsid w:val="001F23B3"/>
    <w:rsid w:val="001F2A8E"/>
    <w:rsid w:val="001F2F75"/>
    <w:rsid w:val="001F30DD"/>
    <w:rsid w:val="001F38FE"/>
    <w:rsid w:val="001F41B7"/>
    <w:rsid w:val="001F4284"/>
    <w:rsid w:val="001F4534"/>
    <w:rsid w:val="001F4C4A"/>
    <w:rsid w:val="001F5777"/>
    <w:rsid w:val="001F5833"/>
    <w:rsid w:val="001F5BB3"/>
    <w:rsid w:val="001F5CCC"/>
    <w:rsid w:val="001F6594"/>
    <w:rsid w:val="001F668B"/>
    <w:rsid w:val="001F673A"/>
    <w:rsid w:val="001F7046"/>
    <w:rsid w:val="001F7602"/>
    <w:rsid w:val="002000D5"/>
    <w:rsid w:val="00200B2E"/>
    <w:rsid w:val="002012C4"/>
    <w:rsid w:val="0020161E"/>
    <w:rsid w:val="00202553"/>
    <w:rsid w:val="00202692"/>
    <w:rsid w:val="002035F5"/>
    <w:rsid w:val="00203D40"/>
    <w:rsid w:val="002041B7"/>
    <w:rsid w:val="00205313"/>
    <w:rsid w:val="00205530"/>
    <w:rsid w:val="0020571C"/>
    <w:rsid w:val="002058E0"/>
    <w:rsid w:val="00205B1B"/>
    <w:rsid w:val="00205F48"/>
    <w:rsid w:val="00205F9E"/>
    <w:rsid w:val="0020685F"/>
    <w:rsid w:val="00206863"/>
    <w:rsid w:val="00206867"/>
    <w:rsid w:val="00206EE4"/>
    <w:rsid w:val="00206FD2"/>
    <w:rsid w:val="0020737F"/>
    <w:rsid w:val="00210D35"/>
    <w:rsid w:val="00210FA2"/>
    <w:rsid w:val="00211279"/>
    <w:rsid w:val="00211EE3"/>
    <w:rsid w:val="00212DA1"/>
    <w:rsid w:val="002130B8"/>
    <w:rsid w:val="00214209"/>
    <w:rsid w:val="00214436"/>
    <w:rsid w:val="002148E3"/>
    <w:rsid w:val="00214B03"/>
    <w:rsid w:val="0021531F"/>
    <w:rsid w:val="00216879"/>
    <w:rsid w:val="00216930"/>
    <w:rsid w:val="0022000C"/>
    <w:rsid w:val="00220279"/>
    <w:rsid w:val="00220C36"/>
    <w:rsid w:val="00222624"/>
    <w:rsid w:val="00222F70"/>
    <w:rsid w:val="002250AF"/>
    <w:rsid w:val="00226E28"/>
    <w:rsid w:val="002271EA"/>
    <w:rsid w:val="002276EA"/>
    <w:rsid w:val="00230027"/>
    <w:rsid w:val="00230CDA"/>
    <w:rsid w:val="00230DCC"/>
    <w:rsid w:val="00231276"/>
    <w:rsid w:val="00231EA0"/>
    <w:rsid w:val="002327EC"/>
    <w:rsid w:val="00233701"/>
    <w:rsid w:val="00233BBA"/>
    <w:rsid w:val="002350F7"/>
    <w:rsid w:val="002359CB"/>
    <w:rsid w:val="00236025"/>
    <w:rsid w:val="002360F9"/>
    <w:rsid w:val="002362E3"/>
    <w:rsid w:val="002371CF"/>
    <w:rsid w:val="00241B43"/>
    <w:rsid w:val="002425D0"/>
    <w:rsid w:val="0024271A"/>
    <w:rsid w:val="00242C82"/>
    <w:rsid w:val="00243146"/>
    <w:rsid w:val="002443A6"/>
    <w:rsid w:val="00244756"/>
    <w:rsid w:val="002457EA"/>
    <w:rsid w:val="002458B3"/>
    <w:rsid w:val="002460B5"/>
    <w:rsid w:val="00247186"/>
    <w:rsid w:val="00247838"/>
    <w:rsid w:val="00247B1A"/>
    <w:rsid w:val="00247D45"/>
    <w:rsid w:val="00250196"/>
    <w:rsid w:val="0025082A"/>
    <w:rsid w:val="002512A7"/>
    <w:rsid w:val="0025130B"/>
    <w:rsid w:val="0025266D"/>
    <w:rsid w:val="002528E1"/>
    <w:rsid w:val="00252F4E"/>
    <w:rsid w:val="00253499"/>
    <w:rsid w:val="00254D2F"/>
    <w:rsid w:val="002560F7"/>
    <w:rsid w:val="00257583"/>
    <w:rsid w:val="00257688"/>
    <w:rsid w:val="00257D05"/>
    <w:rsid w:val="00257D90"/>
    <w:rsid w:val="002603FA"/>
    <w:rsid w:val="00261698"/>
    <w:rsid w:val="00262A6D"/>
    <w:rsid w:val="002636AA"/>
    <w:rsid w:val="00263D2C"/>
    <w:rsid w:val="002646D2"/>
    <w:rsid w:val="002649DB"/>
    <w:rsid w:val="00265C9D"/>
    <w:rsid w:val="00265DA6"/>
    <w:rsid w:val="002662CC"/>
    <w:rsid w:val="002674ED"/>
    <w:rsid w:val="00267734"/>
    <w:rsid w:val="00267BDC"/>
    <w:rsid w:val="0027011F"/>
    <w:rsid w:val="00270E17"/>
    <w:rsid w:val="00270E46"/>
    <w:rsid w:val="002714D2"/>
    <w:rsid w:val="002722D6"/>
    <w:rsid w:val="00272C0D"/>
    <w:rsid w:val="002735CA"/>
    <w:rsid w:val="00273860"/>
    <w:rsid w:val="00273D88"/>
    <w:rsid w:val="0027493E"/>
    <w:rsid w:val="002759D7"/>
    <w:rsid w:val="00275BDF"/>
    <w:rsid w:val="002762A6"/>
    <w:rsid w:val="00276502"/>
    <w:rsid w:val="002767CA"/>
    <w:rsid w:val="002770BB"/>
    <w:rsid w:val="00277165"/>
    <w:rsid w:val="00277F34"/>
    <w:rsid w:val="00277FAB"/>
    <w:rsid w:val="002800DE"/>
    <w:rsid w:val="0028033B"/>
    <w:rsid w:val="00280C5F"/>
    <w:rsid w:val="00280FD0"/>
    <w:rsid w:val="002822F4"/>
    <w:rsid w:val="00282362"/>
    <w:rsid w:val="002830DB"/>
    <w:rsid w:val="0028507F"/>
    <w:rsid w:val="002858C9"/>
    <w:rsid w:val="00285AAA"/>
    <w:rsid w:val="0028671D"/>
    <w:rsid w:val="00286DB9"/>
    <w:rsid w:val="00286DC2"/>
    <w:rsid w:val="00290AEF"/>
    <w:rsid w:val="00290CA1"/>
    <w:rsid w:val="00291ED5"/>
    <w:rsid w:val="002925DE"/>
    <w:rsid w:val="00292DE5"/>
    <w:rsid w:val="0029301A"/>
    <w:rsid w:val="00293687"/>
    <w:rsid w:val="0029454A"/>
    <w:rsid w:val="002950CE"/>
    <w:rsid w:val="0029527C"/>
    <w:rsid w:val="00295988"/>
    <w:rsid w:val="00295CD6"/>
    <w:rsid w:val="002965C2"/>
    <w:rsid w:val="002967E7"/>
    <w:rsid w:val="00297229"/>
    <w:rsid w:val="002973D8"/>
    <w:rsid w:val="00297695"/>
    <w:rsid w:val="00297945"/>
    <w:rsid w:val="002A03FA"/>
    <w:rsid w:val="002A1B42"/>
    <w:rsid w:val="002A1C5E"/>
    <w:rsid w:val="002A215E"/>
    <w:rsid w:val="002A2888"/>
    <w:rsid w:val="002A2D44"/>
    <w:rsid w:val="002A337E"/>
    <w:rsid w:val="002A3D7B"/>
    <w:rsid w:val="002A4F7A"/>
    <w:rsid w:val="002A5562"/>
    <w:rsid w:val="002A5BE7"/>
    <w:rsid w:val="002A5C50"/>
    <w:rsid w:val="002A6B8B"/>
    <w:rsid w:val="002A7CFD"/>
    <w:rsid w:val="002B12C3"/>
    <w:rsid w:val="002B1CFB"/>
    <w:rsid w:val="002B1EB8"/>
    <w:rsid w:val="002B246E"/>
    <w:rsid w:val="002B2A63"/>
    <w:rsid w:val="002B2C46"/>
    <w:rsid w:val="002B31D2"/>
    <w:rsid w:val="002B31D9"/>
    <w:rsid w:val="002B3323"/>
    <w:rsid w:val="002B3B9D"/>
    <w:rsid w:val="002B4298"/>
    <w:rsid w:val="002B6ADC"/>
    <w:rsid w:val="002B6AEA"/>
    <w:rsid w:val="002B6C9A"/>
    <w:rsid w:val="002B756A"/>
    <w:rsid w:val="002B78A8"/>
    <w:rsid w:val="002C15F0"/>
    <w:rsid w:val="002C1BC5"/>
    <w:rsid w:val="002C1BEF"/>
    <w:rsid w:val="002C1D91"/>
    <w:rsid w:val="002C251E"/>
    <w:rsid w:val="002C3754"/>
    <w:rsid w:val="002C387F"/>
    <w:rsid w:val="002C4648"/>
    <w:rsid w:val="002C5225"/>
    <w:rsid w:val="002C555A"/>
    <w:rsid w:val="002C5CD1"/>
    <w:rsid w:val="002C5FAC"/>
    <w:rsid w:val="002C6386"/>
    <w:rsid w:val="002C65FA"/>
    <w:rsid w:val="002C6AF9"/>
    <w:rsid w:val="002C6B8C"/>
    <w:rsid w:val="002C6F26"/>
    <w:rsid w:val="002C7869"/>
    <w:rsid w:val="002D05E1"/>
    <w:rsid w:val="002D2ED2"/>
    <w:rsid w:val="002D33EE"/>
    <w:rsid w:val="002D3C49"/>
    <w:rsid w:val="002D410E"/>
    <w:rsid w:val="002D5233"/>
    <w:rsid w:val="002D5A2A"/>
    <w:rsid w:val="002D66C2"/>
    <w:rsid w:val="002D7450"/>
    <w:rsid w:val="002E0899"/>
    <w:rsid w:val="002E0F9D"/>
    <w:rsid w:val="002E1B89"/>
    <w:rsid w:val="002E20D5"/>
    <w:rsid w:val="002E29A1"/>
    <w:rsid w:val="002E4A40"/>
    <w:rsid w:val="002E6127"/>
    <w:rsid w:val="002E66CF"/>
    <w:rsid w:val="002E6E59"/>
    <w:rsid w:val="002E76DF"/>
    <w:rsid w:val="002F03D9"/>
    <w:rsid w:val="002F0CCD"/>
    <w:rsid w:val="002F0F99"/>
    <w:rsid w:val="002F14E0"/>
    <w:rsid w:val="002F2006"/>
    <w:rsid w:val="002F2738"/>
    <w:rsid w:val="002F2A4D"/>
    <w:rsid w:val="002F3565"/>
    <w:rsid w:val="002F441F"/>
    <w:rsid w:val="002F4686"/>
    <w:rsid w:val="002F55A4"/>
    <w:rsid w:val="002F6285"/>
    <w:rsid w:val="002F6357"/>
    <w:rsid w:val="002F645A"/>
    <w:rsid w:val="002F6D47"/>
    <w:rsid w:val="002F6D96"/>
    <w:rsid w:val="002F7134"/>
    <w:rsid w:val="002F71EE"/>
    <w:rsid w:val="002F7274"/>
    <w:rsid w:val="002F729E"/>
    <w:rsid w:val="002F7422"/>
    <w:rsid w:val="00300BC3"/>
    <w:rsid w:val="00301387"/>
    <w:rsid w:val="00301394"/>
    <w:rsid w:val="003019DD"/>
    <w:rsid w:val="00302080"/>
    <w:rsid w:val="00302133"/>
    <w:rsid w:val="00302257"/>
    <w:rsid w:val="00302440"/>
    <w:rsid w:val="00302A81"/>
    <w:rsid w:val="0030340C"/>
    <w:rsid w:val="00303B2D"/>
    <w:rsid w:val="00303C6F"/>
    <w:rsid w:val="00304CF2"/>
    <w:rsid w:val="00306A23"/>
    <w:rsid w:val="00307512"/>
    <w:rsid w:val="003101C2"/>
    <w:rsid w:val="003108AF"/>
    <w:rsid w:val="00310BA1"/>
    <w:rsid w:val="00311C6A"/>
    <w:rsid w:val="003123E4"/>
    <w:rsid w:val="003126C9"/>
    <w:rsid w:val="00312E43"/>
    <w:rsid w:val="00313E1F"/>
    <w:rsid w:val="003143BD"/>
    <w:rsid w:val="00315BED"/>
    <w:rsid w:val="00315F05"/>
    <w:rsid w:val="00316615"/>
    <w:rsid w:val="0031692A"/>
    <w:rsid w:val="00317793"/>
    <w:rsid w:val="00317866"/>
    <w:rsid w:val="00321084"/>
    <w:rsid w:val="00321E0E"/>
    <w:rsid w:val="0032207D"/>
    <w:rsid w:val="00322ED0"/>
    <w:rsid w:val="0032377E"/>
    <w:rsid w:val="00323E3F"/>
    <w:rsid w:val="00324333"/>
    <w:rsid w:val="00325825"/>
    <w:rsid w:val="0033001E"/>
    <w:rsid w:val="003313FF"/>
    <w:rsid w:val="003323EE"/>
    <w:rsid w:val="00332E7F"/>
    <w:rsid w:val="00335CCF"/>
    <w:rsid w:val="00336119"/>
    <w:rsid w:val="00336371"/>
    <w:rsid w:val="003365CF"/>
    <w:rsid w:val="00336F8D"/>
    <w:rsid w:val="003371EE"/>
    <w:rsid w:val="00337C93"/>
    <w:rsid w:val="00340BD5"/>
    <w:rsid w:val="00341764"/>
    <w:rsid w:val="003420A5"/>
    <w:rsid w:val="00342566"/>
    <w:rsid w:val="00344CAB"/>
    <w:rsid w:val="003450BE"/>
    <w:rsid w:val="00345BB7"/>
    <w:rsid w:val="003460C9"/>
    <w:rsid w:val="0034644B"/>
    <w:rsid w:val="00346F13"/>
    <w:rsid w:val="00347367"/>
    <w:rsid w:val="00347514"/>
    <w:rsid w:val="00347637"/>
    <w:rsid w:val="00347903"/>
    <w:rsid w:val="00347AC2"/>
    <w:rsid w:val="00347E0F"/>
    <w:rsid w:val="00350BC4"/>
    <w:rsid w:val="003510EE"/>
    <w:rsid w:val="00352910"/>
    <w:rsid w:val="00353175"/>
    <w:rsid w:val="00353962"/>
    <w:rsid w:val="00353E60"/>
    <w:rsid w:val="0035483B"/>
    <w:rsid w:val="00355AF0"/>
    <w:rsid w:val="003565D6"/>
    <w:rsid w:val="0035669F"/>
    <w:rsid w:val="0035690B"/>
    <w:rsid w:val="00356C27"/>
    <w:rsid w:val="0035791F"/>
    <w:rsid w:val="00357B61"/>
    <w:rsid w:val="00360358"/>
    <w:rsid w:val="00360643"/>
    <w:rsid w:val="003609D2"/>
    <w:rsid w:val="0036252F"/>
    <w:rsid w:val="00363370"/>
    <w:rsid w:val="00363847"/>
    <w:rsid w:val="00363F14"/>
    <w:rsid w:val="003647C0"/>
    <w:rsid w:val="00364E03"/>
    <w:rsid w:val="003655C7"/>
    <w:rsid w:val="00365758"/>
    <w:rsid w:val="00365844"/>
    <w:rsid w:val="00365885"/>
    <w:rsid w:val="00365891"/>
    <w:rsid w:val="00365A1E"/>
    <w:rsid w:val="00366C48"/>
    <w:rsid w:val="00370027"/>
    <w:rsid w:val="00370527"/>
    <w:rsid w:val="00371047"/>
    <w:rsid w:val="003715AF"/>
    <w:rsid w:val="003717FD"/>
    <w:rsid w:val="00372C45"/>
    <w:rsid w:val="0037305D"/>
    <w:rsid w:val="003733A9"/>
    <w:rsid w:val="0037371B"/>
    <w:rsid w:val="00373991"/>
    <w:rsid w:val="00374324"/>
    <w:rsid w:val="00375AA7"/>
    <w:rsid w:val="00375F8A"/>
    <w:rsid w:val="00376B4B"/>
    <w:rsid w:val="00376F67"/>
    <w:rsid w:val="003770C8"/>
    <w:rsid w:val="003807AC"/>
    <w:rsid w:val="00380B8C"/>
    <w:rsid w:val="00380ECF"/>
    <w:rsid w:val="003815EF"/>
    <w:rsid w:val="0038164C"/>
    <w:rsid w:val="003819BA"/>
    <w:rsid w:val="00381DFD"/>
    <w:rsid w:val="00382053"/>
    <w:rsid w:val="0038240A"/>
    <w:rsid w:val="0038296F"/>
    <w:rsid w:val="003829E4"/>
    <w:rsid w:val="00382F2A"/>
    <w:rsid w:val="0038315A"/>
    <w:rsid w:val="003838B5"/>
    <w:rsid w:val="003843F1"/>
    <w:rsid w:val="0038556E"/>
    <w:rsid w:val="00386E8B"/>
    <w:rsid w:val="00387E58"/>
    <w:rsid w:val="00390FA3"/>
    <w:rsid w:val="00391545"/>
    <w:rsid w:val="00391E80"/>
    <w:rsid w:val="00392276"/>
    <w:rsid w:val="0039347E"/>
    <w:rsid w:val="0039358E"/>
    <w:rsid w:val="00393C5A"/>
    <w:rsid w:val="003940DB"/>
    <w:rsid w:val="00395314"/>
    <w:rsid w:val="0039553D"/>
    <w:rsid w:val="00396841"/>
    <w:rsid w:val="00396ABE"/>
    <w:rsid w:val="003976A3"/>
    <w:rsid w:val="00397802"/>
    <w:rsid w:val="003A08FB"/>
    <w:rsid w:val="003A0D0A"/>
    <w:rsid w:val="003A11E7"/>
    <w:rsid w:val="003A14CA"/>
    <w:rsid w:val="003A1A7B"/>
    <w:rsid w:val="003A1A8F"/>
    <w:rsid w:val="003A2240"/>
    <w:rsid w:val="003A3B6D"/>
    <w:rsid w:val="003A3CF3"/>
    <w:rsid w:val="003A3E56"/>
    <w:rsid w:val="003A407C"/>
    <w:rsid w:val="003A40D0"/>
    <w:rsid w:val="003A4273"/>
    <w:rsid w:val="003A4712"/>
    <w:rsid w:val="003A6721"/>
    <w:rsid w:val="003A6AB1"/>
    <w:rsid w:val="003A71CD"/>
    <w:rsid w:val="003A759F"/>
    <w:rsid w:val="003B2C42"/>
    <w:rsid w:val="003B3662"/>
    <w:rsid w:val="003B39B6"/>
    <w:rsid w:val="003B5AAD"/>
    <w:rsid w:val="003B5B96"/>
    <w:rsid w:val="003B5EE0"/>
    <w:rsid w:val="003B63F1"/>
    <w:rsid w:val="003B774C"/>
    <w:rsid w:val="003B7CA7"/>
    <w:rsid w:val="003C00DF"/>
    <w:rsid w:val="003C0396"/>
    <w:rsid w:val="003C0420"/>
    <w:rsid w:val="003C0A79"/>
    <w:rsid w:val="003C0A87"/>
    <w:rsid w:val="003C16BD"/>
    <w:rsid w:val="003C1DBE"/>
    <w:rsid w:val="003C2CB2"/>
    <w:rsid w:val="003C2EE2"/>
    <w:rsid w:val="003C38BC"/>
    <w:rsid w:val="003C3FF4"/>
    <w:rsid w:val="003C4799"/>
    <w:rsid w:val="003C4BA9"/>
    <w:rsid w:val="003C559C"/>
    <w:rsid w:val="003C5C83"/>
    <w:rsid w:val="003C6197"/>
    <w:rsid w:val="003C69A7"/>
    <w:rsid w:val="003D02CC"/>
    <w:rsid w:val="003D04F3"/>
    <w:rsid w:val="003D0509"/>
    <w:rsid w:val="003D0A3F"/>
    <w:rsid w:val="003D15E8"/>
    <w:rsid w:val="003D16D0"/>
    <w:rsid w:val="003D1A95"/>
    <w:rsid w:val="003D1DE1"/>
    <w:rsid w:val="003D2778"/>
    <w:rsid w:val="003D27DA"/>
    <w:rsid w:val="003D2890"/>
    <w:rsid w:val="003D298E"/>
    <w:rsid w:val="003D3798"/>
    <w:rsid w:val="003D440F"/>
    <w:rsid w:val="003D5F36"/>
    <w:rsid w:val="003D6285"/>
    <w:rsid w:val="003D6C05"/>
    <w:rsid w:val="003E0A32"/>
    <w:rsid w:val="003E0F91"/>
    <w:rsid w:val="003E0FEB"/>
    <w:rsid w:val="003E1027"/>
    <w:rsid w:val="003E1895"/>
    <w:rsid w:val="003E222D"/>
    <w:rsid w:val="003E236E"/>
    <w:rsid w:val="003E24CA"/>
    <w:rsid w:val="003E32A6"/>
    <w:rsid w:val="003E3CFE"/>
    <w:rsid w:val="003E48F5"/>
    <w:rsid w:val="003E4C78"/>
    <w:rsid w:val="003E5B67"/>
    <w:rsid w:val="003E658F"/>
    <w:rsid w:val="003E6664"/>
    <w:rsid w:val="003E74C1"/>
    <w:rsid w:val="003E7851"/>
    <w:rsid w:val="003F0983"/>
    <w:rsid w:val="003F1139"/>
    <w:rsid w:val="003F2737"/>
    <w:rsid w:val="003F2DE3"/>
    <w:rsid w:val="003F3213"/>
    <w:rsid w:val="003F3960"/>
    <w:rsid w:val="003F3CCF"/>
    <w:rsid w:val="003F4057"/>
    <w:rsid w:val="003F40CF"/>
    <w:rsid w:val="003F44B1"/>
    <w:rsid w:val="003F44C6"/>
    <w:rsid w:val="003F488E"/>
    <w:rsid w:val="003F4D81"/>
    <w:rsid w:val="003F4EA0"/>
    <w:rsid w:val="003F5232"/>
    <w:rsid w:val="003F5406"/>
    <w:rsid w:val="003F61F7"/>
    <w:rsid w:val="003F663A"/>
    <w:rsid w:val="003F679D"/>
    <w:rsid w:val="003F6A28"/>
    <w:rsid w:val="003F6BF2"/>
    <w:rsid w:val="003F6E78"/>
    <w:rsid w:val="003F6ECB"/>
    <w:rsid w:val="003F7118"/>
    <w:rsid w:val="003F71F3"/>
    <w:rsid w:val="00400637"/>
    <w:rsid w:val="004015A1"/>
    <w:rsid w:val="00402B1A"/>
    <w:rsid w:val="00404CA3"/>
    <w:rsid w:val="0040521B"/>
    <w:rsid w:val="00405240"/>
    <w:rsid w:val="00405325"/>
    <w:rsid w:val="004053C5"/>
    <w:rsid w:val="004059EF"/>
    <w:rsid w:val="004077D8"/>
    <w:rsid w:val="00407A18"/>
    <w:rsid w:val="00410111"/>
    <w:rsid w:val="0041061D"/>
    <w:rsid w:val="00410A34"/>
    <w:rsid w:val="004111FE"/>
    <w:rsid w:val="00411EA7"/>
    <w:rsid w:val="004126BC"/>
    <w:rsid w:val="00412B3E"/>
    <w:rsid w:val="00413473"/>
    <w:rsid w:val="00413951"/>
    <w:rsid w:val="00415127"/>
    <w:rsid w:val="00415150"/>
    <w:rsid w:val="004154C0"/>
    <w:rsid w:val="00415A9D"/>
    <w:rsid w:val="00415AA9"/>
    <w:rsid w:val="004168CE"/>
    <w:rsid w:val="00417D8A"/>
    <w:rsid w:val="00422775"/>
    <w:rsid w:val="004229A7"/>
    <w:rsid w:val="0042304C"/>
    <w:rsid w:val="004239AD"/>
    <w:rsid w:val="00424763"/>
    <w:rsid w:val="0042565C"/>
    <w:rsid w:val="00425D2D"/>
    <w:rsid w:val="00425E80"/>
    <w:rsid w:val="00426194"/>
    <w:rsid w:val="004262AD"/>
    <w:rsid w:val="00426434"/>
    <w:rsid w:val="0042738B"/>
    <w:rsid w:val="00427BC2"/>
    <w:rsid w:val="00430200"/>
    <w:rsid w:val="0043152F"/>
    <w:rsid w:val="00432324"/>
    <w:rsid w:val="0043233D"/>
    <w:rsid w:val="00433072"/>
    <w:rsid w:val="0043365F"/>
    <w:rsid w:val="004344FF"/>
    <w:rsid w:val="004351A0"/>
    <w:rsid w:val="0043538A"/>
    <w:rsid w:val="0043538E"/>
    <w:rsid w:val="00435C31"/>
    <w:rsid w:val="0043628A"/>
    <w:rsid w:val="0043665F"/>
    <w:rsid w:val="004373E0"/>
    <w:rsid w:val="00437401"/>
    <w:rsid w:val="00437719"/>
    <w:rsid w:val="00437BE4"/>
    <w:rsid w:val="00440100"/>
    <w:rsid w:val="00440903"/>
    <w:rsid w:val="004409AD"/>
    <w:rsid w:val="00441369"/>
    <w:rsid w:val="00442569"/>
    <w:rsid w:val="00442B88"/>
    <w:rsid w:val="00442F5C"/>
    <w:rsid w:val="00443728"/>
    <w:rsid w:val="00443F9A"/>
    <w:rsid w:val="00444E4F"/>
    <w:rsid w:val="00444F99"/>
    <w:rsid w:val="0044582E"/>
    <w:rsid w:val="00445AA9"/>
    <w:rsid w:val="00445AAE"/>
    <w:rsid w:val="00445BF4"/>
    <w:rsid w:val="00445D4C"/>
    <w:rsid w:val="00446010"/>
    <w:rsid w:val="00446A9A"/>
    <w:rsid w:val="00446C98"/>
    <w:rsid w:val="00450D4C"/>
    <w:rsid w:val="00451F6D"/>
    <w:rsid w:val="004521B6"/>
    <w:rsid w:val="00452D6B"/>
    <w:rsid w:val="0045511C"/>
    <w:rsid w:val="0045543E"/>
    <w:rsid w:val="004554B1"/>
    <w:rsid w:val="0045576A"/>
    <w:rsid w:val="0045600E"/>
    <w:rsid w:val="004562A7"/>
    <w:rsid w:val="00456705"/>
    <w:rsid w:val="004604B2"/>
    <w:rsid w:val="00460908"/>
    <w:rsid w:val="00460B33"/>
    <w:rsid w:val="0046106E"/>
    <w:rsid w:val="00461193"/>
    <w:rsid w:val="00461362"/>
    <w:rsid w:val="00461588"/>
    <w:rsid w:val="00461849"/>
    <w:rsid w:val="00461BA2"/>
    <w:rsid w:val="00461BC3"/>
    <w:rsid w:val="00461C63"/>
    <w:rsid w:val="004626F4"/>
    <w:rsid w:val="0046299A"/>
    <w:rsid w:val="0046305A"/>
    <w:rsid w:val="004635EA"/>
    <w:rsid w:val="00463695"/>
    <w:rsid w:val="00463A37"/>
    <w:rsid w:val="0046409D"/>
    <w:rsid w:val="0046471C"/>
    <w:rsid w:val="00464A9D"/>
    <w:rsid w:val="00464E97"/>
    <w:rsid w:val="0046576C"/>
    <w:rsid w:val="004660D9"/>
    <w:rsid w:val="00466409"/>
    <w:rsid w:val="0046682E"/>
    <w:rsid w:val="004669AE"/>
    <w:rsid w:val="0046765A"/>
    <w:rsid w:val="00467ED9"/>
    <w:rsid w:val="004703E1"/>
    <w:rsid w:val="004706CB"/>
    <w:rsid w:val="00470768"/>
    <w:rsid w:val="004708AA"/>
    <w:rsid w:val="00471323"/>
    <w:rsid w:val="00471909"/>
    <w:rsid w:val="00472197"/>
    <w:rsid w:val="004722B5"/>
    <w:rsid w:val="00472398"/>
    <w:rsid w:val="00472417"/>
    <w:rsid w:val="0047248E"/>
    <w:rsid w:val="00472A53"/>
    <w:rsid w:val="004732A5"/>
    <w:rsid w:val="004733FF"/>
    <w:rsid w:val="004741D8"/>
    <w:rsid w:val="004745A3"/>
    <w:rsid w:val="00474A2A"/>
    <w:rsid w:val="00474BB7"/>
    <w:rsid w:val="004762CA"/>
    <w:rsid w:val="004772D1"/>
    <w:rsid w:val="00477466"/>
    <w:rsid w:val="00477D9D"/>
    <w:rsid w:val="00480509"/>
    <w:rsid w:val="00480722"/>
    <w:rsid w:val="004809BA"/>
    <w:rsid w:val="00480AF4"/>
    <w:rsid w:val="0048160E"/>
    <w:rsid w:val="00481664"/>
    <w:rsid w:val="004833CE"/>
    <w:rsid w:val="00483C40"/>
    <w:rsid w:val="0048412E"/>
    <w:rsid w:val="00484D77"/>
    <w:rsid w:val="00484EC1"/>
    <w:rsid w:val="00486FE7"/>
    <w:rsid w:val="0048710D"/>
    <w:rsid w:val="004876F6"/>
    <w:rsid w:val="004877DD"/>
    <w:rsid w:val="0049071A"/>
    <w:rsid w:val="00491093"/>
    <w:rsid w:val="00491F05"/>
    <w:rsid w:val="00492AF7"/>
    <w:rsid w:val="00492E5C"/>
    <w:rsid w:val="004938AB"/>
    <w:rsid w:val="0049468B"/>
    <w:rsid w:val="00494854"/>
    <w:rsid w:val="0049485A"/>
    <w:rsid w:val="0049547B"/>
    <w:rsid w:val="0049573D"/>
    <w:rsid w:val="00495897"/>
    <w:rsid w:val="00495BB9"/>
    <w:rsid w:val="00497270"/>
    <w:rsid w:val="004A0336"/>
    <w:rsid w:val="004A03AF"/>
    <w:rsid w:val="004A03CB"/>
    <w:rsid w:val="004A113D"/>
    <w:rsid w:val="004A22C2"/>
    <w:rsid w:val="004A46E6"/>
    <w:rsid w:val="004A4F91"/>
    <w:rsid w:val="004A5FB6"/>
    <w:rsid w:val="004A66A6"/>
    <w:rsid w:val="004A7350"/>
    <w:rsid w:val="004A7560"/>
    <w:rsid w:val="004A7562"/>
    <w:rsid w:val="004B0574"/>
    <w:rsid w:val="004B1BEE"/>
    <w:rsid w:val="004B1D59"/>
    <w:rsid w:val="004B28E4"/>
    <w:rsid w:val="004B2FBF"/>
    <w:rsid w:val="004B4603"/>
    <w:rsid w:val="004B4D6B"/>
    <w:rsid w:val="004B5055"/>
    <w:rsid w:val="004B612B"/>
    <w:rsid w:val="004B7133"/>
    <w:rsid w:val="004C1727"/>
    <w:rsid w:val="004C19C9"/>
    <w:rsid w:val="004C24D0"/>
    <w:rsid w:val="004C2F42"/>
    <w:rsid w:val="004C30C5"/>
    <w:rsid w:val="004C333C"/>
    <w:rsid w:val="004C3877"/>
    <w:rsid w:val="004C38B1"/>
    <w:rsid w:val="004C3A39"/>
    <w:rsid w:val="004C3AC0"/>
    <w:rsid w:val="004C4E7B"/>
    <w:rsid w:val="004C522D"/>
    <w:rsid w:val="004C5597"/>
    <w:rsid w:val="004C6A1C"/>
    <w:rsid w:val="004C6E22"/>
    <w:rsid w:val="004C746C"/>
    <w:rsid w:val="004C75C7"/>
    <w:rsid w:val="004C76A7"/>
    <w:rsid w:val="004C78C7"/>
    <w:rsid w:val="004D1679"/>
    <w:rsid w:val="004D1A17"/>
    <w:rsid w:val="004D1E4B"/>
    <w:rsid w:val="004D21D5"/>
    <w:rsid w:val="004D22D3"/>
    <w:rsid w:val="004D2562"/>
    <w:rsid w:val="004D275B"/>
    <w:rsid w:val="004D2EB6"/>
    <w:rsid w:val="004D3302"/>
    <w:rsid w:val="004D3CBF"/>
    <w:rsid w:val="004D3CDA"/>
    <w:rsid w:val="004D3E75"/>
    <w:rsid w:val="004D49AC"/>
    <w:rsid w:val="004D4DEF"/>
    <w:rsid w:val="004D5134"/>
    <w:rsid w:val="004D5196"/>
    <w:rsid w:val="004D529E"/>
    <w:rsid w:val="004D5330"/>
    <w:rsid w:val="004D55AE"/>
    <w:rsid w:val="004D55FB"/>
    <w:rsid w:val="004D5A8B"/>
    <w:rsid w:val="004D5AC1"/>
    <w:rsid w:val="004D5FA0"/>
    <w:rsid w:val="004D6D54"/>
    <w:rsid w:val="004D6DD6"/>
    <w:rsid w:val="004E0152"/>
    <w:rsid w:val="004E0A57"/>
    <w:rsid w:val="004E0B69"/>
    <w:rsid w:val="004E1446"/>
    <w:rsid w:val="004E1681"/>
    <w:rsid w:val="004E16F4"/>
    <w:rsid w:val="004E25D5"/>
    <w:rsid w:val="004E2693"/>
    <w:rsid w:val="004E344A"/>
    <w:rsid w:val="004E3A71"/>
    <w:rsid w:val="004E3AA2"/>
    <w:rsid w:val="004E4184"/>
    <w:rsid w:val="004E5683"/>
    <w:rsid w:val="004E59A9"/>
    <w:rsid w:val="004E6501"/>
    <w:rsid w:val="004E65BC"/>
    <w:rsid w:val="004E6D5A"/>
    <w:rsid w:val="004E6DAB"/>
    <w:rsid w:val="004E7729"/>
    <w:rsid w:val="004E7E22"/>
    <w:rsid w:val="004F1A1E"/>
    <w:rsid w:val="004F2393"/>
    <w:rsid w:val="004F2903"/>
    <w:rsid w:val="004F2C68"/>
    <w:rsid w:val="004F2E21"/>
    <w:rsid w:val="004F2E59"/>
    <w:rsid w:val="004F329F"/>
    <w:rsid w:val="004F400E"/>
    <w:rsid w:val="004F45A3"/>
    <w:rsid w:val="004F4903"/>
    <w:rsid w:val="004F4982"/>
    <w:rsid w:val="004F49FE"/>
    <w:rsid w:val="004F4EF0"/>
    <w:rsid w:val="004F5835"/>
    <w:rsid w:val="004F5B96"/>
    <w:rsid w:val="004F630D"/>
    <w:rsid w:val="004F6E05"/>
    <w:rsid w:val="004F75ED"/>
    <w:rsid w:val="004F7FBA"/>
    <w:rsid w:val="00500285"/>
    <w:rsid w:val="005019F1"/>
    <w:rsid w:val="00501CA0"/>
    <w:rsid w:val="00502191"/>
    <w:rsid w:val="00502970"/>
    <w:rsid w:val="0050399D"/>
    <w:rsid w:val="00503EA6"/>
    <w:rsid w:val="00504E33"/>
    <w:rsid w:val="0050580C"/>
    <w:rsid w:val="00505A11"/>
    <w:rsid w:val="00505DD4"/>
    <w:rsid w:val="0050603B"/>
    <w:rsid w:val="0050614A"/>
    <w:rsid w:val="00506C47"/>
    <w:rsid w:val="00506E40"/>
    <w:rsid w:val="0050781D"/>
    <w:rsid w:val="00507F7E"/>
    <w:rsid w:val="00510A15"/>
    <w:rsid w:val="00510A1F"/>
    <w:rsid w:val="00510F14"/>
    <w:rsid w:val="00510F2A"/>
    <w:rsid w:val="005115DC"/>
    <w:rsid w:val="005117E5"/>
    <w:rsid w:val="00512094"/>
    <w:rsid w:val="005126D2"/>
    <w:rsid w:val="00512776"/>
    <w:rsid w:val="00512BDB"/>
    <w:rsid w:val="0051306C"/>
    <w:rsid w:val="005132DD"/>
    <w:rsid w:val="00513922"/>
    <w:rsid w:val="00513B04"/>
    <w:rsid w:val="005143DC"/>
    <w:rsid w:val="00515B57"/>
    <w:rsid w:val="0051627D"/>
    <w:rsid w:val="005162DA"/>
    <w:rsid w:val="00517770"/>
    <w:rsid w:val="00517F99"/>
    <w:rsid w:val="0052091B"/>
    <w:rsid w:val="00521181"/>
    <w:rsid w:val="00521861"/>
    <w:rsid w:val="0052199A"/>
    <w:rsid w:val="005226ED"/>
    <w:rsid w:val="0052295E"/>
    <w:rsid w:val="00522A60"/>
    <w:rsid w:val="0052367C"/>
    <w:rsid w:val="00523A0F"/>
    <w:rsid w:val="00524470"/>
    <w:rsid w:val="0052473F"/>
    <w:rsid w:val="005247CB"/>
    <w:rsid w:val="00524E1F"/>
    <w:rsid w:val="00524EA1"/>
    <w:rsid w:val="00525B2C"/>
    <w:rsid w:val="00525B45"/>
    <w:rsid w:val="00526215"/>
    <w:rsid w:val="005262BB"/>
    <w:rsid w:val="00526B78"/>
    <w:rsid w:val="00526C2C"/>
    <w:rsid w:val="00527805"/>
    <w:rsid w:val="00530712"/>
    <w:rsid w:val="00530CE2"/>
    <w:rsid w:val="00531A4D"/>
    <w:rsid w:val="00531D87"/>
    <w:rsid w:val="00532408"/>
    <w:rsid w:val="00533359"/>
    <w:rsid w:val="005333C8"/>
    <w:rsid w:val="00533A01"/>
    <w:rsid w:val="0053494C"/>
    <w:rsid w:val="005358AE"/>
    <w:rsid w:val="00535AAC"/>
    <w:rsid w:val="00535AFD"/>
    <w:rsid w:val="00535DBF"/>
    <w:rsid w:val="005367A7"/>
    <w:rsid w:val="005371F5"/>
    <w:rsid w:val="005377A7"/>
    <w:rsid w:val="00537FBB"/>
    <w:rsid w:val="00540FD1"/>
    <w:rsid w:val="00541B06"/>
    <w:rsid w:val="00543F80"/>
    <w:rsid w:val="0054519E"/>
    <w:rsid w:val="00547193"/>
    <w:rsid w:val="00547264"/>
    <w:rsid w:val="005475F5"/>
    <w:rsid w:val="00547F53"/>
    <w:rsid w:val="00550105"/>
    <w:rsid w:val="00550507"/>
    <w:rsid w:val="00550748"/>
    <w:rsid w:val="00550911"/>
    <w:rsid w:val="00551262"/>
    <w:rsid w:val="00551631"/>
    <w:rsid w:val="0055182C"/>
    <w:rsid w:val="00552DE8"/>
    <w:rsid w:val="00552ED3"/>
    <w:rsid w:val="00552F50"/>
    <w:rsid w:val="005540A4"/>
    <w:rsid w:val="00554B3A"/>
    <w:rsid w:val="00554D7A"/>
    <w:rsid w:val="00555AC6"/>
    <w:rsid w:val="00555CD8"/>
    <w:rsid w:val="0055600F"/>
    <w:rsid w:val="00556D4C"/>
    <w:rsid w:val="00557C52"/>
    <w:rsid w:val="0056044D"/>
    <w:rsid w:val="00560E89"/>
    <w:rsid w:val="00561118"/>
    <w:rsid w:val="00561697"/>
    <w:rsid w:val="005616B9"/>
    <w:rsid w:val="00562FA1"/>
    <w:rsid w:val="0056329E"/>
    <w:rsid w:val="005634BC"/>
    <w:rsid w:val="00563D0F"/>
    <w:rsid w:val="005641B8"/>
    <w:rsid w:val="00566889"/>
    <w:rsid w:val="0056690C"/>
    <w:rsid w:val="00566F24"/>
    <w:rsid w:val="00567083"/>
    <w:rsid w:val="00567193"/>
    <w:rsid w:val="0057264D"/>
    <w:rsid w:val="00574515"/>
    <w:rsid w:val="005746D3"/>
    <w:rsid w:val="00574A29"/>
    <w:rsid w:val="00574FAD"/>
    <w:rsid w:val="00575A5C"/>
    <w:rsid w:val="00575FA3"/>
    <w:rsid w:val="005760C8"/>
    <w:rsid w:val="00576581"/>
    <w:rsid w:val="005769DD"/>
    <w:rsid w:val="00576FC3"/>
    <w:rsid w:val="00577018"/>
    <w:rsid w:val="005778D3"/>
    <w:rsid w:val="00577933"/>
    <w:rsid w:val="00580BE0"/>
    <w:rsid w:val="005819BF"/>
    <w:rsid w:val="00581CFE"/>
    <w:rsid w:val="005832EC"/>
    <w:rsid w:val="005835A6"/>
    <w:rsid w:val="00583B1B"/>
    <w:rsid w:val="00583C65"/>
    <w:rsid w:val="00583FBE"/>
    <w:rsid w:val="005841BE"/>
    <w:rsid w:val="005846C3"/>
    <w:rsid w:val="00584C9B"/>
    <w:rsid w:val="005853B9"/>
    <w:rsid w:val="0058596A"/>
    <w:rsid w:val="00585BA9"/>
    <w:rsid w:val="005868EE"/>
    <w:rsid w:val="00586C93"/>
    <w:rsid w:val="00586D8B"/>
    <w:rsid w:val="00587078"/>
    <w:rsid w:val="00587D27"/>
    <w:rsid w:val="005906D2"/>
    <w:rsid w:val="005915A5"/>
    <w:rsid w:val="0059208D"/>
    <w:rsid w:val="00592A0A"/>
    <w:rsid w:val="00593986"/>
    <w:rsid w:val="00594CA3"/>
    <w:rsid w:val="00594CAB"/>
    <w:rsid w:val="00595181"/>
    <w:rsid w:val="00595AE3"/>
    <w:rsid w:val="00595DF3"/>
    <w:rsid w:val="00597DC1"/>
    <w:rsid w:val="00597F9D"/>
    <w:rsid w:val="005A02F6"/>
    <w:rsid w:val="005A067D"/>
    <w:rsid w:val="005A0F16"/>
    <w:rsid w:val="005A1B7E"/>
    <w:rsid w:val="005A28FA"/>
    <w:rsid w:val="005A2DC7"/>
    <w:rsid w:val="005A3326"/>
    <w:rsid w:val="005A353B"/>
    <w:rsid w:val="005A42AE"/>
    <w:rsid w:val="005A454D"/>
    <w:rsid w:val="005A4615"/>
    <w:rsid w:val="005A48E6"/>
    <w:rsid w:val="005A501B"/>
    <w:rsid w:val="005A5193"/>
    <w:rsid w:val="005A52AA"/>
    <w:rsid w:val="005A53BB"/>
    <w:rsid w:val="005A580A"/>
    <w:rsid w:val="005A586D"/>
    <w:rsid w:val="005A5967"/>
    <w:rsid w:val="005A5FEA"/>
    <w:rsid w:val="005A677A"/>
    <w:rsid w:val="005A744A"/>
    <w:rsid w:val="005A74FA"/>
    <w:rsid w:val="005B02D8"/>
    <w:rsid w:val="005B0656"/>
    <w:rsid w:val="005B1095"/>
    <w:rsid w:val="005B1CB2"/>
    <w:rsid w:val="005B1EB2"/>
    <w:rsid w:val="005B2166"/>
    <w:rsid w:val="005B33B4"/>
    <w:rsid w:val="005B377D"/>
    <w:rsid w:val="005B3837"/>
    <w:rsid w:val="005B386C"/>
    <w:rsid w:val="005B3EC3"/>
    <w:rsid w:val="005B4343"/>
    <w:rsid w:val="005B4974"/>
    <w:rsid w:val="005B4D4C"/>
    <w:rsid w:val="005B5321"/>
    <w:rsid w:val="005B59EB"/>
    <w:rsid w:val="005B5F5E"/>
    <w:rsid w:val="005B6B20"/>
    <w:rsid w:val="005C00D5"/>
    <w:rsid w:val="005C1BCA"/>
    <w:rsid w:val="005C1D86"/>
    <w:rsid w:val="005C2464"/>
    <w:rsid w:val="005C2D82"/>
    <w:rsid w:val="005C4259"/>
    <w:rsid w:val="005C4A22"/>
    <w:rsid w:val="005C4A5D"/>
    <w:rsid w:val="005C5039"/>
    <w:rsid w:val="005C565B"/>
    <w:rsid w:val="005C5B56"/>
    <w:rsid w:val="005C5C1E"/>
    <w:rsid w:val="005C5E9A"/>
    <w:rsid w:val="005C6B53"/>
    <w:rsid w:val="005C73B1"/>
    <w:rsid w:val="005D067B"/>
    <w:rsid w:val="005D0FA3"/>
    <w:rsid w:val="005D1A5E"/>
    <w:rsid w:val="005D1AC8"/>
    <w:rsid w:val="005D1EDD"/>
    <w:rsid w:val="005D211F"/>
    <w:rsid w:val="005D30E7"/>
    <w:rsid w:val="005D31B9"/>
    <w:rsid w:val="005D40E1"/>
    <w:rsid w:val="005D4671"/>
    <w:rsid w:val="005D46ED"/>
    <w:rsid w:val="005D4BA8"/>
    <w:rsid w:val="005D587D"/>
    <w:rsid w:val="005D6023"/>
    <w:rsid w:val="005D604C"/>
    <w:rsid w:val="005D615C"/>
    <w:rsid w:val="005D616D"/>
    <w:rsid w:val="005D666B"/>
    <w:rsid w:val="005D7E59"/>
    <w:rsid w:val="005E0726"/>
    <w:rsid w:val="005E119D"/>
    <w:rsid w:val="005E1261"/>
    <w:rsid w:val="005E1636"/>
    <w:rsid w:val="005E1D00"/>
    <w:rsid w:val="005E2334"/>
    <w:rsid w:val="005E2941"/>
    <w:rsid w:val="005E3190"/>
    <w:rsid w:val="005E3ADA"/>
    <w:rsid w:val="005E46FF"/>
    <w:rsid w:val="005E4E88"/>
    <w:rsid w:val="005E5A5A"/>
    <w:rsid w:val="005E6D8F"/>
    <w:rsid w:val="005E7328"/>
    <w:rsid w:val="005E7743"/>
    <w:rsid w:val="005E7E30"/>
    <w:rsid w:val="005E7F5F"/>
    <w:rsid w:val="005F04C9"/>
    <w:rsid w:val="005F15B0"/>
    <w:rsid w:val="005F301E"/>
    <w:rsid w:val="005F3664"/>
    <w:rsid w:val="005F3681"/>
    <w:rsid w:val="005F386E"/>
    <w:rsid w:val="005F38DF"/>
    <w:rsid w:val="005F3D78"/>
    <w:rsid w:val="005F4F26"/>
    <w:rsid w:val="005F55C1"/>
    <w:rsid w:val="005F5E78"/>
    <w:rsid w:val="005F6338"/>
    <w:rsid w:val="005F6AD0"/>
    <w:rsid w:val="005F6D5B"/>
    <w:rsid w:val="005F7DD6"/>
    <w:rsid w:val="005F7FEC"/>
    <w:rsid w:val="005F7FF3"/>
    <w:rsid w:val="00600AC1"/>
    <w:rsid w:val="00602A50"/>
    <w:rsid w:val="00602C99"/>
    <w:rsid w:val="0060312D"/>
    <w:rsid w:val="006035B5"/>
    <w:rsid w:val="006038DA"/>
    <w:rsid w:val="00603BE8"/>
    <w:rsid w:val="00603EDA"/>
    <w:rsid w:val="0060426D"/>
    <w:rsid w:val="006050E6"/>
    <w:rsid w:val="0060511E"/>
    <w:rsid w:val="006055F7"/>
    <w:rsid w:val="00605E20"/>
    <w:rsid w:val="0060615F"/>
    <w:rsid w:val="00606211"/>
    <w:rsid w:val="00606780"/>
    <w:rsid w:val="00606BAB"/>
    <w:rsid w:val="00607295"/>
    <w:rsid w:val="0060747D"/>
    <w:rsid w:val="00607D0B"/>
    <w:rsid w:val="00610503"/>
    <w:rsid w:val="00610944"/>
    <w:rsid w:val="00610ABF"/>
    <w:rsid w:val="00611A45"/>
    <w:rsid w:val="00611E8D"/>
    <w:rsid w:val="006122B8"/>
    <w:rsid w:val="00612C35"/>
    <w:rsid w:val="00612ED5"/>
    <w:rsid w:val="00612F5A"/>
    <w:rsid w:val="00613393"/>
    <w:rsid w:val="00614D26"/>
    <w:rsid w:val="00615926"/>
    <w:rsid w:val="0061598E"/>
    <w:rsid w:val="006160B7"/>
    <w:rsid w:val="00620413"/>
    <w:rsid w:val="0062062D"/>
    <w:rsid w:val="00620D4B"/>
    <w:rsid w:val="00620EB4"/>
    <w:rsid w:val="00621142"/>
    <w:rsid w:val="00621696"/>
    <w:rsid w:val="00621878"/>
    <w:rsid w:val="006221C2"/>
    <w:rsid w:val="006225FE"/>
    <w:rsid w:val="0062346A"/>
    <w:rsid w:val="0062378D"/>
    <w:rsid w:val="006237B5"/>
    <w:rsid w:val="00623813"/>
    <w:rsid w:val="006238BB"/>
    <w:rsid w:val="00623C3F"/>
    <w:rsid w:val="00623C42"/>
    <w:rsid w:val="00625420"/>
    <w:rsid w:val="006272C2"/>
    <w:rsid w:val="00627319"/>
    <w:rsid w:val="006309C4"/>
    <w:rsid w:val="00630C36"/>
    <w:rsid w:val="0063156F"/>
    <w:rsid w:val="006317C0"/>
    <w:rsid w:val="00631F96"/>
    <w:rsid w:val="006329BD"/>
    <w:rsid w:val="00633F41"/>
    <w:rsid w:val="0063441F"/>
    <w:rsid w:val="00635619"/>
    <w:rsid w:val="0063580C"/>
    <w:rsid w:val="00637EA2"/>
    <w:rsid w:val="00642200"/>
    <w:rsid w:val="006432AC"/>
    <w:rsid w:val="006436D4"/>
    <w:rsid w:val="006445DD"/>
    <w:rsid w:val="00644935"/>
    <w:rsid w:val="00644CFA"/>
    <w:rsid w:val="00644F93"/>
    <w:rsid w:val="00645279"/>
    <w:rsid w:val="006452B3"/>
    <w:rsid w:val="00645312"/>
    <w:rsid w:val="00645618"/>
    <w:rsid w:val="0064580D"/>
    <w:rsid w:val="00645B7B"/>
    <w:rsid w:val="00646501"/>
    <w:rsid w:val="006465D7"/>
    <w:rsid w:val="006466AD"/>
    <w:rsid w:val="00647D75"/>
    <w:rsid w:val="00650789"/>
    <w:rsid w:val="00650A66"/>
    <w:rsid w:val="00650C35"/>
    <w:rsid w:val="00650DD7"/>
    <w:rsid w:val="00651397"/>
    <w:rsid w:val="00651861"/>
    <w:rsid w:val="006519F8"/>
    <w:rsid w:val="00652171"/>
    <w:rsid w:val="0065341A"/>
    <w:rsid w:val="00653479"/>
    <w:rsid w:val="00653B5B"/>
    <w:rsid w:val="00654865"/>
    <w:rsid w:val="00654B19"/>
    <w:rsid w:val="00655164"/>
    <w:rsid w:val="0065568B"/>
    <w:rsid w:val="006556F8"/>
    <w:rsid w:val="00656274"/>
    <w:rsid w:val="00656F4E"/>
    <w:rsid w:val="006574A7"/>
    <w:rsid w:val="00657648"/>
    <w:rsid w:val="006577D0"/>
    <w:rsid w:val="00657869"/>
    <w:rsid w:val="00660453"/>
    <w:rsid w:val="00660B16"/>
    <w:rsid w:val="006610DB"/>
    <w:rsid w:val="0066170E"/>
    <w:rsid w:val="00661B01"/>
    <w:rsid w:val="00663BC8"/>
    <w:rsid w:val="00664E2E"/>
    <w:rsid w:val="0066511C"/>
    <w:rsid w:val="00665681"/>
    <w:rsid w:val="00665ABD"/>
    <w:rsid w:val="00665E80"/>
    <w:rsid w:val="00666245"/>
    <w:rsid w:val="00667596"/>
    <w:rsid w:val="00670276"/>
    <w:rsid w:val="006707B8"/>
    <w:rsid w:val="00671587"/>
    <w:rsid w:val="00672009"/>
    <w:rsid w:val="00672661"/>
    <w:rsid w:val="00672674"/>
    <w:rsid w:val="00672905"/>
    <w:rsid w:val="00672EB2"/>
    <w:rsid w:val="006732FD"/>
    <w:rsid w:val="006735C8"/>
    <w:rsid w:val="00674220"/>
    <w:rsid w:val="0067477A"/>
    <w:rsid w:val="006754BF"/>
    <w:rsid w:val="0067716A"/>
    <w:rsid w:val="006775A2"/>
    <w:rsid w:val="00680031"/>
    <w:rsid w:val="00680078"/>
    <w:rsid w:val="0068195E"/>
    <w:rsid w:val="00682D85"/>
    <w:rsid w:val="0068341E"/>
    <w:rsid w:val="006838BD"/>
    <w:rsid w:val="00683D92"/>
    <w:rsid w:val="00683F41"/>
    <w:rsid w:val="006848CF"/>
    <w:rsid w:val="0068523D"/>
    <w:rsid w:val="00686307"/>
    <w:rsid w:val="006866C7"/>
    <w:rsid w:val="00686903"/>
    <w:rsid w:val="006871DF"/>
    <w:rsid w:val="00687565"/>
    <w:rsid w:val="00690CE6"/>
    <w:rsid w:val="00690D18"/>
    <w:rsid w:val="00690E50"/>
    <w:rsid w:val="00691821"/>
    <w:rsid w:val="00691DEF"/>
    <w:rsid w:val="00692064"/>
    <w:rsid w:val="0069223A"/>
    <w:rsid w:val="006922B5"/>
    <w:rsid w:val="00692C25"/>
    <w:rsid w:val="00693448"/>
    <w:rsid w:val="006936B3"/>
    <w:rsid w:val="00693724"/>
    <w:rsid w:val="006937FF"/>
    <w:rsid w:val="006939F3"/>
    <w:rsid w:val="006941AE"/>
    <w:rsid w:val="00694247"/>
    <w:rsid w:val="00695D9E"/>
    <w:rsid w:val="006973EA"/>
    <w:rsid w:val="006A0AC1"/>
    <w:rsid w:val="006A0AD0"/>
    <w:rsid w:val="006A0E7E"/>
    <w:rsid w:val="006A117F"/>
    <w:rsid w:val="006A129F"/>
    <w:rsid w:val="006A1333"/>
    <w:rsid w:val="006A1471"/>
    <w:rsid w:val="006A1737"/>
    <w:rsid w:val="006A225A"/>
    <w:rsid w:val="006A3313"/>
    <w:rsid w:val="006A39D2"/>
    <w:rsid w:val="006A47EA"/>
    <w:rsid w:val="006A5244"/>
    <w:rsid w:val="006A565A"/>
    <w:rsid w:val="006A589A"/>
    <w:rsid w:val="006A6854"/>
    <w:rsid w:val="006A7188"/>
    <w:rsid w:val="006B0BEA"/>
    <w:rsid w:val="006B11D8"/>
    <w:rsid w:val="006B14D3"/>
    <w:rsid w:val="006B21F5"/>
    <w:rsid w:val="006B23F9"/>
    <w:rsid w:val="006B27B1"/>
    <w:rsid w:val="006B2922"/>
    <w:rsid w:val="006B2E33"/>
    <w:rsid w:val="006B3B9D"/>
    <w:rsid w:val="006B42BC"/>
    <w:rsid w:val="006B482F"/>
    <w:rsid w:val="006B50C5"/>
    <w:rsid w:val="006B51E5"/>
    <w:rsid w:val="006B57ED"/>
    <w:rsid w:val="006B6F82"/>
    <w:rsid w:val="006B7F32"/>
    <w:rsid w:val="006C046D"/>
    <w:rsid w:val="006C0D32"/>
    <w:rsid w:val="006C11BD"/>
    <w:rsid w:val="006C1E35"/>
    <w:rsid w:val="006C21DE"/>
    <w:rsid w:val="006C224D"/>
    <w:rsid w:val="006C2388"/>
    <w:rsid w:val="006C23D4"/>
    <w:rsid w:val="006C2E36"/>
    <w:rsid w:val="006C36C7"/>
    <w:rsid w:val="006C3B8D"/>
    <w:rsid w:val="006C412F"/>
    <w:rsid w:val="006C4455"/>
    <w:rsid w:val="006C473B"/>
    <w:rsid w:val="006C4DA1"/>
    <w:rsid w:val="006C518E"/>
    <w:rsid w:val="006C6194"/>
    <w:rsid w:val="006C64FE"/>
    <w:rsid w:val="006C6F2F"/>
    <w:rsid w:val="006C738A"/>
    <w:rsid w:val="006C7596"/>
    <w:rsid w:val="006C7F1A"/>
    <w:rsid w:val="006D001C"/>
    <w:rsid w:val="006D0EF3"/>
    <w:rsid w:val="006D14CA"/>
    <w:rsid w:val="006D1633"/>
    <w:rsid w:val="006D2BB4"/>
    <w:rsid w:val="006D31D4"/>
    <w:rsid w:val="006D334E"/>
    <w:rsid w:val="006D335A"/>
    <w:rsid w:val="006D387E"/>
    <w:rsid w:val="006D4102"/>
    <w:rsid w:val="006D4414"/>
    <w:rsid w:val="006D68C9"/>
    <w:rsid w:val="006D71F7"/>
    <w:rsid w:val="006D7779"/>
    <w:rsid w:val="006D7780"/>
    <w:rsid w:val="006D7D08"/>
    <w:rsid w:val="006E0225"/>
    <w:rsid w:val="006E0466"/>
    <w:rsid w:val="006E09C3"/>
    <w:rsid w:val="006E0B64"/>
    <w:rsid w:val="006E0C36"/>
    <w:rsid w:val="006E1139"/>
    <w:rsid w:val="006E16FB"/>
    <w:rsid w:val="006E18F7"/>
    <w:rsid w:val="006E1990"/>
    <w:rsid w:val="006E3743"/>
    <w:rsid w:val="006E4DA5"/>
    <w:rsid w:val="006E4FEC"/>
    <w:rsid w:val="006E52B9"/>
    <w:rsid w:val="006E5966"/>
    <w:rsid w:val="006E6B5E"/>
    <w:rsid w:val="006E6E4C"/>
    <w:rsid w:val="006E7B88"/>
    <w:rsid w:val="006F1A8F"/>
    <w:rsid w:val="006F243C"/>
    <w:rsid w:val="006F270B"/>
    <w:rsid w:val="006F2E66"/>
    <w:rsid w:val="006F3CCB"/>
    <w:rsid w:val="006F3FAE"/>
    <w:rsid w:val="006F4145"/>
    <w:rsid w:val="006F4464"/>
    <w:rsid w:val="006F4ECA"/>
    <w:rsid w:val="006F4ED8"/>
    <w:rsid w:val="006F561A"/>
    <w:rsid w:val="006F6D2E"/>
    <w:rsid w:val="006F7371"/>
    <w:rsid w:val="007001A4"/>
    <w:rsid w:val="007012AF"/>
    <w:rsid w:val="00702166"/>
    <w:rsid w:val="007021C7"/>
    <w:rsid w:val="007026C5"/>
    <w:rsid w:val="00703580"/>
    <w:rsid w:val="0070365F"/>
    <w:rsid w:val="00703734"/>
    <w:rsid w:val="0070433E"/>
    <w:rsid w:val="007045D2"/>
    <w:rsid w:val="00704BDA"/>
    <w:rsid w:val="007050E1"/>
    <w:rsid w:val="00705B04"/>
    <w:rsid w:val="007060C5"/>
    <w:rsid w:val="007064D2"/>
    <w:rsid w:val="00706703"/>
    <w:rsid w:val="007067FF"/>
    <w:rsid w:val="00707664"/>
    <w:rsid w:val="007078A6"/>
    <w:rsid w:val="00710628"/>
    <w:rsid w:val="007106B2"/>
    <w:rsid w:val="00710873"/>
    <w:rsid w:val="00712830"/>
    <w:rsid w:val="00712D5F"/>
    <w:rsid w:val="00712E40"/>
    <w:rsid w:val="00712EB3"/>
    <w:rsid w:val="00712F95"/>
    <w:rsid w:val="0071524B"/>
    <w:rsid w:val="00716CB0"/>
    <w:rsid w:val="00716CC9"/>
    <w:rsid w:val="0071756F"/>
    <w:rsid w:val="00717798"/>
    <w:rsid w:val="007200B3"/>
    <w:rsid w:val="00720907"/>
    <w:rsid w:val="00720B62"/>
    <w:rsid w:val="007216A2"/>
    <w:rsid w:val="00721779"/>
    <w:rsid w:val="007218D9"/>
    <w:rsid w:val="0072218F"/>
    <w:rsid w:val="00722F06"/>
    <w:rsid w:val="00723A54"/>
    <w:rsid w:val="00723F64"/>
    <w:rsid w:val="007267B2"/>
    <w:rsid w:val="00726A5E"/>
    <w:rsid w:val="00726AAC"/>
    <w:rsid w:val="00726E09"/>
    <w:rsid w:val="00726F08"/>
    <w:rsid w:val="00727129"/>
    <w:rsid w:val="00730CF9"/>
    <w:rsid w:val="00730FAC"/>
    <w:rsid w:val="007312A4"/>
    <w:rsid w:val="007314BB"/>
    <w:rsid w:val="007314F7"/>
    <w:rsid w:val="0073150B"/>
    <w:rsid w:val="00731F75"/>
    <w:rsid w:val="00732051"/>
    <w:rsid w:val="00732298"/>
    <w:rsid w:val="007325DA"/>
    <w:rsid w:val="007328D6"/>
    <w:rsid w:val="00732D74"/>
    <w:rsid w:val="00734824"/>
    <w:rsid w:val="00734C37"/>
    <w:rsid w:val="00735501"/>
    <w:rsid w:val="00735C30"/>
    <w:rsid w:val="007365C4"/>
    <w:rsid w:val="00737908"/>
    <w:rsid w:val="00740012"/>
    <w:rsid w:val="007401C2"/>
    <w:rsid w:val="00740B02"/>
    <w:rsid w:val="00740CDD"/>
    <w:rsid w:val="00740E7B"/>
    <w:rsid w:val="007422CC"/>
    <w:rsid w:val="00742A50"/>
    <w:rsid w:val="0074369B"/>
    <w:rsid w:val="00743749"/>
    <w:rsid w:val="00743CDC"/>
    <w:rsid w:val="007440E3"/>
    <w:rsid w:val="007446CB"/>
    <w:rsid w:val="007469F6"/>
    <w:rsid w:val="00747562"/>
    <w:rsid w:val="0074786E"/>
    <w:rsid w:val="00750337"/>
    <w:rsid w:val="00750378"/>
    <w:rsid w:val="00750683"/>
    <w:rsid w:val="00750CAB"/>
    <w:rsid w:val="00751E4A"/>
    <w:rsid w:val="00752216"/>
    <w:rsid w:val="007545D2"/>
    <w:rsid w:val="00754630"/>
    <w:rsid w:val="00754D30"/>
    <w:rsid w:val="00754E77"/>
    <w:rsid w:val="00755387"/>
    <w:rsid w:val="00756383"/>
    <w:rsid w:val="00756610"/>
    <w:rsid w:val="007566B8"/>
    <w:rsid w:val="00756E1C"/>
    <w:rsid w:val="007579FF"/>
    <w:rsid w:val="0076019A"/>
    <w:rsid w:val="007607A9"/>
    <w:rsid w:val="007613BA"/>
    <w:rsid w:val="0076144E"/>
    <w:rsid w:val="00761658"/>
    <w:rsid w:val="00761D1A"/>
    <w:rsid w:val="007623C7"/>
    <w:rsid w:val="0076269B"/>
    <w:rsid w:val="00762B50"/>
    <w:rsid w:val="00762D07"/>
    <w:rsid w:val="0076311C"/>
    <w:rsid w:val="00763450"/>
    <w:rsid w:val="00763AC4"/>
    <w:rsid w:val="00763D1A"/>
    <w:rsid w:val="007640AD"/>
    <w:rsid w:val="00764B0A"/>
    <w:rsid w:val="00764FFD"/>
    <w:rsid w:val="00765458"/>
    <w:rsid w:val="00765DAB"/>
    <w:rsid w:val="00766FB4"/>
    <w:rsid w:val="00770924"/>
    <w:rsid w:val="007720C6"/>
    <w:rsid w:val="00772550"/>
    <w:rsid w:val="00773D87"/>
    <w:rsid w:val="00774C3E"/>
    <w:rsid w:val="007753C8"/>
    <w:rsid w:val="00775BEE"/>
    <w:rsid w:val="007763BF"/>
    <w:rsid w:val="007766E6"/>
    <w:rsid w:val="007771B3"/>
    <w:rsid w:val="00777FC3"/>
    <w:rsid w:val="00780A22"/>
    <w:rsid w:val="00780F08"/>
    <w:rsid w:val="00781842"/>
    <w:rsid w:val="00781AA5"/>
    <w:rsid w:val="007822BA"/>
    <w:rsid w:val="00782E8F"/>
    <w:rsid w:val="00783D6C"/>
    <w:rsid w:val="00784EB4"/>
    <w:rsid w:val="007857C5"/>
    <w:rsid w:val="00786B90"/>
    <w:rsid w:val="00786ED3"/>
    <w:rsid w:val="007871B2"/>
    <w:rsid w:val="007876A1"/>
    <w:rsid w:val="00787AEE"/>
    <w:rsid w:val="00790684"/>
    <w:rsid w:val="007907C9"/>
    <w:rsid w:val="007911B3"/>
    <w:rsid w:val="007911EF"/>
    <w:rsid w:val="00791BB6"/>
    <w:rsid w:val="00793608"/>
    <w:rsid w:val="007939EC"/>
    <w:rsid w:val="0079461B"/>
    <w:rsid w:val="00794B48"/>
    <w:rsid w:val="0079504B"/>
    <w:rsid w:val="00795254"/>
    <w:rsid w:val="00795A84"/>
    <w:rsid w:val="00797886"/>
    <w:rsid w:val="007A0FF7"/>
    <w:rsid w:val="007A1DA4"/>
    <w:rsid w:val="007A1EB2"/>
    <w:rsid w:val="007A2971"/>
    <w:rsid w:val="007A32D4"/>
    <w:rsid w:val="007A35A9"/>
    <w:rsid w:val="007A3A02"/>
    <w:rsid w:val="007A5C3B"/>
    <w:rsid w:val="007A5F03"/>
    <w:rsid w:val="007A61E0"/>
    <w:rsid w:val="007A67CE"/>
    <w:rsid w:val="007A6F52"/>
    <w:rsid w:val="007B00F3"/>
    <w:rsid w:val="007B043D"/>
    <w:rsid w:val="007B15C5"/>
    <w:rsid w:val="007B1D53"/>
    <w:rsid w:val="007B1DD9"/>
    <w:rsid w:val="007B244D"/>
    <w:rsid w:val="007B3515"/>
    <w:rsid w:val="007B36CC"/>
    <w:rsid w:val="007B3B65"/>
    <w:rsid w:val="007B3C01"/>
    <w:rsid w:val="007B469F"/>
    <w:rsid w:val="007B5479"/>
    <w:rsid w:val="007B5768"/>
    <w:rsid w:val="007B71A4"/>
    <w:rsid w:val="007C1A8D"/>
    <w:rsid w:val="007C1BBF"/>
    <w:rsid w:val="007C2B05"/>
    <w:rsid w:val="007C460C"/>
    <w:rsid w:val="007C4C57"/>
    <w:rsid w:val="007C5133"/>
    <w:rsid w:val="007C53EB"/>
    <w:rsid w:val="007C5C92"/>
    <w:rsid w:val="007C6D20"/>
    <w:rsid w:val="007C6FAC"/>
    <w:rsid w:val="007C7A8D"/>
    <w:rsid w:val="007D0263"/>
    <w:rsid w:val="007D0554"/>
    <w:rsid w:val="007D0599"/>
    <w:rsid w:val="007D0739"/>
    <w:rsid w:val="007D0D63"/>
    <w:rsid w:val="007D0FB8"/>
    <w:rsid w:val="007D1068"/>
    <w:rsid w:val="007D117B"/>
    <w:rsid w:val="007D1FA6"/>
    <w:rsid w:val="007D2256"/>
    <w:rsid w:val="007D299D"/>
    <w:rsid w:val="007D2B06"/>
    <w:rsid w:val="007D445C"/>
    <w:rsid w:val="007D4E97"/>
    <w:rsid w:val="007D56C6"/>
    <w:rsid w:val="007D56E8"/>
    <w:rsid w:val="007D646C"/>
    <w:rsid w:val="007D69CD"/>
    <w:rsid w:val="007D7719"/>
    <w:rsid w:val="007D776B"/>
    <w:rsid w:val="007E031E"/>
    <w:rsid w:val="007E0EC3"/>
    <w:rsid w:val="007E1700"/>
    <w:rsid w:val="007E1809"/>
    <w:rsid w:val="007E198D"/>
    <w:rsid w:val="007E294F"/>
    <w:rsid w:val="007E2BDB"/>
    <w:rsid w:val="007E31CF"/>
    <w:rsid w:val="007E40EB"/>
    <w:rsid w:val="007E4195"/>
    <w:rsid w:val="007E4B64"/>
    <w:rsid w:val="007E5C49"/>
    <w:rsid w:val="007E6090"/>
    <w:rsid w:val="007E6AC1"/>
    <w:rsid w:val="007E6BC0"/>
    <w:rsid w:val="007F0332"/>
    <w:rsid w:val="007F043A"/>
    <w:rsid w:val="007F0559"/>
    <w:rsid w:val="007F1705"/>
    <w:rsid w:val="007F1B84"/>
    <w:rsid w:val="007F267E"/>
    <w:rsid w:val="007F320B"/>
    <w:rsid w:val="007F3622"/>
    <w:rsid w:val="007F3B84"/>
    <w:rsid w:val="007F3E76"/>
    <w:rsid w:val="007F4316"/>
    <w:rsid w:val="007F45E3"/>
    <w:rsid w:val="007F4FC2"/>
    <w:rsid w:val="007F56E0"/>
    <w:rsid w:val="007F601E"/>
    <w:rsid w:val="007F613D"/>
    <w:rsid w:val="007F6434"/>
    <w:rsid w:val="007F66BD"/>
    <w:rsid w:val="007F7923"/>
    <w:rsid w:val="00800296"/>
    <w:rsid w:val="00800E51"/>
    <w:rsid w:val="00801509"/>
    <w:rsid w:val="008017B7"/>
    <w:rsid w:val="00802227"/>
    <w:rsid w:val="008034D4"/>
    <w:rsid w:val="008038AF"/>
    <w:rsid w:val="00805654"/>
    <w:rsid w:val="008056DB"/>
    <w:rsid w:val="00806AB4"/>
    <w:rsid w:val="0080710B"/>
    <w:rsid w:val="00807730"/>
    <w:rsid w:val="00807BB9"/>
    <w:rsid w:val="00810E35"/>
    <w:rsid w:val="00811A10"/>
    <w:rsid w:val="00812608"/>
    <w:rsid w:val="00812690"/>
    <w:rsid w:val="00812F6D"/>
    <w:rsid w:val="00813462"/>
    <w:rsid w:val="0081376F"/>
    <w:rsid w:val="00813D6A"/>
    <w:rsid w:val="00814209"/>
    <w:rsid w:val="0081435C"/>
    <w:rsid w:val="00814DD8"/>
    <w:rsid w:val="00815244"/>
    <w:rsid w:val="0081569B"/>
    <w:rsid w:val="008165CD"/>
    <w:rsid w:val="008166C5"/>
    <w:rsid w:val="00816732"/>
    <w:rsid w:val="008168E6"/>
    <w:rsid w:val="00817C78"/>
    <w:rsid w:val="008201D9"/>
    <w:rsid w:val="008205E9"/>
    <w:rsid w:val="00820B42"/>
    <w:rsid w:val="008214BF"/>
    <w:rsid w:val="0082199D"/>
    <w:rsid w:val="00822224"/>
    <w:rsid w:val="0082264D"/>
    <w:rsid w:val="00822D19"/>
    <w:rsid w:val="00824005"/>
    <w:rsid w:val="008241C9"/>
    <w:rsid w:val="0082465F"/>
    <w:rsid w:val="008246E7"/>
    <w:rsid w:val="00824AA7"/>
    <w:rsid w:val="00824B64"/>
    <w:rsid w:val="00825DB7"/>
    <w:rsid w:val="008260E5"/>
    <w:rsid w:val="00826B3C"/>
    <w:rsid w:val="00826C56"/>
    <w:rsid w:val="00826D9E"/>
    <w:rsid w:val="00827A91"/>
    <w:rsid w:val="008308A9"/>
    <w:rsid w:val="00831A30"/>
    <w:rsid w:val="00832074"/>
    <w:rsid w:val="00832386"/>
    <w:rsid w:val="0083291E"/>
    <w:rsid w:val="00833483"/>
    <w:rsid w:val="00833C30"/>
    <w:rsid w:val="0083411D"/>
    <w:rsid w:val="0083453B"/>
    <w:rsid w:val="008347C1"/>
    <w:rsid w:val="00834B25"/>
    <w:rsid w:val="00835207"/>
    <w:rsid w:val="0083535D"/>
    <w:rsid w:val="00835DC7"/>
    <w:rsid w:val="0083696F"/>
    <w:rsid w:val="00837976"/>
    <w:rsid w:val="00837DF8"/>
    <w:rsid w:val="00837EED"/>
    <w:rsid w:val="00837F01"/>
    <w:rsid w:val="00837F6F"/>
    <w:rsid w:val="00841D90"/>
    <w:rsid w:val="00843D1B"/>
    <w:rsid w:val="008449B5"/>
    <w:rsid w:val="00844E48"/>
    <w:rsid w:val="0084535B"/>
    <w:rsid w:val="008455CD"/>
    <w:rsid w:val="00845B6E"/>
    <w:rsid w:val="00845C60"/>
    <w:rsid w:val="008462CB"/>
    <w:rsid w:val="00846EEB"/>
    <w:rsid w:val="008471E8"/>
    <w:rsid w:val="00847B7A"/>
    <w:rsid w:val="00847E2F"/>
    <w:rsid w:val="008501C5"/>
    <w:rsid w:val="008503CB"/>
    <w:rsid w:val="00850947"/>
    <w:rsid w:val="00850B5D"/>
    <w:rsid w:val="00850E55"/>
    <w:rsid w:val="00852C00"/>
    <w:rsid w:val="00852CBC"/>
    <w:rsid w:val="00853106"/>
    <w:rsid w:val="00854215"/>
    <w:rsid w:val="0085433D"/>
    <w:rsid w:val="0085535A"/>
    <w:rsid w:val="00855890"/>
    <w:rsid w:val="00856ACB"/>
    <w:rsid w:val="00856B0C"/>
    <w:rsid w:val="0085717C"/>
    <w:rsid w:val="00857867"/>
    <w:rsid w:val="00862286"/>
    <w:rsid w:val="00862AFF"/>
    <w:rsid w:val="008637B1"/>
    <w:rsid w:val="008642DB"/>
    <w:rsid w:val="00864CBF"/>
    <w:rsid w:val="00864E17"/>
    <w:rsid w:val="008658A3"/>
    <w:rsid w:val="00865A89"/>
    <w:rsid w:val="00865D8C"/>
    <w:rsid w:val="008661B2"/>
    <w:rsid w:val="00870782"/>
    <w:rsid w:val="0087163C"/>
    <w:rsid w:val="00871A50"/>
    <w:rsid w:val="00871B1C"/>
    <w:rsid w:val="00872238"/>
    <w:rsid w:val="008725BC"/>
    <w:rsid w:val="008743BC"/>
    <w:rsid w:val="00875BA9"/>
    <w:rsid w:val="00876E1B"/>
    <w:rsid w:val="00877515"/>
    <w:rsid w:val="008778C7"/>
    <w:rsid w:val="00877E8B"/>
    <w:rsid w:val="00880217"/>
    <w:rsid w:val="00880828"/>
    <w:rsid w:val="00881154"/>
    <w:rsid w:val="008811EE"/>
    <w:rsid w:val="00881B5C"/>
    <w:rsid w:val="00883064"/>
    <w:rsid w:val="0088372B"/>
    <w:rsid w:val="00883B59"/>
    <w:rsid w:val="00884970"/>
    <w:rsid w:val="00884A73"/>
    <w:rsid w:val="0088554C"/>
    <w:rsid w:val="00885632"/>
    <w:rsid w:val="00886494"/>
    <w:rsid w:val="0088785E"/>
    <w:rsid w:val="00891EA1"/>
    <w:rsid w:val="00892261"/>
    <w:rsid w:val="008932E9"/>
    <w:rsid w:val="00893326"/>
    <w:rsid w:val="00893B5E"/>
    <w:rsid w:val="00894253"/>
    <w:rsid w:val="0089519E"/>
    <w:rsid w:val="008951B7"/>
    <w:rsid w:val="00895A91"/>
    <w:rsid w:val="008967AE"/>
    <w:rsid w:val="00897C13"/>
    <w:rsid w:val="008A09D9"/>
    <w:rsid w:val="008A1AF7"/>
    <w:rsid w:val="008A341E"/>
    <w:rsid w:val="008A411A"/>
    <w:rsid w:val="008A4321"/>
    <w:rsid w:val="008A43D1"/>
    <w:rsid w:val="008A4E88"/>
    <w:rsid w:val="008A568D"/>
    <w:rsid w:val="008A5B8E"/>
    <w:rsid w:val="008A672C"/>
    <w:rsid w:val="008A6D7E"/>
    <w:rsid w:val="008A6F01"/>
    <w:rsid w:val="008A7E4D"/>
    <w:rsid w:val="008B031F"/>
    <w:rsid w:val="008B04C5"/>
    <w:rsid w:val="008B1076"/>
    <w:rsid w:val="008B1B35"/>
    <w:rsid w:val="008B2EC6"/>
    <w:rsid w:val="008B3124"/>
    <w:rsid w:val="008B3B60"/>
    <w:rsid w:val="008B3E52"/>
    <w:rsid w:val="008B51C5"/>
    <w:rsid w:val="008B5D4B"/>
    <w:rsid w:val="008B6564"/>
    <w:rsid w:val="008B69A0"/>
    <w:rsid w:val="008B69FB"/>
    <w:rsid w:val="008C0036"/>
    <w:rsid w:val="008C0412"/>
    <w:rsid w:val="008C0B68"/>
    <w:rsid w:val="008C11EE"/>
    <w:rsid w:val="008C15B5"/>
    <w:rsid w:val="008C234E"/>
    <w:rsid w:val="008C2362"/>
    <w:rsid w:val="008C25C7"/>
    <w:rsid w:val="008C2E21"/>
    <w:rsid w:val="008C2E97"/>
    <w:rsid w:val="008C3697"/>
    <w:rsid w:val="008C36E7"/>
    <w:rsid w:val="008C3B1B"/>
    <w:rsid w:val="008C51B0"/>
    <w:rsid w:val="008C52DB"/>
    <w:rsid w:val="008C5B0A"/>
    <w:rsid w:val="008C5BC6"/>
    <w:rsid w:val="008C5FFB"/>
    <w:rsid w:val="008C6E06"/>
    <w:rsid w:val="008C7067"/>
    <w:rsid w:val="008C7EA5"/>
    <w:rsid w:val="008D01CB"/>
    <w:rsid w:val="008D0D06"/>
    <w:rsid w:val="008D0D10"/>
    <w:rsid w:val="008D0FC1"/>
    <w:rsid w:val="008D139B"/>
    <w:rsid w:val="008D1D11"/>
    <w:rsid w:val="008D2B63"/>
    <w:rsid w:val="008D2D37"/>
    <w:rsid w:val="008D3208"/>
    <w:rsid w:val="008D42B3"/>
    <w:rsid w:val="008D42CD"/>
    <w:rsid w:val="008D4838"/>
    <w:rsid w:val="008D4C95"/>
    <w:rsid w:val="008D4F3F"/>
    <w:rsid w:val="008D5075"/>
    <w:rsid w:val="008D52AA"/>
    <w:rsid w:val="008D63BC"/>
    <w:rsid w:val="008D653E"/>
    <w:rsid w:val="008D6B13"/>
    <w:rsid w:val="008E020D"/>
    <w:rsid w:val="008E094C"/>
    <w:rsid w:val="008E09D4"/>
    <w:rsid w:val="008E0CBB"/>
    <w:rsid w:val="008E238E"/>
    <w:rsid w:val="008E25C8"/>
    <w:rsid w:val="008E2EDF"/>
    <w:rsid w:val="008E3045"/>
    <w:rsid w:val="008E4269"/>
    <w:rsid w:val="008E439B"/>
    <w:rsid w:val="008E4602"/>
    <w:rsid w:val="008E487B"/>
    <w:rsid w:val="008E5BA1"/>
    <w:rsid w:val="008E624F"/>
    <w:rsid w:val="008E6DCE"/>
    <w:rsid w:val="008E7591"/>
    <w:rsid w:val="008E78BF"/>
    <w:rsid w:val="008F00A7"/>
    <w:rsid w:val="008F04AB"/>
    <w:rsid w:val="008F0E49"/>
    <w:rsid w:val="008F151B"/>
    <w:rsid w:val="008F17C5"/>
    <w:rsid w:val="008F6367"/>
    <w:rsid w:val="008F7AE5"/>
    <w:rsid w:val="00900A9F"/>
    <w:rsid w:val="00900E95"/>
    <w:rsid w:val="00901CD3"/>
    <w:rsid w:val="00902492"/>
    <w:rsid w:val="00903698"/>
    <w:rsid w:val="009037F3"/>
    <w:rsid w:val="009042A5"/>
    <w:rsid w:val="00904821"/>
    <w:rsid w:val="00904FA0"/>
    <w:rsid w:val="00905515"/>
    <w:rsid w:val="00906214"/>
    <w:rsid w:val="0090631D"/>
    <w:rsid w:val="00906516"/>
    <w:rsid w:val="00906C3F"/>
    <w:rsid w:val="00906EFC"/>
    <w:rsid w:val="009074F6"/>
    <w:rsid w:val="0090750B"/>
    <w:rsid w:val="00907E9B"/>
    <w:rsid w:val="00910747"/>
    <w:rsid w:val="00910A16"/>
    <w:rsid w:val="009116EE"/>
    <w:rsid w:val="00911ABF"/>
    <w:rsid w:val="00911F62"/>
    <w:rsid w:val="00912010"/>
    <w:rsid w:val="0091342F"/>
    <w:rsid w:val="0091374F"/>
    <w:rsid w:val="00913820"/>
    <w:rsid w:val="0091421C"/>
    <w:rsid w:val="00914D15"/>
    <w:rsid w:val="00915162"/>
    <w:rsid w:val="009157BA"/>
    <w:rsid w:val="00916610"/>
    <w:rsid w:val="00916804"/>
    <w:rsid w:val="00917A58"/>
    <w:rsid w:val="0092033B"/>
    <w:rsid w:val="009223E1"/>
    <w:rsid w:val="00922C61"/>
    <w:rsid w:val="00922C6B"/>
    <w:rsid w:val="0092312C"/>
    <w:rsid w:val="009237F8"/>
    <w:rsid w:val="0092486D"/>
    <w:rsid w:val="00924992"/>
    <w:rsid w:val="009265A4"/>
    <w:rsid w:val="0092741B"/>
    <w:rsid w:val="0093088A"/>
    <w:rsid w:val="00931230"/>
    <w:rsid w:val="00931256"/>
    <w:rsid w:val="0093188D"/>
    <w:rsid w:val="00931E46"/>
    <w:rsid w:val="00931ED0"/>
    <w:rsid w:val="009323EC"/>
    <w:rsid w:val="00933DA8"/>
    <w:rsid w:val="00934717"/>
    <w:rsid w:val="00934760"/>
    <w:rsid w:val="009348B3"/>
    <w:rsid w:val="009355A3"/>
    <w:rsid w:val="009355D6"/>
    <w:rsid w:val="00935E6D"/>
    <w:rsid w:val="009360F4"/>
    <w:rsid w:val="0093621C"/>
    <w:rsid w:val="00936A48"/>
    <w:rsid w:val="009370CB"/>
    <w:rsid w:val="0093727A"/>
    <w:rsid w:val="00937D24"/>
    <w:rsid w:val="00937E45"/>
    <w:rsid w:val="00937F04"/>
    <w:rsid w:val="009410DD"/>
    <w:rsid w:val="00941A05"/>
    <w:rsid w:val="0094292F"/>
    <w:rsid w:val="00942D22"/>
    <w:rsid w:val="00943787"/>
    <w:rsid w:val="00943D0C"/>
    <w:rsid w:val="009443DA"/>
    <w:rsid w:val="00944430"/>
    <w:rsid w:val="00944A56"/>
    <w:rsid w:val="009452FA"/>
    <w:rsid w:val="0094570A"/>
    <w:rsid w:val="009458FC"/>
    <w:rsid w:val="009460EC"/>
    <w:rsid w:val="009462AC"/>
    <w:rsid w:val="0094666E"/>
    <w:rsid w:val="0094783B"/>
    <w:rsid w:val="009502AC"/>
    <w:rsid w:val="009509E8"/>
    <w:rsid w:val="00951A26"/>
    <w:rsid w:val="00953ACF"/>
    <w:rsid w:val="00954219"/>
    <w:rsid w:val="00954A00"/>
    <w:rsid w:val="00955356"/>
    <w:rsid w:val="0095566C"/>
    <w:rsid w:val="009557A1"/>
    <w:rsid w:val="00955D57"/>
    <w:rsid w:val="00956651"/>
    <w:rsid w:val="00956E75"/>
    <w:rsid w:val="00956FED"/>
    <w:rsid w:val="00957DBC"/>
    <w:rsid w:val="0096032B"/>
    <w:rsid w:val="00960478"/>
    <w:rsid w:val="00960C38"/>
    <w:rsid w:val="00960C7C"/>
    <w:rsid w:val="00961314"/>
    <w:rsid w:val="009619DE"/>
    <w:rsid w:val="00961BE2"/>
    <w:rsid w:val="00962642"/>
    <w:rsid w:val="00962661"/>
    <w:rsid w:val="00962C47"/>
    <w:rsid w:val="009630CD"/>
    <w:rsid w:val="00963998"/>
    <w:rsid w:val="009639E5"/>
    <w:rsid w:val="009640D1"/>
    <w:rsid w:val="00964624"/>
    <w:rsid w:val="00964C9A"/>
    <w:rsid w:val="00965715"/>
    <w:rsid w:val="00965E83"/>
    <w:rsid w:val="00966282"/>
    <w:rsid w:val="009701EA"/>
    <w:rsid w:val="00971225"/>
    <w:rsid w:val="009717BF"/>
    <w:rsid w:val="00971AA2"/>
    <w:rsid w:val="00972ABF"/>
    <w:rsid w:val="00972C69"/>
    <w:rsid w:val="009734EB"/>
    <w:rsid w:val="009737FC"/>
    <w:rsid w:val="00974CBD"/>
    <w:rsid w:val="009766C9"/>
    <w:rsid w:val="0097794D"/>
    <w:rsid w:val="0098022A"/>
    <w:rsid w:val="00980A34"/>
    <w:rsid w:val="00980C25"/>
    <w:rsid w:val="00981233"/>
    <w:rsid w:val="009812C2"/>
    <w:rsid w:val="00982113"/>
    <w:rsid w:val="0098229D"/>
    <w:rsid w:val="009823B0"/>
    <w:rsid w:val="009823B8"/>
    <w:rsid w:val="00982804"/>
    <w:rsid w:val="009829BE"/>
    <w:rsid w:val="00982C33"/>
    <w:rsid w:val="00984CEF"/>
    <w:rsid w:val="009852D6"/>
    <w:rsid w:val="0098534E"/>
    <w:rsid w:val="0098578B"/>
    <w:rsid w:val="009857A2"/>
    <w:rsid w:val="00985B06"/>
    <w:rsid w:val="00985D26"/>
    <w:rsid w:val="009865A1"/>
    <w:rsid w:val="00986B89"/>
    <w:rsid w:val="00987A6E"/>
    <w:rsid w:val="00987BEE"/>
    <w:rsid w:val="00990362"/>
    <w:rsid w:val="00990BDB"/>
    <w:rsid w:val="00990EBE"/>
    <w:rsid w:val="00991105"/>
    <w:rsid w:val="00991B9C"/>
    <w:rsid w:val="00991FE5"/>
    <w:rsid w:val="00992E75"/>
    <w:rsid w:val="0099367A"/>
    <w:rsid w:val="00993D51"/>
    <w:rsid w:val="0099432B"/>
    <w:rsid w:val="00994DFA"/>
    <w:rsid w:val="00995868"/>
    <w:rsid w:val="0099624D"/>
    <w:rsid w:val="009968D8"/>
    <w:rsid w:val="009973A1"/>
    <w:rsid w:val="00997D4F"/>
    <w:rsid w:val="00997E26"/>
    <w:rsid w:val="009A07BD"/>
    <w:rsid w:val="009A0944"/>
    <w:rsid w:val="009A0A76"/>
    <w:rsid w:val="009A0E6F"/>
    <w:rsid w:val="009A18D2"/>
    <w:rsid w:val="009A1F1F"/>
    <w:rsid w:val="009A344D"/>
    <w:rsid w:val="009A36A5"/>
    <w:rsid w:val="009A3985"/>
    <w:rsid w:val="009A4B3E"/>
    <w:rsid w:val="009A4D0E"/>
    <w:rsid w:val="009A57B8"/>
    <w:rsid w:val="009A5E0B"/>
    <w:rsid w:val="009A682D"/>
    <w:rsid w:val="009A6970"/>
    <w:rsid w:val="009A6B90"/>
    <w:rsid w:val="009A6FF5"/>
    <w:rsid w:val="009A70DA"/>
    <w:rsid w:val="009A7195"/>
    <w:rsid w:val="009A77E2"/>
    <w:rsid w:val="009B02DD"/>
    <w:rsid w:val="009B06EA"/>
    <w:rsid w:val="009B0784"/>
    <w:rsid w:val="009B0A11"/>
    <w:rsid w:val="009B10C7"/>
    <w:rsid w:val="009B1728"/>
    <w:rsid w:val="009B179A"/>
    <w:rsid w:val="009B1A64"/>
    <w:rsid w:val="009B1CBB"/>
    <w:rsid w:val="009B1CF5"/>
    <w:rsid w:val="009B1F0E"/>
    <w:rsid w:val="009B2323"/>
    <w:rsid w:val="009B3CFD"/>
    <w:rsid w:val="009B4390"/>
    <w:rsid w:val="009B43CE"/>
    <w:rsid w:val="009B534B"/>
    <w:rsid w:val="009B584B"/>
    <w:rsid w:val="009B7138"/>
    <w:rsid w:val="009B7BB8"/>
    <w:rsid w:val="009C056A"/>
    <w:rsid w:val="009C314F"/>
    <w:rsid w:val="009C3D5F"/>
    <w:rsid w:val="009C3F6E"/>
    <w:rsid w:val="009C4016"/>
    <w:rsid w:val="009C4A37"/>
    <w:rsid w:val="009C4DC5"/>
    <w:rsid w:val="009C5210"/>
    <w:rsid w:val="009C6995"/>
    <w:rsid w:val="009C6B26"/>
    <w:rsid w:val="009C7A51"/>
    <w:rsid w:val="009D0822"/>
    <w:rsid w:val="009D0DC5"/>
    <w:rsid w:val="009D0FAB"/>
    <w:rsid w:val="009D0FFE"/>
    <w:rsid w:val="009D1389"/>
    <w:rsid w:val="009D1F93"/>
    <w:rsid w:val="009D20BC"/>
    <w:rsid w:val="009D2661"/>
    <w:rsid w:val="009D2A08"/>
    <w:rsid w:val="009D374F"/>
    <w:rsid w:val="009D43E1"/>
    <w:rsid w:val="009D4615"/>
    <w:rsid w:val="009D4969"/>
    <w:rsid w:val="009D5554"/>
    <w:rsid w:val="009D5722"/>
    <w:rsid w:val="009D57C9"/>
    <w:rsid w:val="009D5B41"/>
    <w:rsid w:val="009D6B0A"/>
    <w:rsid w:val="009D7EBB"/>
    <w:rsid w:val="009E0DF7"/>
    <w:rsid w:val="009E129F"/>
    <w:rsid w:val="009E17E7"/>
    <w:rsid w:val="009E1845"/>
    <w:rsid w:val="009E26A6"/>
    <w:rsid w:val="009E27C5"/>
    <w:rsid w:val="009E2B0C"/>
    <w:rsid w:val="009E3650"/>
    <w:rsid w:val="009E41F6"/>
    <w:rsid w:val="009E48F6"/>
    <w:rsid w:val="009E61ED"/>
    <w:rsid w:val="009E62BE"/>
    <w:rsid w:val="009E6356"/>
    <w:rsid w:val="009E65AF"/>
    <w:rsid w:val="009E7169"/>
    <w:rsid w:val="009E7522"/>
    <w:rsid w:val="009E7A90"/>
    <w:rsid w:val="009F1244"/>
    <w:rsid w:val="009F1C67"/>
    <w:rsid w:val="009F217B"/>
    <w:rsid w:val="009F2B7B"/>
    <w:rsid w:val="009F3FC3"/>
    <w:rsid w:val="009F49C2"/>
    <w:rsid w:val="009F4F09"/>
    <w:rsid w:val="009F4FF2"/>
    <w:rsid w:val="009F556A"/>
    <w:rsid w:val="009F5F1C"/>
    <w:rsid w:val="009F6A82"/>
    <w:rsid w:val="009F75EC"/>
    <w:rsid w:val="00A008AB"/>
    <w:rsid w:val="00A0183B"/>
    <w:rsid w:val="00A01CE7"/>
    <w:rsid w:val="00A02B34"/>
    <w:rsid w:val="00A02D35"/>
    <w:rsid w:val="00A031F1"/>
    <w:rsid w:val="00A036F5"/>
    <w:rsid w:val="00A03E45"/>
    <w:rsid w:val="00A04290"/>
    <w:rsid w:val="00A0435B"/>
    <w:rsid w:val="00A04990"/>
    <w:rsid w:val="00A056BE"/>
    <w:rsid w:val="00A058B3"/>
    <w:rsid w:val="00A06549"/>
    <w:rsid w:val="00A071D8"/>
    <w:rsid w:val="00A07748"/>
    <w:rsid w:val="00A100D0"/>
    <w:rsid w:val="00A10EA6"/>
    <w:rsid w:val="00A124EB"/>
    <w:rsid w:val="00A128B7"/>
    <w:rsid w:val="00A12F6D"/>
    <w:rsid w:val="00A130DF"/>
    <w:rsid w:val="00A132E7"/>
    <w:rsid w:val="00A13724"/>
    <w:rsid w:val="00A13DFE"/>
    <w:rsid w:val="00A15501"/>
    <w:rsid w:val="00A157EB"/>
    <w:rsid w:val="00A15BE5"/>
    <w:rsid w:val="00A1661A"/>
    <w:rsid w:val="00A20567"/>
    <w:rsid w:val="00A20667"/>
    <w:rsid w:val="00A21BED"/>
    <w:rsid w:val="00A2215B"/>
    <w:rsid w:val="00A221E1"/>
    <w:rsid w:val="00A224C9"/>
    <w:rsid w:val="00A2287F"/>
    <w:rsid w:val="00A22DC8"/>
    <w:rsid w:val="00A2352B"/>
    <w:rsid w:val="00A235E6"/>
    <w:rsid w:val="00A23A7A"/>
    <w:rsid w:val="00A2422D"/>
    <w:rsid w:val="00A243DD"/>
    <w:rsid w:val="00A24BE1"/>
    <w:rsid w:val="00A24C33"/>
    <w:rsid w:val="00A25454"/>
    <w:rsid w:val="00A256DB"/>
    <w:rsid w:val="00A26085"/>
    <w:rsid w:val="00A2658D"/>
    <w:rsid w:val="00A26FC2"/>
    <w:rsid w:val="00A27392"/>
    <w:rsid w:val="00A27852"/>
    <w:rsid w:val="00A30917"/>
    <w:rsid w:val="00A30D25"/>
    <w:rsid w:val="00A314BD"/>
    <w:rsid w:val="00A31CF5"/>
    <w:rsid w:val="00A320EA"/>
    <w:rsid w:val="00A3274E"/>
    <w:rsid w:val="00A33861"/>
    <w:rsid w:val="00A34275"/>
    <w:rsid w:val="00A344A5"/>
    <w:rsid w:val="00A344E6"/>
    <w:rsid w:val="00A34599"/>
    <w:rsid w:val="00A3519F"/>
    <w:rsid w:val="00A36690"/>
    <w:rsid w:val="00A371D0"/>
    <w:rsid w:val="00A37B14"/>
    <w:rsid w:val="00A37BD0"/>
    <w:rsid w:val="00A42820"/>
    <w:rsid w:val="00A431D9"/>
    <w:rsid w:val="00A43881"/>
    <w:rsid w:val="00A44427"/>
    <w:rsid w:val="00A4454D"/>
    <w:rsid w:val="00A45E39"/>
    <w:rsid w:val="00A45E58"/>
    <w:rsid w:val="00A461F3"/>
    <w:rsid w:val="00A4636C"/>
    <w:rsid w:val="00A46804"/>
    <w:rsid w:val="00A46A7B"/>
    <w:rsid w:val="00A46ABD"/>
    <w:rsid w:val="00A46D8D"/>
    <w:rsid w:val="00A47115"/>
    <w:rsid w:val="00A47EA4"/>
    <w:rsid w:val="00A502CB"/>
    <w:rsid w:val="00A506F0"/>
    <w:rsid w:val="00A50882"/>
    <w:rsid w:val="00A50A5E"/>
    <w:rsid w:val="00A51304"/>
    <w:rsid w:val="00A513FA"/>
    <w:rsid w:val="00A51AD6"/>
    <w:rsid w:val="00A524AF"/>
    <w:rsid w:val="00A52B0D"/>
    <w:rsid w:val="00A52E03"/>
    <w:rsid w:val="00A5379F"/>
    <w:rsid w:val="00A5415B"/>
    <w:rsid w:val="00A54617"/>
    <w:rsid w:val="00A547F7"/>
    <w:rsid w:val="00A5627C"/>
    <w:rsid w:val="00A578C7"/>
    <w:rsid w:val="00A57ACA"/>
    <w:rsid w:val="00A60B77"/>
    <w:rsid w:val="00A60C69"/>
    <w:rsid w:val="00A61035"/>
    <w:rsid w:val="00A6105F"/>
    <w:rsid w:val="00A6198A"/>
    <w:rsid w:val="00A62483"/>
    <w:rsid w:val="00A63562"/>
    <w:rsid w:val="00A63772"/>
    <w:rsid w:val="00A642F4"/>
    <w:rsid w:val="00A64E39"/>
    <w:rsid w:val="00A65D2A"/>
    <w:rsid w:val="00A66902"/>
    <w:rsid w:val="00A66E0B"/>
    <w:rsid w:val="00A66FB6"/>
    <w:rsid w:val="00A7023E"/>
    <w:rsid w:val="00A7035A"/>
    <w:rsid w:val="00A7055B"/>
    <w:rsid w:val="00A70D7C"/>
    <w:rsid w:val="00A711AD"/>
    <w:rsid w:val="00A72159"/>
    <w:rsid w:val="00A7349A"/>
    <w:rsid w:val="00A734CD"/>
    <w:rsid w:val="00A73DD1"/>
    <w:rsid w:val="00A75498"/>
    <w:rsid w:val="00A76841"/>
    <w:rsid w:val="00A76C6D"/>
    <w:rsid w:val="00A76C9B"/>
    <w:rsid w:val="00A7764A"/>
    <w:rsid w:val="00A80576"/>
    <w:rsid w:val="00A80586"/>
    <w:rsid w:val="00A80B4E"/>
    <w:rsid w:val="00A81169"/>
    <w:rsid w:val="00A82057"/>
    <w:rsid w:val="00A8296F"/>
    <w:rsid w:val="00A82DDC"/>
    <w:rsid w:val="00A837B0"/>
    <w:rsid w:val="00A83A90"/>
    <w:rsid w:val="00A84763"/>
    <w:rsid w:val="00A85547"/>
    <w:rsid w:val="00A85A67"/>
    <w:rsid w:val="00A86BB0"/>
    <w:rsid w:val="00A875F7"/>
    <w:rsid w:val="00A87966"/>
    <w:rsid w:val="00A90A7F"/>
    <w:rsid w:val="00A90D0B"/>
    <w:rsid w:val="00A90FDC"/>
    <w:rsid w:val="00A910FB"/>
    <w:rsid w:val="00A911B2"/>
    <w:rsid w:val="00A91B1F"/>
    <w:rsid w:val="00A91FDE"/>
    <w:rsid w:val="00A92E6C"/>
    <w:rsid w:val="00A92FA1"/>
    <w:rsid w:val="00A9388C"/>
    <w:rsid w:val="00A938EE"/>
    <w:rsid w:val="00A93A88"/>
    <w:rsid w:val="00A9474C"/>
    <w:rsid w:val="00A9496F"/>
    <w:rsid w:val="00A94BBB"/>
    <w:rsid w:val="00A95247"/>
    <w:rsid w:val="00A958EA"/>
    <w:rsid w:val="00A96223"/>
    <w:rsid w:val="00A963D1"/>
    <w:rsid w:val="00A979B0"/>
    <w:rsid w:val="00AA0E2C"/>
    <w:rsid w:val="00AA1010"/>
    <w:rsid w:val="00AA1073"/>
    <w:rsid w:val="00AA2179"/>
    <w:rsid w:val="00AA21EA"/>
    <w:rsid w:val="00AA31BA"/>
    <w:rsid w:val="00AA3476"/>
    <w:rsid w:val="00AA3A9C"/>
    <w:rsid w:val="00AA4316"/>
    <w:rsid w:val="00AA4565"/>
    <w:rsid w:val="00AA555D"/>
    <w:rsid w:val="00AA6169"/>
    <w:rsid w:val="00AA7526"/>
    <w:rsid w:val="00AB0EC8"/>
    <w:rsid w:val="00AB13FB"/>
    <w:rsid w:val="00AB19E5"/>
    <w:rsid w:val="00AB1EBA"/>
    <w:rsid w:val="00AB1FC6"/>
    <w:rsid w:val="00AB2334"/>
    <w:rsid w:val="00AB25D5"/>
    <w:rsid w:val="00AB31D4"/>
    <w:rsid w:val="00AB3C2A"/>
    <w:rsid w:val="00AB3E49"/>
    <w:rsid w:val="00AB4FCE"/>
    <w:rsid w:val="00AB5187"/>
    <w:rsid w:val="00AB70BC"/>
    <w:rsid w:val="00AB7373"/>
    <w:rsid w:val="00AB7776"/>
    <w:rsid w:val="00AB7F0C"/>
    <w:rsid w:val="00AC174D"/>
    <w:rsid w:val="00AC1DD8"/>
    <w:rsid w:val="00AC1FCC"/>
    <w:rsid w:val="00AC290D"/>
    <w:rsid w:val="00AC3420"/>
    <w:rsid w:val="00AC37C0"/>
    <w:rsid w:val="00AC40B5"/>
    <w:rsid w:val="00AC4D7B"/>
    <w:rsid w:val="00AC510D"/>
    <w:rsid w:val="00AC5134"/>
    <w:rsid w:val="00AC5A58"/>
    <w:rsid w:val="00AC5BA2"/>
    <w:rsid w:val="00AC6685"/>
    <w:rsid w:val="00AC6698"/>
    <w:rsid w:val="00AC6858"/>
    <w:rsid w:val="00AC6FA2"/>
    <w:rsid w:val="00AC741A"/>
    <w:rsid w:val="00AD0EA0"/>
    <w:rsid w:val="00AD1247"/>
    <w:rsid w:val="00AD1571"/>
    <w:rsid w:val="00AD1E68"/>
    <w:rsid w:val="00AD31B3"/>
    <w:rsid w:val="00AD34BC"/>
    <w:rsid w:val="00AD35AE"/>
    <w:rsid w:val="00AD43E9"/>
    <w:rsid w:val="00AD5A28"/>
    <w:rsid w:val="00AD60F9"/>
    <w:rsid w:val="00AD6847"/>
    <w:rsid w:val="00AD6F38"/>
    <w:rsid w:val="00AD7946"/>
    <w:rsid w:val="00AD7AB1"/>
    <w:rsid w:val="00AE077D"/>
    <w:rsid w:val="00AE0DA0"/>
    <w:rsid w:val="00AE0DF1"/>
    <w:rsid w:val="00AE16CE"/>
    <w:rsid w:val="00AE2602"/>
    <w:rsid w:val="00AE27E1"/>
    <w:rsid w:val="00AE336D"/>
    <w:rsid w:val="00AE39ED"/>
    <w:rsid w:val="00AE4064"/>
    <w:rsid w:val="00AE546F"/>
    <w:rsid w:val="00AE640D"/>
    <w:rsid w:val="00AE6593"/>
    <w:rsid w:val="00AE7045"/>
    <w:rsid w:val="00AE71E4"/>
    <w:rsid w:val="00AF143B"/>
    <w:rsid w:val="00AF159E"/>
    <w:rsid w:val="00AF2AC7"/>
    <w:rsid w:val="00AF30F1"/>
    <w:rsid w:val="00AF315B"/>
    <w:rsid w:val="00AF347E"/>
    <w:rsid w:val="00AF3979"/>
    <w:rsid w:val="00AF3D78"/>
    <w:rsid w:val="00AF43E7"/>
    <w:rsid w:val="00AF4750"/>
    <w:rsid w:val="00AF4CF8"/>
    <w:rsid w:val="00AF6A71"/>
    <w:rsid w:val="00AF6CB7"/>
    <w:rsid w:val="00B00D47"/>
    <w:rsid w:val="00B00F82"/>
    <w:rsid w:val="00B01F0B"/>
    <w:rsid w:val="00B0293C"/>
    <w:rsid w:val="00B02A4F"/>
    <w:rsid w:val="00B04375"/>
    <w:rsid w:val="00B04823"/>
    <w:rsid w:val="00B051C5"/>
    <w:rsid w:val="00B05A31"/>
    <w:rsid w:val="00B05C61"/>
    <w:rsid w:val="00B05F59"/>
    <w:rsid w:val="00B077DA"/>
    <w:rsid w:val="00B1027B"/>
    <w:rsid w:val="00B1091A"/>
    <w:rsid w:val="00B10A3E"/>
    <w:rsid w:val="00B10F1A"/>
    <w:rsid w:val="00B10F71"/>
    <w:rsid w:val="00B12066"/>
    <w:rsid w:val="00B12557"/>
    <w:rsid w:val="00B12817"/>
    <w:rsid w:val="00B12E55"/>
    <w:rsid w:val="00B12F7E"/>
    <w:rsid w:val="00B12FC2"/>
    <w:rsid w:val="00B13169"/>
    <w:rsid w:val="00B13292"/>
    <w:rsid w:val="00B1356B"/>
    <w:rsid w:val="00B13661"/>
    <w:rsid w:val="00B13C2A"/>
    <w:rsid w:val="00B15DB5"/>
    <w:rsid w:val="00B16D19"/>
    <w:rsid w:val="00B17275"/>
    <w:rsid w:val="00B179BD"/>
    <w:rsid w:val="00B20894"/>
    <w:rsid w:val="00B20AAA"/>
    <w:rsid w:val="00B214C8"/>
    <w:rsid w:val="00B216F8"/>
    <w:rsid w:val="00B2176E"/>
    <w:rsid w:val="00B21D65"/>
    <w:rsid w:val="00B22618"/>
    <w:rsid w:val="00B22786"/>
    <w:rsid w:val="00B22EA8"/>
    <w:rsid w:val="00B2375D"/>
    <w:rsid w:val="00B24211"/>
    <w:rsid w:val="00B24448"/>
    <w:rsid w:val="00B2583E"/>
    <w:rsid w:val="00B25A1F"/>
    <w:rsid w:val="00B25BBD"/>
    <w:rsid w:val="00B26943"/>
    <w:rsid w:val="00B27E00"/>
    <w:rsid w:val="00B30EBA"/>
    <w:rsid w:val="00B313F5"/>
    <w:rsid w:val="00B31728"/>
    <w:rsid w:val="00B32C9A"/>
    <w:rsid w:val="00B340EF"/>
    <w:rsid w:val="00B343E5"/>
    <w:rsid w:val="00B349E4"/>
    <w:rsid w:val="00B351FE"/>
    <w:rsid w:val="00B355C2"/>
    <w:rsid w:val="00B359DB"/>
    <w:rsid w:val="00B36063"/>
    <w:rsid w:val="00B36EB6"/>
    <w:rsid w:val="00B3700E"/>
    <w:rsid w:val="00B37158"/>
    <w:rsid w:val="00B40393"/>
    <w:rsid w:val="00B407C1"/>
    <w:rsid w:val="00B40A30"/>
    <w:rsid w:val="00B40EE6"/>
    <w:rsid w:val="00B41451"/>
    <w:rsid w:val="00B4156F"/>
    <w:rsid w:val="00B42D80"/>
    <w:rsid w:val="00B42DD4"/>
    <w:rsid w:val="00B43F99"/>
    <w:rsid w:val="00B47014"/>
    <w:rsid w:val="00B50C58"/>
    <w:rsid w:val="00B51161"/>
    <w:rsid w:val="00B5180C"/>
    <w:rsid w:val="00B51889"/>
    <w:rsid w:val="00B51B00"/>
    <w:rsid w:val="00B52AC1"/>
    <w:rsid w:val="00B53603"/>
    <w:rsid w:val="00B54A95"/>
    <w:rsid w:val="00B54B6A"/>
    <w:rsid w:val="00B54CB6"/>
    <w:rsid w:val="00B55821"/>
    <w:rsid w:val="00B55926"/>
    <w:rsid w:val="00B559DC"/>
    <w:rsid w:val="00B55A87"/>
    <w:rsid w:val="00B56B55"/>
    <w:rsid w:val="00B56E9A"/>
    <w:rsid w:val="00B57169"/>
    <w:rsid w:val="00B57B82"/>
    <w:rsid w:val="00B57F19"/>
    <w:rsid w:val="00B60396"/>
    <w:rsid w:val="00B60C9C"/>
    <w:rsid w:val="00B61F36"/>
    <w:rsid w:val="00B635C8"/>
    <w:rsid w:val="00B63785"/>
    <w:rsid w:val="00B64521"/>
    <w:rsid w:val="00B64F78"/>
    <w:rsid w:val="00B657C3"/>
    <w:rsid w:val="00B65CFA"/>
    <w:rsid w:val="00B71178"/>
    <w:rsid w:val="00B71E60"/>
    <w:rsid w:val="00B72C34"/>
    <w:rsid w:val="00B72CB2"/>
    <w:rsid w:val="00B72CEF"/>
    <w:rsid w:val="00B72F63"/>
    <w:rsid w:val="00B7382E"/>
    <w:rsid w:val="00B738FB"/>
    <w:rsid w:val="00B73CC3"/>
    <w:rsid w:val="00B73E33"/>
    <w:rsid w:val="00B74D01"/>
    <w:rsid w:val="00B750A8"/>
    <w:rsid w:val="00B7574A"/>
    <w:rsid w:val="00B75C6E"/>
    <w:rsid w:val="00B760EA"/>
    <w:rsid w:val="00B76BB2"/>
    <w:rsid w:val="00B80090"/>
    <w:rsid w:val="00B80F0F"/>
    <w:rsid w:val="00B810F3"/>
    <w:rsid w:val="00B81110"/>
    <w:rsid w:val="00B81815"/>
    <w:rsid w:val="00B820BA"/>
    <w:rsid w:val="00B82669"/>
    <w:rsid w:val="00B82F39"/>
    <w:rsid w:val="00B8322D"/>
    <w:rsid w:val="00B8362D"/>
    <w:rsid w:val="00B857AA"/>
    <w:rsid w:val="00B85821"/>
    <w:rsid w:val="00B85BEF"/>
    <w:rsid w:val="00B85DC7"/>
    <w:rsid w:val="00B86412"/>
    <w:rsid w:val="00B8739E"/>
    <w:rsid w:val="00B900B0"/>
    <w:rsid w:val="00B90B77"/>
    <w:rsid w:val="00B90F76"/>
    <w:rsid w:val="00B91DD5"/>
    <w:rsid w:val="00B91F86"/>
    <w:rsid w:val="00B92121"/>
    <w:rsid w:val="00B92393"/>
    <w:rsid w:val="00B924E8"/>
    <w:rsid w:val="00B924F7"/>
    <w:rsid w:val="00B93575"/>
    <w:rsid w:val="00B93677"/>
    <w:rsid w:val="00B937DD"/>
    <w:rsid w:val="00B94263"/>
    <w:rsid w:val="00B9426D"/>
    <w:rsid w:val="00B9443D"/>
    <w:rsid w:val="00B951D2"/>
    <w:rsid w:val="00B95671"/>
    <w:rsid w:val="00B95BC8"/>
    <w:rsid w:val="00B95F8B"/>
    <w:rsid w:val="00B96040"/>
    <w:rsid w:val="00B96ACB"/>
    <w:rsid w:val="00B96EA3"/>
    <w:rsid w:val="00B96F47"/>
    <w:rsid w:val="00B9740A"/>
    <w:rsid w:val="00B97633"/>
    <w:rsid w:val="00BA0DFF"/>
    <w:rsid w:val="00BA1088"/>
    <w:rsid w:val="00BA126B"/>
    <w:rsid w:val="00BA145F"/>
    <w:rsid w:val="00BA16EA"/>
    <w:rsid w:val="00BA1A9D"/>
    <w:rsid w:val="00BA1C0C"/>
    <w:rsid w:val="00BA2AB7"/>
    <w:rsid w:val="00BA3300"/>
    <w:rsid w:val="00BA34A6"/>
    <w:rsid w:val="00BA3A3A"/>
    <w:rsid w:val="00BA4496"/>
    <w:rsid w:val="00BA4FC2"/>
    <w:rsid w:val="00BA542B"/>
    <w:rsid w:val="00BA56A2"/>
    <w:rsid w:val="00BA56D0"/>
    <w:rsid w:val="00BA630D"/>
    <w:rsid w:val="00BA6B09"/>
    <w:rsid w:val="00BA7711"/>
    <w:rsid w:val="00BB122F"/>
    <w:rsid w:val="00BB131C"/>
    <w:rsid w:val="00BB1931"/>
    <w:rsid w:val="00BB34EE"/>
    <w:rsid w:val="00BB37C3"/>
    <w:rsid w:val="00BB3820"/>
    <w:rsid w:val="00BB39FE"/>
    <w:rsid w:val="00BB41E2"/>
    <w:rsid w:val="00BB4554"/>
    <w:rsid w:val="00BB4C70"/>
    <w:rsid w:val="00BB6B60"/>
    <w:rsid w:val="00BB6DD8"/>
    <w:rsid w:val="00BB72B3"/>
    <w:rsid w:val="00BB796B"/>
    <w:rsid w:val="00BC0AEB"/>
    <w:rsid w:val="00BC0C7C"/>
    <w:rsid w:val="00BC0CFA"/>
    <w:rsid w:val="00BC0FA8"/>
    <w:rsid w:val="00BC11AF"/>
    <w:rsid w:val="00BC161A"/>
    <w:rsid w:val="00BC25F6"/>
    <w:rsid w:val="00BC283F"/>
    <w:rsid w:val="00BC2E19"/>
    <w:rsid w:val="00BC4A4C"/>
    <w:rsid w:val="00BC6F96"/>
    <w:rsid w:val="00BC74F2"/>
    <w:rsid w:val="00BC7F88"/>
    <w:rsid w:val="00BD016F"/>
    <w:rsid w:val="00BD08CD"/>
    <w:rsid w:val="00BD0D06"/>
    <w:rsid w:val="00BD0DE1"/>
    <w:rsid w:val="00BD1D36"/>
    <w:rsid w:val="00BD3DD9"/>
    <w:rsid w:val="00BD416C"/>
    <w:rsid w:val="00BD4373"/>
    <w:rsid w:val="00BD459C"/>
    <w:rsid w:val="00BD4689"/>
    <w:rsid w:val="00BD4FA4"/>
    <w:rsid w:val="00BD65B2"/>
    <w:rsid w:val="00BD6637"/>
    <w:rsid w:val="00BD681B"/>
    <w:rsid w:val="00BD6A8F"/>
    <w:rsid w:val="00BD738C"/>
    <w:rsid w:val="00BD7E83"/>
    <w:rsid w:val="00BE016E"/>
    <w:rsid w:val="00BE0528"/>
    <w:rsid w:val="00BE0547"/>
    <w:rsid w:val="00BE07F9"/>
    <w:rsid w:val="00BE1816"/>
    <w:rsid w:val="00BE33F8"/>
    <w:rsid w:val="00BE4B68"/>
    <w:rsid w:val="00BE4B82"/>
    <w:rsid w:val="00BE4D38"/>
    <w:rsid w:val="00BE52AA"/>
    <w:rsid w:val="00BE5E42"/>
    <w:rsid w:val="00BE614C"/>
    <w:rsid w:val="00BE6696"/>
    <w:rsid w:val="00BF04F0"/>
    <w:rsid w:val="00BF0E96"/>
    <w:rsid w:val="00BF11BC"/>
    <w:rsid w:val="00BF1E3C"/>
    <w:rsid w:val="00BF24B9"/>
    <w:rsid w:val="00BF26A4"/>
    <w:rsid w:val="00BF2C83"/>
    <w:rsid w:val="00BF332F"/>
    <w:rsid w:val="00BF3C8A"/>
    <w:rsid w:val="00BF434B"/>
    <w:rsid w:val="00BF477B"/>
    <w:rsid w:val="00BF4E1C"/>
    <w:rsid w:val="00BF5196"/>
    <w:rsid w:val="00BF611A"/>
    <w:rsid w:val="00BF6144"/>
    <w:rsid w:val="00BF61FE"/>
    <w:rsid w:val="00BF722D"/>
    <w:rsid w:val="00BF7DEB"/>
    <w:rsid w:val="00C00619"/>
    <w:rsid w:val="00C012E8"/>
    <w:rsid w:val="00C017B5"/>
    <w:rsid w:val="00C0273F"/>
    <w:rsid w:val="00C030E2"/>
    <w:rsid w:val="00C0318E"/>
    <w:rsid w:val="00C03C03"/>
    <w:rsid w:val="00C03C3D"/>
    <w:rsid w:val="00C03EEA"/>
    <w:rsid w:val="00C058D7"/>
    <w:rsid w:val="00C05AE3"/>
    <w:rsid w:val="00C109E6"/>
    <w:rsid w:val="00C113A0"/>
    <w:rsid w:val="00C11E2B"/>
    <w:rsid w:val="00C1385D"/>
    <w:rsid w:val="00C13892"/>
    <w:rsid w:val="00C13C37"/>
    <w:rsid w:val="00C14CAD"/>
    <w:rsid w:val="00C14E7E"/>
    <w:rsid w:val="00C15CA3"/>
    <w:rsid w:val="00C166C1"/>
    <w:rsid w:val="00C170FE"/>
    <w:rsid w:val="00C17950"/>
    <w:rsid w:val="00C17F43"/>
    <w:rsid w:val="00C2157F"/>
    <w:rsid w:val="00C21A22"/>
    <w:rsid w:val="00C22414"/>
    <w:rsid w:val="00C22B3B"/>
    <w:rsid w:val="00C238EA"/>
    <w:rsid w:val="00C23DF3"/>
    <w:rsid w:val="00C242C3"/>
    <w:rsid w:val="00C24640"/>
    <w:rsid w:val="00C246E5"/>
    <w:rsid w:val="00C24DA2"/>
    <w:rsid w:val="00C25213"/>
    <w:rsid w:val="00C25BCE"/>
    <w:rsid w:val="00C25F17"/>
    <w:rsid w:val="00C261AA"/>
    <w:rsid w:val="00C27255"/>
    <w:rsid w:val="00C27EA9"/>
    <w:rsid w:val="00C300BA"/>
    <w:rsid w:val="00C313B9"/>
    <w:rsid w:val="00C32323"/>
    <w:rsid w:val="00C34196"/>
    <w:rsid w:val="00C34F15"/>
    <w:rsid w:val="00C350FB"/>
    <w:rsid w:val="00C35652"/>
    <w:rsid w:val="00C359CE"/>
    <w:rsid w:val="00C35B6F"/>
    <w:rsid w:val="00C364C0"/>
    <w:rsid w:val="00C371FA"/>
    <w:rsid w:val="00C40BED"/>
    <w:rsid w:val="00C413F3"/>
    <w:rsid w:val="00C41F4C"/>
    <w:rsid w:val="00C424B9"/>
    <w:rsid w:val="00C4320F"/>
    <w:rsid w:val="00C44D53"/>
    <w:rsid w:val="00C450BD"/>
    <w:rsid w:val="00C45622"/>
    <w:rsid w:val="00C4579D"/>
    <w:rsid w:val="00C47674"/>
    <w:rsid w:val="00C479FB"/>
    <w:rsid w:val="00C47AE3"/>
    <w:rsid w:val="00C5068F"/>
    <w:rsid w:val="00C50ACC"/>
    <w:rsid w:val="00C51BE4"/>
    <w:rsid w:val="00C51F6B"/>
    <w:rsid w:val="00C5214C"/>
    <w:rsid w:val="00C52917"/>
    <w:rsid w:val="00C52D86"/>
    <w:rsid w:val="00C533E4"/>
    <w:rsid w:val="00C55DA6"/>
    <w:rsid w:val="00C55EBC"/>
    <w:rsid w:val="00C56CAF"/>
    <w:rsid w:val="00C56CD0"/>
    <w:rsid w:val="00C57983"/>
    <w:rsid w:val="00C6030D"/>
    <w:rsid w:val="00C61564"/>
    <w:rsid w:val="00C6284C"/>
    <w:rsid w:val="00C62BFE"/>
    <w:rsid w:val="00C63627"/>
    <w:rsid w:val="00C6373C"/>
    <w:rsid w:val="00C638B2"/>
    <w:rsid w:val="00C63940"/>
    <w:rsid w:val="00C6490E"/>
    <w:rsid w:val="00C64C0A"/>
    <w:rsid w:val="00C65931"/>
    <w:rsid w:val="00C65A68"/>
    <w:rsid w:val="00C6636E"/>
    <w:rsid w:val="00C66880"/>
    <w:rsid w:val="00C66B35"/>
    <w:rsid w:val="00C675E7"/>
    <w:rsid w:val="00C678FC"/>
    <w:rsid w:val="00C679F1"/>
    <w:rsid w:val="00C67A83"/>
    <w:rsid w:val="00C710C1"/>
    <w:rsid w:val="00C71455"/>
    <w:rsid w:val="00C72233"/>
    <w:rsid w:val="00C722E5"/>
    <w:rsid w:val="00C72839"/>
    <w:rsid w:val="00C72FA2"/>
    <w:rsid w:val="00C7329B"/>
    <w:rsid w:val="00C73476"/>
    <w:rsid w:val="00C73C5F"/>
    <w:rsid w:val="00C7537A"/>
    <w:rsid w:val="00C759D9"/>
    <w:rsid w:val="00C76AE6"/>
    <w:rsid w:val="00C80CA8"/>
    <w:rsid w:val="00C80CFA"/>
    <w:rsid w:val="00C812B8"/>
    <w:rsid w:val="00C814FE"/>
    <w:rsid w:val="00C818A3"/>
    <w:rsid w:val="00C82288"/>
    <w:rsid w:val="00C8238A"/>
    <w:rsid w:val="00C827E2"/>
    <w:rsid w:val="00C84AB3"/>
    <w:rsid w:val="00C85FD9"/>
    <w:rsid w:val="00C86440"/>
    <w:rsid w:val="00C866A2"/>
    <w:rsid w:val="00C86D27"/>
    <w:rsid w:val="00C86D6A"/>
    <w:rsid w:val="00C87152"/>
    <w:rsid w:val="00C87615"/>
    <w:rsid w:val="00C87672"/>
    <w:rsid w:val="00C87D8D"/>
    <w:rsid w:val="00C87EC7"/>
    <w:rsid w:val="00C91800"/>
    <w:rsid w:val="00C91CC0"/>
    <w:rsid w:val="00C93019"/>
    <w:rsid w:val="00C930F3"/>
    <w:rsid w:val="00C93A9E"/>
    <w:rsid w:val="00C93D86"/>
    <w:rsid w:val="00C93FA9"/>
    <w:rsid w:val="00C94380"/>
    <w:rsid w:val="00C94894"/>
    <w:rsid w:val="00C94C1A"/>
    <w:rsid w:val="00C953A9"/>
    <w:rsid w:val="00C97857"/>
    <w:rsid w:val="00CA00AF"/>
    <w:rsid w:val="00CA0B43"/>
    <w:rsid w:val="00CA0E9C"/>
    <w:rsid w:val="00CA3E1E"/>
    <w:rsid w:val="00CA4672"/>
    <w:rsid w:val="00CA5733"/>
    <w:rsid w:val="00CA66AF"/>
    <w:rsid w:val="00CA6796"/>
    <w:rsid w:val="00CA6863"/>
    <w:rsid w:val="00CA7817"/>
    <w:rsid w:val="00CA79AF"/>
    <w:rsid w:val="00CA7C96"/>
    <w:rsid w:val="00CB0295"/>
    <w:rsid w:val="00CB033A"/>
    <w:rsid w:val="00CB08EE"/>
    <w:rsid w:val="00CB1913"/>
    <w:rsid w:val="00CB2562"/>
    <w:rsid w:val="00CB56DC"/>
    <w:rsid w:val="00CB5D26"/>
    <w:rsid w:val="00CB5F46"/>
    <w:rsid w:val="00CB6111"/>
    <w:rsid w:val="00CB6406"/>
    <w:rsid w:val="00CB72BF"/>
    <w:rsid w:val="00CB72F6"/>
    <w:rsid w:val="00CB7839"/>
    <w:rsid w:val="00CB7B82"/>
    <w:rsid w:val="00CC09BA"/>
    <w:rsid w:val="00CC118C"/>
    <w:rsid w:val="00CC1B71"/>
    <w:rsid w:val="00CC2784"/>
    <w:rsid w:val="00CC309E"/>
    <w:rsid w:val="00CC348F"/>
    <w:rsid w:val="00CC471F"/>
    <w:rsid w:val="00CC5A48"/>
    <w:rsid w:val="00CC5C35"/>
    <w:rsid w:val="00CC672E"/>
    <w:rsid w:val="00CC6B1D"/>
    <w:rsid w:val="00CC6CEF"/>
    <w:rsid w:val="00CC782D"/>
    <w:rsid w:val="00CC794C"/>
    <w:rsid w:val="00CD0949"/>
    <w:rsid w:val="00CD0B97"/>
    <w:rsid w:val="00CD0CA8"/>
    <w:rsid w:val="00CD0D55"/>
    <w:rsid w:val="00CD0DB9"/>
    <w:rsid w:val="00CD1130"/>
    <w:rsid w:val="00CD188B"/>
    <w:rsid w:val="00CD2C1F"/>
    <w:rsid w:val="00CD2FA7"/>
    <w:rsid w:val="00CD373B"/>
    <w:rsid w:val="00CD46EB"/>
    <w:rsid w:val="00CD4CBE"/>
    <w:rsid w:val="00CD5577"/>
    <w:rsid w:val="00CD5DA7"/>
    <w:rsid w:val="00CD6447"/>
    <w:rsid w:val="00CD6F13"/>
    <w:rsid w:val="00CD7A53"/>
    <w:rsid w:val="00CD7A88"/>
    <w:rsid w:val="00CE08F0"/>
    <w:rsid w:val="00CE0A9A"/>
    <w:rsid w:val="00CE154C"/>
    <w:rsid w:val="00CE20A1"/>
    <w:rsid w:val="00CE3412"/>
    <w:rsid w:val="00CE3740"/>
    <w:rsid w:val="00CE4123"/>
    <w:rsid w:val="00CE43C4"/>
    <w:rsid w:val="00CE4403"/>
    <w:rsid w:val="00CE54F5"/>
    <w:rsid w:val="00CE55A0"/>
    <w:rsid w:val="00CE5689"/>
    <w:rsid w:val="00CE5D02"/>
    <w:rsid w:val="00CE65BC"/>
    <w:rsid w:val="00CE6D30"/>
    <w:rsid w:val="00CE76A3"/>
    <w:rsid w:val="00CE7D93"/>
    <w:rsid w:val="00CE7E29"/>
    <w:rsid w:val="00CE7F02"/>
    <w:rsid w:val="00CF09FC"/>
    <w:rsid w:val="00CF0B5D"/>
    <w:rsid w:val="00CF0FF9"/>
    <w:rsid w:val="00CF1A33"/>
    <w:rsid w:val="00CF2ED6"/>
    <w:rsid w:val="00CF2F68"/>
    <w:rsid w:val="00CF2FF0"/>
    <w:rsid w:val="00CF31A6"/>
    <w:rsid w:val="00CF39A7"/>
    <w:rsid w:val="00CF41F7"/>
    <w:rsid w:val="00CF4BD2"/>
    <w:rsid w:val="00CF6255"/>
    <w:rsid w:val="00CF6A02"/>
    <w:rsid w:val="00CF7137"/>
    <w:rsid w:val="00CF7EB1"/>
    <w:rsid w:val="00D0019F"/>
    <w:rsid w:val="00D00758"/>
    <w:rsid w:val="00D0090E"/>
    <w:rsid w:val="00D00A7E"/>
    <w:rsid w:val="00D01218"/>
    <w:rsid w:val="00D0123A"/>
    <w:rsid w:val="00D013D5"/>
    <w:rsid w:val="00D01BCD"/>
    <w:rsid w:val="00D020DE"/>
    <w:rsid w:val="00D0265E"/>
    <w:rsid w:val="00D02712"/>
    <w:rsid w:val="00D02D23"/>
    <w:rsid w:val="00D02D6A"/>
    <w:rsid w:val="00D03A8B"/>
    <w:rsid w:val="00D0413E"/>
    <w:rsid w:val="00D05092"/>
    <w:rsid w:val="00D051E7"/>
    <w:rsid w:val="00D05D27"/>
    <w:rsid w:val="00D07CC0"/>
    <w:rsid w:val="00D10382"/>
    <w:rsid w:val="00D104D1"/>
    <w:rsid w:val="00D10AEE"/>
    <w:rsid w:val="00D10E87"/>
    <w:rsid w:val="00D10F5E"/>
    <w:rsid w:val="00D124DE"/>
    <w:rsid w:val="00D1259D"/>
    <w:rsid w:val="00D13D80"/>
    <w:rsid w:val="00D142ED"/>
    <w:rsid w:val="00D1450C"/>
    <w:rsid w:val="00D1493F"/>
    <w:rsid w:val="00D14E8F"/>
    <w:rsid w:val="00D151D2"/>
    <w:rsid w:val="00D1523F"/>
    <w:rsid w:val="00D15C77"/>
    <w:rsid w:val="00D16309"/>
    <w:rsid w:val="00D17A77"/>
    <w:rsid w:val="00D20301"/>
    <w:rsid w:val="00D203A8"/>
    <w:rsid w:val="00D20A1C"/>
    <w:rsid w:val="00D20EEB"/>
    <w:rsid w:val="00D21213"/>
    <w:rsid w:val="00D2144D"/>
    <w:rsid w:val="00D21B5D"/>
    <w:rsid w:val="00D22D28"/>
    <w:rsid w:val="00D23A18"/>
    <w:rsid w:val="00D24319"/>
    <w:rsid w:val="00D24B15"/>
    <w:rsid w:val="00D24BDA"/>
    <w:rsid w:val="00D256DB"/>
    <w:rsid w:val="00D2575A"/>
    <w:rsid w:val="00D25DC3"/>
    <w:rsid w:val="00D263C3"/>
    <w:rsid w:val="00D264D4"/>
    <w:rsid w:val="00D2665B"/>
    <w:rsid w:val="00D271E3"/>
    <w:rsid w:val="00D27C2B"/>
    <w:rsid w:val="00D27F50"/>
    <w:rsid w:val="00D3013E"/>
    <w:rsid w:val="00D30C2D"/>
    <w:rsid w:val="00D31386"/>
    <w:rsid w:val="00D316E1"/>
    <w:rsid w:val="00D31908"/>
    <w:rsid w:val="00D31B12"/>
    <w:rsid w:val="00D31EB8"/>
    <w:rsid w:val="00D323E3"/>
    <w:rsid w:val="00D328A4"/>
    <w:rsid w:val="00D32C03"/>
    <w:rsid w:val="00D3438A"/>
    <w:rsid w:val="00D34482"/>
    <w:rsid w:val="00D347AE"/>
    <w:rsid w:val="00D356C4"/>
    <w:rsid w:val="00D3662C"/>
    <w:rsid w:val="00D37461"/>
    <w:rsid w:val="00D3778F"/>
    <w:rsid w:val="00D401D6"/>
    <w:rsid w:val="00D40844"/>
    <w:rsid w:val="00D40B80"/>
    <w:rsid w:val="00D40E04"/>
    <w:rsid w:val="00D424C2"/>
    <w:rsid w:val="00D42644"/>
    <w:rsid w:val="00D4303F"/>
    <w:rsid w:val="00D4324E"/>
    <w:rsid w:val="00D4357C"/>
    <w:rsid w:val="00D4359A"/>
    <w:rsid w:val="00D445CB"/>
    <w:rsid w:val="00D44F43"/>
    <w:rsid w:val="00D4590F"/>
    <w:rsid w:val="00D45C98"/>
    <w:rsid w:val="00D461F2"/>
    <w:rsid w:val="00D46328"/>
    <w:rsid w:val="00D46634"/>
    <w:rsid w:val="00D46B68"/>
    <w:rsid w:val="00D4707A"/>
    <w:rsid w:val="00D47081"/>
    <w:rsid w:val="00D47172"/>
    <w:rsid w:val="00D4729B"/>
    <w:rsid w:val="00D501E7"/>
    <w:rsid w:val="00D51A2E"/>
    <w:rsid w:val="00D53227"/>
    <w:rsid w:val="00D5399E"/>
    <w:rsid w:val="00D53FB5"/>
    <w:rsid w:val="00D55746"/>
    <w:rsid w:val="00D569B9"/>
    <w:rsid w:val="00D56C49"/>
    <w:rsid w:val="00D56CD7"/>
    <w:rsid w:val="00D60F5D"/>
    <w:rsid w:val="00D61132"/>
    <w:rsid w:val="00D61AB8"/>
    <w:rsid w:val="00D6248C"/>
    <w:rsid w:val="00D624A1"/>
    <w:rsid w:val="00D62E86"/>
    <w:rsid w:val="00D63240"/>
    <w:rsid w:val="00D642A0"/>
    <w:rsid w:val="00D651AC"/>
    <w:rsid w:val="00D65C1C"/>
    <w:rsid w:val="00D65F20"/>
    <w:rsid w:val="00D66C62"/>
    <w:rsid w:val="00D66D5B"/>
    <w:rsid w:val="00D700AC"/>
    <w:rsid w:val="00D70344"/>
    <w:rsid w:val="00D704D1"/>
    <w:rsid w:val="00D70F2F"/>
    <w:rsid w:val="00D71FF9"/>
    <w:rsid w:val="00D7330D"/>
    <w:rsid w:val="00D73F5F"/>
    <w:rsid w:val="00D74AB1"/>
    <w:rsid w:val="00D765A4"/>
    <w:rsid w:val="00D7666B"/>
    <w:rsid w:val="00D77A78"/>
    <w:rsid w:val="00D77C0C"/>
    <w:rsid w:val="00D80376"/>
    <w:rsid w:val="00D805FF"/>
    <w:rsid w:val="00D81F1E"/>
    <w:rsid w:val="00D81F79"/>
    <w:rsid w:val="00D83631"/>
    <w:rsid w:val="00D836C0"/>
    <w:rsid w:val="00D84D09"/>
    <w:rsid w:val="00D84ED8"/>
    <w:rsid w:val="00D866DF"/>
    <w:rsid w:val="00D872FE"/>
    <w:rsid w:val="00D8731B"/>
    <w:rsid w:val="00D8743F"/>
    <w:rsid w:val="00D8753E"/>
    <w:rsid w:val="00D91B6C"/>
    <w:rsid w:val="00D91B9E"/>
    <w:rsid w:val="00D91BD7"/>
    <w:rsid w:val="00D94FCD"/>
    <w:rsid w:val="00D955AE"/>
    <w:rsid w:val="00D95911"/>
    <w:rsid w:val="00D9592A"/>
    <w:rsid w:val="00D960BF"/>
    <w:rsid w:val="00D96FDA"/>
    <w:rsid w:val="00D97273"/>
    <w:rsid w:val="00DA0B55"/>
    <w:rsid w:val="00DA0FED"/>
    <w:rsid w:val="00DA2979"/>
    <w:rsid w:val="00DA2E29"/>
    <w:rsid w:val="00DA2FF9"/>
    <w:rsid w:val="00DA5542"/>
    <w:rsid w:val="00DA59BD"/>
    <w:rsid w:val="00DA6556"/>
    <w:rsid w:val="00DA6672"/>
    <w:rsid w:val="00DA67D6"/>
    <w:rsid w:val="00DA6856"/>
    <w:rsid w:val="00DA702E"/>
    <w:rsid w:val="00DA7E52"/>
    <w:rsid w:val="00DB0319"/>
    <w:rsid w:val="00DB0A66"/>
    <w:rsid w:val="00DB0C3D"/>
    <w:rsid w:val="00DB0D7B"/>
    <w:rsid w:val="00DB0E14"/>
    <w:rsid w:val="00DB110E"/>
    <w:rsid w:val="00DB2912"/>
    <w:rsid w:val="00DB35AC"/>
    <w:rsid w:val="00DB3BF9"/>
    <w:rsid w:val="00DB4157"/>
    <w:rsid w:val="00DB4E55"/>
    <w:rsid w:val="00DB50B7"/>
    <w:rsid w:val="00DB5787"/>
    <w:rsid w:val="00DB59D3"/>
    <w:rsid w:val="00DB5AC0"/>
    <w:rsid w:val="00DB5DD4"/>
    <w:rsid w:val="00DB6C20"/>
    <w:rsid w:val="00DB70FD"/>
    <w:rsid w:val="00DC0383"/>
    <w:rsid w:val="00DC065C"/>
    <w:rsid w:val="00DC0DFF"/>
    <w:rsid w:val="00DC195A"/>
    <w:rsid w:val="00DC21CB"/>
    <w:rsid w:val="00DC515C"/>
    <w:rsid w:val="00DC57C5"/>
    <w:rsid w:val="00DC5B2E"/>
    <w:rsid w:val="00DC637D"/>
    <w:rsid w:val="00DC6BA3"/>
    <w:rsid w:val="00DC7010"/>
    <w:rsid w:val="00DC717E"/>
    <w:rsid w:val="00DC75A6"/>
    <w:rsid w:val="00DD12AB"/>
    <w:rsid w:val="00DD29E1"/>
    <w:rsid w:val="00DD3BC3"/>
    <w:rsid w:val="00DD3FDA"/>
    <w:rsid w:val="00DD42F2"/>
    <w:rsid w:val="00DD6EB8"/>
    <w:rsid w:val="00DD7BBC"/>
    <w:rsid w:val="00DE009E"/>
    <w:rsid w:val="00DE064B"/>
    <w:rsid w:val="00DE15E9"/>
    <w:rsid w:val="00DE38A6"/>
    <w:rsid w:val="00DE39D2"/>
    <w:rsid w:val="00DE3D0A"/>
    <w:rsid w:val="00DE522F"/>
    <w:rsid w:val="00DE5C45"/>
    <w:rsid w:val="00DE5DC9"/>
    <w:rsid w:val="00DE5DD2"/>
    <w:rsid w:val="00DE73D8"/>
    <w:rsid w:val="00DE746A"/>
    <w:rsid w:val="00DE799F"/>
    <w:rsid w:val="00DE7F27"/>
    <w:rsid w:val="00DF01C0"/>
    <w:rsid w:val="00DF0C83"/>
    <w:rsid w:val="00DF149F"/>
    <w:rsid w:val="00DF1F18"/>
    <w:rsid w:val="00DF4C56"/>
    <w:rsid w:val="00DF5075"/>
    <w:rsid w:val="00DF64AE"/>
    <w:rsid w:val="00DF6991"/>
    <w:rsid w:val="00DF7048"/>
    <w:rsid w:val="00E005D2"/>
    <w:rsid w:val="00E00643"/>
    <w:rsid w:val="00E0281B"/>
    <w:rsid w:val="00E03B9D"/>
    <w:rsid w:val="00E04932"/>
    <w:rsid w:val="00E0494E"/>
    <w:rsid w:val="00E04F88"/>
    <w:rsid w:val="00E04F97"/>
    <w:rsid w:val="00E051E5"/>
    <w:rsid w:val="00E05424"/>
    <w:rsid w:val="00E057C4"/>
    <w:rsid w:val="00E05F1B"/>
    <w:rsid w:val="00E05FCD"/>
    <w:rsid w:val="00E06FB9"/>
    <w:rsid w:val="00E071F1"/>
    <w:rsid w:val="00E07FC7"/>
    <w:rsid w:val="00E10377"/>
    <w:rsid w:val="00E10F93"/>
    <w:rsid w:val="00E115B8"/>
    <w:rsid w:val="00E11B87"/>
    <w:rsid w:val="00E11C0D"/>
    <w:rsid w:val="00E1242D"/>
    <w:rsid w:val="00E133CE"/>
    <w:rsid w:val="00E14298"/>
    <w:rsid w:val="00E145B7"/>
    <w:rsid w:val="00E14714"/>
    <w:rsid w:val="00E14BCC"/>
    <w:rsid w:val="00E15067"/>
    <w:rsid w:val="00E15174"/>
    <w:rsid w:val="00E15714"/>
    <w:rsid w:val="00E15947"/>
    <w:rsid w:val="00E16FF7"/>
    <w:rsid w:val="00E17C08"/>
    <w:rsid w:val="00E17F06"/>
    <w:rsid w:val="00E204CE"/>
    <w:rsid w:val="00E2063F"/>
    <w:rsid w:val="00E20BCD"/>
    <w:rsid w:val="00E21607"/>
    <w:rsid w:val="00E22355"/>
    <w:rsid w:val="00E22640"/>
    <w:rsid w:val="00E22DAE"/>
    <w:rsid w:val="00E22EE7"/>
    <w:rsid w:val="00E2308E"/>
    <w:rsid w:val="00E2374C"/>
    <w:rsid w:val="00E24007"/>
    <w:rsid w:val="00E24426"/>
    <w:rsid w:val="00E249ED"/>
    <w:rsid w:val="00E2503A"/>
    <w:rsid w:val="00E25375"/>
    <w:rsid w:val="00E25E3B"/>
    <w:rsid w:val="00E26247"/>
    <w:rsid w:val="00E2667C"/>
    <w:rsid w:val="00E26979"/>
    <w:rsid w:val="00E27F7C"/>
    <w:rsid w:val="00E30345"/>
    <w:rsid w:val="00E30946"/>
    <w:rsid w:val="00E30E47"/>
    <w:rsid w:val="00E30ED6"/>
    <w:rsid w:val="00E329FC"/>
    <w:rsid w:val="00E32BB8"/>
    <w:rsid w:val="00E33850"/>
    <w:rsid w:val="00E33C81"/>
    <w:rsid w:val="00E33CE8"/>
    <w:rsid w:val="00E34169"/>
    <w:rsid w:val="00E342A1"/>
    <w:rsid w:val="00E34782"/>
    <w:rsid w:val="00E34CF0"/>
    <w:rsid w:val="00E34D60"/>
    <w:rsid w:val="00E3518F"/>
    <w:rsid w:val="00E35E6A"/>
    <w:rsid w:val="00E37512"/>
    <w:rsid w:val="00E3794F"/>
    <w:rsid w:val="00E408D6"/>
    <w:rsid w:val="00E41C29"/>
    <w:rsid w:val="00E41E5E"/>
    <w:rsid w:val="00E426A9"/>
    <w:rsid w:val="00E4342C"/>
    <w:rsid w:val="00E43F5B"/>
    <w:rsid w:val="00E454A1"/>
    <w:rsid w:val="00E456C1"/>
    <w:rsid w:val="00E45F37"/>
    <w:rsid w:val="00E46251"/>
    <w:rsid w:val="00E46671"/>
    <w:rsid w:val="00E46CCA"/>
    <w:rsid w:val="00E502F7"/>
    <w:rsid w:val="00E5115C"/>
    <w:rsid w:val="00E515DB"/>
    <w:rsid w:val="00E51E77"/>
    <w:rsid w:val="00E52243"/>
    <w:rsid w:val="00E522A8"/>
    <w:rsid w:val="00E522E3"/>
    <w:rsid w:val="00E53965"/>
    <w:rsid w:val="00E53E07"/>
    <w:rsid w:val="00E53E6C"/>
    <w:rsid w:val="00E5417D"/>
    <w:rsid w:val="00E545E6"/>
    <w:rsid w:val="00E54A69"/>
    <w:rsid w:val="00E555E3"/>
    <w:rsid w:val="00E5643A"/>
    <w:rsid w:val="00E5649D"/>
    <w:rsid w:val="00E564C0"/>
    <w:rsid w:val="00E5790B"/>
    <w:rsid w:val="00E60748"/>
    <w:rsid w:val="00E61956"/>
    <w:rsid w:val="00E6197D"/>
    <w:rsid w:val="00E61B3A"/>
    <w:rsid w:val="00E628A6"/>
    <w:rsid w:val="00E62E85"/>
    <w:rsid w:val="00E63C31"/>
    <w:rsid w:val="00E63E14"/>
    <w:rsid w:val="00E6448B"/>
    <w:rsid w:val="00E64750"/>
    <w:rsid w:val="00E64C7B"/>
    <w:rsid w:val="00E657AA"/>
    <w:rsid w:val="00E6589B"/>
    <w:rsid w:val="00E66A74"/>
    <w:rsid w:val="00E66B15"/>
    <w:rsid w:val="00E672E7"/>
    <w:rsid w:val="00E67AB9"/>
    <w:rsid w:val="00E67AD1"/>
    <w:rsid w:val="00E67FB1"/>
    <w:rsid w:val="00E70668"/>
    <w:rsid w:val="00E70F77"/>
    <w:rsid w:val="00E71DA1"/>
    <w:rsid w:val="00E7250B"/>
    <w:rsid w:val="00E735E6"/>
    <w:rsid w:val="00E73982"/>
    <w:rsid w:val="00E73F6D"/>
    <w:rsid w:val="00E73F77"/>
    <w:rsid w:val="00E74D02"/>
    <w:rsid w:val="00E751F9"/>
    <w:rsid w:val="00E756E3"/>
    <w:rsid w:val="00E757FC"/>
    <w:rsid w:val="00E75857"/>
    <w:rsid w:val="00E75CAD"/>
    <w:rsid w:val="00E769A3"/>
    <w:rsid w:val="00E7798C"/>
    <w:rsid w:val="00E779E0"/>
    <w:rsid w:val="00E77D59"/>
    <w:rsid w:val="00E80A0F"/>
    <w:rsid w:val="00E80EB7"/>
    <w:rsid w:val="00E81D9F"/>
    <w:rsid w:val="00E82149"/>
    <w:rsid w:val="00E82BDE"/>
    <w:rsid w:val="00E82CB4"/>
    <w:rsid w:val="00E8323B"/>
    <w:rsid w:val="00E83E7C"/>
    <w:rsid w:val="00E84B33"/>
    <w:rsid w:val="00E852F9"/>
    <w:rsid w:val="00E86170"/>
    <w:rsid w:val="00E86A56"/>
    <w:rsid w:val="00E87B59"/>
    <w:rsid w:val="00E9091C"/>
    <w:rsid w:val="00E92171"/>
    <w:rsid w:val="00E92E24"/>
    <w:rsid w:val="00E93686"/>
    <w:rsid w:val="00E9437C"/>
    <w:rsid w:val="00E94688"/>
    <w:rsid w:val="00E94AEC"/>
    <w:rsid w:val="00E95E2F"/>
    <w:rsid w:val="00E96A90"/>
    <w:rsid w:val="00E96BE4"/>
    <w:rsid w:val="00E96C2D"/>
    <w:rsid w:val="00E9737E"/>
    <w:rsid w:val="00EA0F46"/>
    <w:rsid w:val="00EA1323"/>
    <w:rsid w:val="00EA14F8"/>
    <w:rsid w:val="00EA18A5"/>
    <w:rsid w:val="00EA19BD"/>
    <w:rsid w:val="00EA1E5E"/>
    <w:rsid w:val="00EA2357"/>
    <w:rsid w:val="00EA25D9"/>
    <w:rsid w:val="00EA31AC"/>
    <w:rsid w:val="00EA439D"/>
    <w:rsid w:val="00EA4679"/>
    <w:rsid w:val="00EA512B"/>
    <w:rsid w:val="00EA5886"/>
    <w:rsid w:val="00EA6772"/>
    <w:rsid w:val="00EA6B12"/>
    <w:rsid w:val="00EA6C27"/>
    <w:rsid w:val="00EA729E"/>
    <w:rsid w:val="00EA72E9"/>
    <w:rsid w:val="00EA7939"/>
    <w:rsid w:val="00EA7C0E"/>
    <w:rsid w:val="00EA7C26"/>
    <w:rsid w:val="00EB0986"/>
    <w:rsid w:val="00EB0D2A"/>
    <w:rsid w:val="00EB1F7B"/>
    <w:rsid w:val="00EB2128"/>
    <w:rsid w:val="00EB233D"/>
    <w:rsid w:val="00EB250C"/>
    <w:rsid w:val="00EB3107"/>
    <w:rsid w:val="00EB3856"/>
    <w:rsid w:val="00EB3E56"/>
    <w:rsid w:val="00EB4048"/>
    <w:rsid w:val="00EB4C9B"/>
    <w:rsid w:val="00EB4CA3"/>
    <w:rsid w:val="00EB4FB5"/>
    <w:rsid w:val="00EB56A2"/>
    <w:rsid w:val="00EB5EE9"/>
    <w:rsid w:val="00EB60C7"/>
    <w:rsid w:val="00EB638F"/>
    <w:rsid w:val="00EB6821"/>
    <w:rsid w:val="00EB6B23"/>
    <w:rsid w:val="00EB6C98"/>
    <w:rsid w:val="00EB7CBB"/>
    <w:rsid w:val="00EB7FC9"/>
    <w:rsid w:val="00EC130D"/>
    <w:rsid w:val="00EC1875"/>
    <w:rsid w:val="00EC1FC3"/>
    <w:rsid w:val="00EC2EE6"/>
    <w:rsid w:val="00EC5617"/>
    <w:rsid w:val="00EC6339"/>
    <w:rsid w:val="00EC6C39"/>
    <w:rsid w:val="00EC7A1A"/>
    <w:rsid w:val="00EC7AE6"/>
    <w:rsid w:val="00ED1907"/>
    <w:rsid w:val="00ED21C6"/>
    <w:rsid w:val="00ED2735"/>
    <w:rsid w:val="00ED2A99"/>
    <w:rsid w:val="00ED3133"/>
    <w:rsid w:val="00ED5835"/>
    <w:rsid w:val="00ED58E5"/>
    <w:rsid w:val="00ED5A87"/>
    <w:rsid w:val="00ED5E27"/>
    <w:rsid w:val="00ED5E92"/>
    <w:rsid w:val="00ED6777"/>
    <w:rsid w:val="00ED67AA"/>
    <w:rsid w:val="00ED73A7"/>
    <w:rsid w:val="00EE05C7"/>
    <w:rsid w:val="00EE0C74"/>
    <w:rsid w:val="00EE0CB5"/>
    <w:rsid w:val="00EE12C1"/>
    <w:rsid w:val="00EE1687"/>
    <w:rsid w:val="00EE29CA"/>
    <w:rsid w:val="00EE2D1E"/>
    <w:rsid w:val="00EE3D05"/>
    <w:rsid w:val="00EE40A5"/>
    <w:rsid w:val="00EE4611"/>
    <w:rsid w:val="00EE4AA9"/>
    <w:rsid w:val="00EE537D"/>
    <w:rsid w:val="00EE7737"/>
    <w:rsid w:val="00EE7A69"/>
    <w:rsid w:val="00EE7B33"/>
    <w:rsid w:val="00EE7CF1"/>
    <w:rsid w:val="00EF0E2B"/>
    <w:rsid w:val="00EF1035"/>
    <w:rsid w:val="00EF149B"/>
    <w:rsid w:val="00EF183F"/>
    <w:rsid w:val="00EF2184"/>
    <w:rsid w:val="00EF250E"/>
    <w:rsid w:val="00EF2916"/>
    <w:rsid w:val="00EF31C2"/>
    <w:rsid w:val="00EF35A8"/>
    <w:rsid w:val="00EF3683"/>
    <w:rsid w:val="00EF3AB4"/>
    <w:rsid w:val="00EF3D3F"/>
    <w:rsid w:val="00EF47D2"/>
    <w:rsid w:val="00EF4904"/>
    <w:rsid w:val="00EF4CB9"/>
    <w:rsid w:val="00EF5F71"/>
    <w:rsid w:val="00EF62C6"/>
    <w:rsid w:val="00EF6DE7"/>
    <w:rsid w:val="00F000BA"/>
    <w:rsid w:val="00F00642"/>
    <w:rsid w:val="00F03105"/>
    <w:rsid w:val="00F032E1"/>
    <w:rsid w:val="00F0355D"/>
    <w:rsid w:val="00F04078"/>
    <w:rsid w:val="00F04393"/>
    <w:rsid w:val="00F04768"/>
    <w:rsid w:val="00F05DF7"/>
    <w:rsid w:val="00F06374"/>
    <w:rsid w:val="00F06C5A"/>
    <w:rsid w:val="00F0745D"/>
    <w:rsid w:val="00F07F46"/>
    <w:rsid w:val="00F11F71"/>
    <w:rsid w:val="00F12BB4"/>
    <w:rsid w:val="00F13526"/>
    <w:rsid w:val="00F137A0"/>
    <w:rsid w:val="00F137F7"/>
    <w:rsid w:val="00F14106"/>
    <w:rsid w:val="00F14B57"/>
    <w:rsid w:val="00F164C8"/>
    <w:rsid w:val="00F1752D"/>
    <w:rsid w:val="00F17E3C"/>
    <w:rsid w:val="00F204A9"/>
    <w:rsid w:val="00F20B70"/>
    <w:rsid w:val="00F2227A"/>
    <w:rsid w:val="00F238C3"/>
    <w:rsid w:val="00F23DB6"/>
    <w:rsid w:val="00F24096"/>
    <w:rsid w:val="00F24C04"/>
    <w:rsid w:val="00F24CA2"/>
    <w:rsid w:val="00F24F75"/>
    <w:rsid w:val="00F26392"/>
    <w:rsid w:val="00F26682"/>
    <w:rsid w:val="00F26BB4"/>
    <w:rsid w:val="00F272C8"/>
    <w:rsid w:val="00F27697"/>
    <w:rsid w:val="00F27EC1"/>
    <w:rsid w:val="00F30D92"/>
    <w:rsid w:val="00F30E04"/>
    <w:rsid w:val="00F32690"/>
    <w:rsid w:val="00F32AFC"/>
    <w:rsid w:val="00F33530"/>
    <w:rsid w:val="00F336DE"/>
    <w:rsid w:val="00F337EA"/>
    <w:rsid w:val="00F33B0B"/>
    <w:rsid w:val="00F343E8"/>
    <w:rsid w:val="00F364A3"/>
    <w:rsid w:val="00F36616"/>
    <w:rsid w:val="00F41D76"/>
    <w:rsid w:val="00F42031"/>
    <w:rsid w:val="00F421E8"/>
    <w:rsid w:val="00F43975"/>
    <w:rsid w:val="00F44E08"/>
    <w:rsid w:val="00F45966"/>
    <w:rsid w:val="00F462CE"/>
    <w:rsid w:val="00F47A29"/>
    <w:rsid w:val="00F50231"/>
    <w:rsid w:val="00F502AF"/>
    <w:rsid w:val="00F50F30"/>
    <w:rsid w:val="00F526DF"/>
    <w:rsid w:val="00F5494F"/>
    <w:rsid w:val="00F550BE"/>
    <w:rsid w:val="00F55E26"/>
    <w:rsid w:val="00F56697"/>
    <w:rsid w:val="00F56BC4"/>
    <w:rsid w:val="00F578EF"/>
    <w:rsid w:val="00F603FA"/>
    <w:rsid w:val="00F61579"/>
    <w:rsid w:val="00F616AF"/>
    <w:rsid w:val="00F61F33"/>
    <w:rsid w:val="00F63471"/>
    <w:rsid w:val="00F63932"/>
    <w:rsid w:val="00F63A99"/>
    <w:rsid w:val="00F63B2C"/>
    <w:rsid w:val="00F641E4"/>
    <w:rsid w:val="00F6460A"/>
    <w:rsid w:val="00F6470F"/>
    <w:rsid w:val="00F64DEE"/>
    <w:rsid w:val="00F65C10"/>
    <w:rsid w:val="00F65D30"/>
    <w:rsid w:val="00F65FE6"/>
    <w:rsid w:val="00F667F1"/>
    <w:rsid w:val="00F67801"/>
    <w:rsid w:val="00F705DB"/>
    <w:rsid w:val="00F7099E"/>
    <w:rsid w:val="00F712C9"/>
    <w:rsid w:val="00F71465"/>
    <w:rsid w:val="00F71DC8"/>
    <w:rsid w:val="00F7201D"/>
    <w:rsid w:val="00F7209C"/>
    <w:rsid w:val="00F72B0E"/>
    <w:rsid w:val="00F733FB"/>
    <w:rsid w:val="00F733FD"/>
    <w:rsid w:val="00F73796"/>
    <w:rsid w:val="00F73B89"/>
    <w:rsid w:val="00F73C21"/>
    <w:rsid w:val="00F74615"/>
    <w:rsid w:val="00F74A0C"/>
    <w:rsid w:val="00F75BA9"/>
    <w:rsid w:val="00F75D81"/>
    <w:rsid w:val="00F76146"/>
    <w:rsid w:val="00F76159"/>
    <w:rsid w:val="00F77868"/>
    <w:rsid w:val="00F8078A"/>
    <w:rsid w:val="00F80AB2"/>
    <w:rsid w:val="00F80B05"/>
    <w:rsid w:val="00F8132D"/>
    <w:rsid w:val="00F81A82"/>
    <w:rsid w:val="00F81FE6"/>
    <w:rsid w:val="00F82388"/>
    <w:rsid w:val="00F82BE6"/>
    <w:rsid w:val="00F834A6"/>
    <w:rsid w:val="00F841B9"/>
    <w:rsid w:val="00F862D0"/>
    <w:rsid w:val="00F867E4"/>
    <w:rsid w:val="00F86B19"/>
    <w:rsid w:val="00F86D6D"/>
    <w:rsid w:val="00F871C9"/>
    <w:rsid w:val="00F87404"/>
    <w:rsid w:val="00F87E42"/>
    <w:rsid w:val="00F90593"/>
    <w:rsid w:val="00F908B5"/>
    <w:rsid w:val="00F90DD2"/>
    <w:rsid w:val="00F9139E"/>
    <w:rsid w:val="00F9351B"/>
    <w:rsid w:val="00F93EEA"/>
    <w:rsid w:val="00F94530"/>
    <w:rsid w:val="00F94810"/>
    <w:rsid w:val="00F95265"/>
    <w:rsid w:val="00F955C7"/>
    <w:rsid w:val="00F969D1"/>
    <w:rsid w:val="00F96A2F"/>
    <w:rsid w:val="00F96B58"/>
    <w:rsid w:val="00F96D06"/>
    <w:rsid w:val="00F9711A"/>
    <w:rsid w:val="00F97ABD"/>
    <w:rsid w:val="00FA09D8"/>
    <w:rsid w:val="00FA0CBD"/>
    <w:rsid w:val="00FA0F33"/>
    <w:rsid w:val="00FA0F9C"/>
    <w:rsid w:val="00FA18FA"/>
    <w:rsid w:val="00FA2518"/>
    <w:rsid w:val="00FA306A"/>
    <w:rsid w:val="00FA338A"/>
    <w:rsid w:val="00FA33DF"/>
    <w:rsid w:val="00FA3ACF"/>
    <w:rsid w:val="00FA4B9D"/>
    <w:rsid w:val="00FA567A"/>
    <w:rsid w:val="00FA6344"/>
    <w:rsid w:val="00FA6676"/>
    <w:rsid w:val="00FA7103"/>
    <w:rsid w:val="00FA75F1"/>
    <w:rsid w:val="00FB0090"/>
    <w:rsid w:val="00FB02EE"/>
    <w:rsid w:val="00FB1292"/>
    <w:rsid w:val="00FB1A53"/>
    <w:rsid w:val="00FB280C"/>
    <w:rsid w:val="00FB2930"/>
    <w:rsid w:val="00FB34EE"/>
    <w:rsid w:val="00FB3D60"/>
    <w:rsid w:val="00FB405B"/>
    <w:rsid w:val="00FB5956"/>
    <w:rsid w:val="00FB6386"/>
    <w:rsid w:val="00FB6780"/>
    <w:rsid w:val="00FB7086"/>
    <w:rsid w:val="00FB775B"/>
    <w:rsid w:val="00FC04F6"/>
    <w:rsid w:val="00FC099F"/>
    <w:rsid w:val="00FC0EE2"/>
    <w:rsid w:val="00FC1016"/>
    <w:rsid w:val="00FC1882"/>
    <w:rsid w:val="00FC1DED"/>
    <w:rsid w:val="00FC21D2"/>
    <w:rsid w:val="00FC294F"/>
    <w:rsid w:val="00FC2A1B"/>
    <w:rsid w:val="00FC2B75"/>
    <w:rsid w:val="00FC312D"/>
    <w:rsid w:val="00FC3E1E"/>
    <w:rsid w:val="00FC4028"/>
    <w:rsid w:val="00FC4312"/>
    <w:rsid w:val="00FC48AB"/>
    <w:rsid w:val="00FC5A06"/>
    <w:rsid w:val="00FC68BA"/>
    <w:rsid w:val="00FC6BBA"/>
    <w:rsid w:val="00FD02B0"/>
    <w:rsid w:val="00FD0655"/>
    <w:rsid w:val="00FD13AD"/>
    <w:rsid w:val="00FD1769"/>
    <w:rsid w:val="00FD192F"/>
    <w:rsid w:val="00FD1D53"/>
    <w:rsid w:val="00FD36B8"/>
    <w:rsid w:val="00FD3749"/>
    <w:rsid w:val="00FD41E9"/>
    <w:rsid w:val="00FD426A"/>
    <w:rsid w:val="00FD436A"/>
    <w:rsid w:val="00FD45BF"/>
    <w:rsid w:val="00FD4619"/>
    <w:rsid w:val="00FD464C"/>
    <w:rsid w:val="00FD4F2E"/>
    <w:rsid w:val="00FD5BF8"/>
    <w:rsid w:val="00FD5D9C"/>
    <w:rsid w:val="00FD6164"/>
    <w:rsid w:val="00FD62FF"/>
    <w:rsid w:val="00FD6941"/>
    <w:rsid w:val="00FD6A39"/>
    <w:rsid w:val="00FD6DD0"/>
    <w:rsid w:val="00FD7231"/>
    <w:rsid w:val="00FD72A4"/>
    <w:rsid w:val="00FD7D86"/>
    <w:rsid w:val="00FE0D24"/>
    <w:rsid w:val="00FE1B79"/>
    <w:rsid w:val="00FE46B4"/>
    <w:rsid w:val="00FE4FB2"/>
    <w:rsid w:val="00FE514F"/>
    <w:rsid w:val="00FE5332"/>
    <w:rsid w:val="00FE5CF6"/>
    <w:rsid w:val="00FE5D6A"/>
    <w:rsid w:val="00FE61D6"/>
    <w:rsid w:val="00FE64F6"/>
    <w:rsid w:val="00FE68D5"/>
    <w:rsid w:val="00FE69AD"/>
    <w:rsid w:val="00FE6BC3"/>
    <w:rsid w:val="00FE7943"/>
    <w:rsid w:val="00FE7C2D"/>
    <w:rsid w:val="00FE7D5A"/>
    <w:rsid w:val="00FF0232"/>
    <w:rsid w:val="00FF0BAC"/>
    <w:rsid w:val="00FF18AF"/>
    <w:rsid w:val="00FF1C80"/>
    <w:rsid w:val="00FF22B1"/>
    <w:rsid w:val="00FF26A4"/>
    <w:rsid w:val="00FF38C5"/>
    <w:rsid w:val="00FF4979"/>
    <w:rsid w:val="00FF52E1"/>
    <w:rsid w:val="00FF58D0"/>
    <w:rsid w:val="00FF5CB3"/>
    <w:rsid w:val="00FF5D9C"/>
    <w:rsid w:val="00FF60A9"/>
    <w:rsid w:val="00FF6644"/>
    <w:rsid w:val="00FF7D00"/>
    <w:rsid w:val="0CF07141"/>
    <w:rsid w:val="0D856A2F"/>
    <w:rsid w:val="11C00535"/>
    <w:rsid w:val="14580491"/>
    <w:rsid w:val="17614824"/>
    <w:rsid w:val="17826972"/>
    <w:rsid w:val="1E740309"/>
    <w:rsid w:val="2F4A3437"/>
    <w:rsid w:val="336C7B18"/>
    <w:rsid w:val="35432AA3"/>
    <w:rsid w:val="3A3B7724"/>
    <w:rsid w:val="3C91222F"/>
    <w:rsid w:val="3E6D5913"/>
    <w:rsid w:val="3E8410A3"/>
    <w:rsid w:val="40544AF3"/>
    <w:rsid w:val="4231521A"/>
    <w:rsid w:val="59733EF3"/>
    <w:rsid w:val="5B4A4AF7"/>
    <w:rsid w:val="5BAA37E4"/>
    <w:rsid w:val="5BEE4CE5"/>
    <w:rsid w:val="60803497"/>
    <w:rsid w:val="67D71931"/>
    <w:rsid w:val="6CA2551B"/>
    <w:rsid w:val="749E4A39"/>
    <w:rsid w:val="7CAF4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60"/>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176"/>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154"/>
    <w:qFormat/>
    <w:uiPriority w:val="9"/>
    <w:pPr>
      <w:keepNext/>
      <w:keepLines/>
      <w:spacing w:before="260" w:after="260" w:line="416" w:lineRule="auto"/>
      <w:outlineLvl w:val="2"/>
    </w:pPr>
    <w:rPr>
      <w:b/>
      <w:bCs/>
      <w:kern w:val="0"/>
      <w:sz w:val="32"/>
      <w:szCs w:val="32"/>
    </w:rPr>
  </w:style>
  <w:style w:type="paragraph" w:styleId="7">
    <w:name w:val="heading 4"/>
    <w:basedOn w:val="1"/>
    <w:next w:val="1"/>
    <w:link w:val="179"/>
    <w:qFormat/>
    <w:uiPriority w:val="9"/>
    <w:pPr>
      <w:numPr>
        <w:ilvl w:val="0"/>
        <w:numId w:val="1"/>
      </w:numPr>
      <w:tabs>
        <w:tab w:val="left" w:pos="315"/>
      </w:tabs>
      <w:spacing w:before="120" w:after="120"/>
      <w:outlineLvl w:val="3"/>
    </w:pPr>
    <w:rPr>
      <w:rFonts w:ascii="Cambria" w:hAnsi="Cambria" w:eastAsia="黑体"/>
      <w:bCs/>
      <w:sz w:val="24"/>
      <w:szCs w:val="28"/>
    </w:rPr>
  </w:style>
  <w:style w:type="paragraph" w:styleId="8">
    <w:name w:val="heading 5"/>
    <w:basedOn w:val="1"/>
    <w:next w:val="1"/>
    <w:link w:val="166"/>
    <w:qFormat/>
    <w:uiPriority w:val="0"/>
    <w:pPr>
      <w:tabs>
        <w:tab w:val="left" w:pos="420"/>
      </w:tabs>
      <w:spacing w:beforeLines="50" w:afterLines="50"/>
      <w:outlineLvl w:val="4"/>
    </w:pPr>
    <w:rPr>
      <w:bCs/>
      <w:szCs w:val="28"/>
    </w:rPr>
  </w:style>
  <w:style w:type="paragraph" w:styleId="9">
    <w:name w:val="heading 6"/>
    <w:basedOn w:val="1"/>
    <w:next w:val="1"/>
    <w:link w:val="149"/>
    <w:qFormat/>
    <w:uiPriority w:val="9"/>
    <w:pPr>
      <w:numPr>
        <w:ilvl w:val="2"/>
        <w:numId w:val="1"/>
      </w:numPr>
      <w:tabs>
        <w:tab w:val="left" w:pos="945"/>
      </w:tabs>
      <w:outlineLvl w:val="5"/>
    </w:pPr>
    <w:rPr>
      <w:rFonts w:ascii="Cambria" w:hAnsi="Cambria"/>
      <w:bCs/>
      <w:szCs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center"/>
      <w:outlineLvl w:val="6"/>
    </w:pPr>
    <w:rPr>
      <w:bCs/>
      <w:kern w:val="0"/>
      <w:sz w:val="24"/>
      <w:szCs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szCs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Calibri" w:hAnsi="Calibri" w:eastAsia="宋体" w:cs="Times New Roman"/>
      <w:kern w:val="0"/>
      <w:sz w:val="24"/>
      <w:szCs w:val="22"/>
      <w:lang w:val="zh-CN"/>
    </w:rPr>
  </w:style>
  <w:style w:type="paragraph" w:styleId="5">
    <w:name w:val="Normal Indent"/>
    <w:basedOn w:val="1"/>
    <w:qFormat/>
    <w:uiPriority w:val="0"/>
    <w:pPr>
      <w:widowControl/>
      <w:ind w:firstLine="420" w:firstLineChars="200"/>
      <w:jc w:val="center"/>
    </w:pPr>
    <w:rPr>
      <w:b/>
      <w:kern w:val="0"/>
      <w:sz w:val="44"/>
      <w:szCs w:val="20"/>
    </w:rPr>
  </w:style>
  <w:style w:type="paragraph" w:styleId="13">
    <w:name w:val="toc 7"/>
    <w:basedOn w:val="1"/>
    <w:next w:val="1"/>
    <w:unhideWhenUsed/>
    <w:qFormat/>
    <w:uiPriority w:val="39"/>
    <w:pPr>
      <w:ind w:left="1260"/>
      <w:jc w:val="left"/>
    </w:pPr>
    <w:rPr>
      <w:sz w:val="18"/>
      <w:szCs w:val="18"/>
    </w:rPr>
  </w:style>
  <w:style w:type="paragraph" w:styleId="14">
    <w:name w:val="Document Map"/>
    <w:basedOn w:val="1"/>
    <w:semiHidden/>
    <w:qFormat/>
    <w:uiPriority w:val="0"/>
    <w:pPr>
      <w:shd w:val="clear" w:color="auto" w:fill="000080"/>
    </w:pPr>
  </w:style>
  <w:style w:type="paragraph" w:styleId="15">
    <w:name w:val="toa heading"/>
    <w:basedOn w:val="1"/>
    <w:next w:val="1"/>
    <w:unhideWhenUsed/>
    <w:qFormat/>
    <w:uiPriority w:val="0"/>
    <w:pPr>
      <w:spacing w:before="120"/>
    </w:pPr>
    <w:rPr>
      <w:rFonts w:ascii="Cambria" w:hAnsi="Cambria"/>
      <w:sz w:val="24"/>
      <w:szCs w:val="24"/>
    </w:rPr>
  </w:style>
  <w:style w:type="paragraph" w:styleId="16">
    <w:name w:val="annotation text"/>
    <w:basedOn w:val="1"/>
    <w:semiHidden/>
    <w:qFormat/>
    <w:uiPriority w:val="0"/>
    <w:pPr>
      <w:jc w:val="left"/>
    </w:pPr>
  </w:style>
  <w:style w:type="paragraph" w:styleId="17">
    <w:name w:val="Body Text"/>
    <w:basedOn w:val="1"/>
    <w:link w:val="178"/>
    <w:qFormat/>
    <w:uiPriority w:val="0"/>
    <w:rPr>
      <w:sz w:val="28"/>
      <w:szCs w:val="24"/>
    </w:rPr>
  </w:style>
  <w:style w:type="paragraph" w:styleId="18">
    <w:name w:val="Body Text Indent"/>
    <w:basedOn w:val="1"/>
    <w:qFormat/>
    <w:uiPriority w:val="0"/>
    <w:pPr>
      <w:ind w:firstLine="1120" w:firstLineChars="400"/>
    </w:pPr>
    <w:rPr>
      <w:sz w:val="28"/>
      <w:szCs w:val="24"/>
    </w:rPr>
  </w:style>
  <w:style w:type="paragraph" w:styleId="19">
    <w:name w:val="toc 5"/>
    <w:basedOn w:val="1"/>
    <w:next w:val="1"/>
    <w:unhideWhenUsed/>
    <w:qFormat/>
    <w:uiPriority w:val="39"/>
    <w:pPr>
      <w:ind w:left="840"/>
      <w:jc w:val="left"/>
    </w:pPr>
    <w:rPr>
      <w:sz w:val="18"/>
      <w:szCs w:val="18"/>
    </w:rPr>
  </w:style>
  <w:style w:type="paragraph" w:styleId="20">
    <w:name w:val="toc 3"/>
    <w:basedOn w:val="1"/>
    <w:next w:val="1"/>
    <w:unhideWhenUsed/>
    <w:qFormat/>
    <w:uiPriority w:val="39"/>
    <w:pPr>
      <w:tabs>
        <w:tab w:val="left" w:pos="740"/>
        <w:tab w:val="right" w:leader="dot" w:pos="9060"/>
      </w:tabs>
      <w:ind w:left="420"/>
      <w:jc w:val="left"/>
    </w:pPr>
    <w:rPr>
      <w:iCs/>
      <w:sz w:val="20"/>
      <w:szCs w:val="20"/>
    </w:rPr>
  </w:style>
  <w:style w:type="paragraph" w:styleId="21">
    <w:name w:val="Plain Text"/>
    <w:basedOn w:val="1"/>
    <w:qFormat/>
    <w:uiPriority w:val="0"/>
    <w:rPr>
      <w:rFonts w:ascii="宋体" w:hAnsi="Courier New" w:cs="Courier New"/>
      <w:szCs w:val="21"/>
    </w:rPr>
  </w:style>
  <w:style w:type="paragraph" w:styleId="22">
    <w:name w:val="toc 8"/>
    <w:basedOn w:val="1"/>
    <w:next w:val="1"/>
    <w:unhideWhenUsed/>
    <w:qFormat/>
    <w:uiPriority w:val="39"/>
    <w:pPr>
      <w:ind w:left="1470"/>
      <w:jc w:val="left"/>
    </w:pPr>
    <w:rPr>
      <w:sz w:val="18"/>
      <w:szCs w:val="18"/>
    </w:rPr>
  </w:style>
  <w:style w:type="paragraph" w:styleId="23">
    <w:name w:val="Date"/>
    <w:basedOn w:val="1"/>
    <w:next w:val="1"/>
    <w:qFormat/>
    <w:uiPriority w:val="0"/>
    <w:pPr>
      <w:ind w:left="100" w:leftChars="2500"/>
    </w:pPr>
    <w:rPr>
      <w:szCs w:val="24"/>
    </w:rPr>
  </w:style>
  <w:style w:type="paragraph" w:styleId="24">
    <w:name w:val="Body Text Indent 2"/>
    <w:basedOn w:val="1"/>
    <w:qFormat/>
    <w:uiPriority w:val="0"/>
    <w:pPr>
      <w:ind w:left="206" w:hanging="206" w:hangingChars="98"/>
    </w:pPr>
    <w:rPr>
      <w:szCs w:val="24"/>
    </w:rPr>
  </w:style>
  <w:style w:type="paragraph" w:styleId="25">
    <w:name w:val="endnote text"/>
    <w:basedOn w:val="1"/>
    <w:semiHidden/>
    <w:qFormat/>
    <w:uiPriority w:val="0"/>
    <w:pPr>
      <w:snapToGrid w:val="0"/>
      <w:jc w:val="left"/>
    </w:pPr>
    <w:rPr>
      <w:szCs w:val="24"/>
    </w:rPr>
  </w:style>
  <w:style w:type="paragraph" w:styleId="26">
    <w:name w:val="Balloon Text"/>
    <w:basedOn w:val="1"/>
    <w:link w:val="148"/>
    <w:unhideWhenUsed/>
    <w:qFormat/>
    <w:uiPriority w:val="99"/>
    <w:rPr>
      <w:kern w:val="0"/>
      <w:sz w:val="18"/>
      <w:szCs w:val="18"/>
    </w:rPr>
  </w:style>
  <w:style w:type="paragraph" w:styleId="27">
    <w:name w:val="footer"/>
    <w:basedOn w:val="1"/>
    <w:link w:val="161"/>
    <w:unhideWhenUsed/>
    <w:qFormat/>
    <w:uiPriority w:val="99"/>
    <w:pPr>
      <w:tabs>
        <w:tab w:val="center" w:pos="4153"/>
        <w:tab w:val="right" w:pos="8306"/>
      </w:tabs>
      <w:snapToGrid w:val="0"/>
      <w:jc w:val="left"/>
    </w:pPr>
    <w:rPr>
      <w:kern w:val="0"/>
      <w:sz w:val="18"/>
      <w:szCs w:val="18"/>
    </w:rPr>
  </w:style>
  <w:style w:type="paragraph" w:styleId="28">
    <w:name w:val="header"/>
    <w:basedOn w:val="1"/>
    <w:link w:val="17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unhideWhenUsed/>
    <w:qFormat/>
    <w:uiPriority w:val="39"/>
    <w:pPr>
      <w:tabs>
        <w:tab w:val="right" w:leader="dot" w:pos="9060"/>
      </w:tabs>
      <w:spacing w:line="400" w:lineRule="exact"/>
      <w:jc w:val="left"/>
    </w:pPr>
    <w:rPr>
      <w:b/>
      <w:bCs/>
      <w:caps/>
      <w:sz w:val="20"/>
      <w:szCs w:val="20"/>
    </w:rPr>
  </w:style>
  <w:style w:type="paragraph" w:styleId="30">
    <w:name w:val="toc 4"/>
    <w:basedOn w:val="1"/>
    <w:next w:val="1"/>
    <w:unhideWhenUsed/>
    <w:qFormat/>
    <w:uiPriority w:val="39"/>
    <w:pPr>
      <w:ind w:left="630"/>
      <w:jc w:val="left"/>
    </w:pPr>
    <w:rPr>
      <w:sz w:val="18"/>
      <w:szCs w:val="18"/>
    </w:rPr>
  </w:style>
  <w:style w:type="paragraph" w:styleId="31">
    <w:name w:val="Subtitle"/>
    <w:basedOn w:val="1"/>
    <w:next w:val="1"/>
    <w:link w:val="158"/>
    <w:qFormat/>
    <w:uiPriority w:val="11"/>
    <w:pPr>
      <w:spacing w:before="240" w:after="60" w:line="312" w:lineRule="auto"/>
      <w:jc w:val="center"/>
      <w:outlineLvl w:val="1"/>
    </w:pPr>
    <w:rPr>
      <w:rFonts w:ascii="Cambria" w:hAnsi="Cambria"/>
      <w:b/>
      <w:bCs/>
      <w:kern w:val="28"/>
      <w:sz w:val="32"/>
      <w:szCs w:val="32"/>
    </w:rPr>
  </w:style>
  <w:style w:type="paragraph" w:styleId="32">
    <w:name w:val="footnote text"/>
    <w:basedOn w:val="1"/>
    <w:link w:val="156"/>
    <w:unhideWhenUsed/>
    <w:qFormat/>
    <w:uiPriority w:val="99"/>
    <w:pPr>
      <w:snapToGrid w:val="0"/>
      <w:jc w:val="left"/>
    </w:pPr>
    <w:rPr>
      <w:kern w:val="0"/>
      <w:sz w:val="18"/>
      <w:szCs w:val="18"/>
    </w:rPr>
  </w:style>
  <w:style w:type="paragraph" w:styleId="33">
    <w:name w:val="toc 6"/>
    <w:basedOn w:val="1"/>
    <w:next w:val="1"/>
    <w:unhideWhenUsed/>
    <w:qFormat/>
    <w:uiPriority w:val="39"/>
    <w:pPr>
      <w:ind w:left="1050"/>
      <w:jc w:val="left"/>
    </w:pPr>
    <w:rPr>
      <w:sz w:val="18"/>
      <w:szCs w:val="18"/>
    </w:rPr>
  </w:style>
  <w:style w:type="paragraph" w:styleId="34">
    <w:name w:val="Body Text Indent 3"/>
    <w:basedOn w:val="1"/>
    <w:link w:val="169"/>
    <w:qFormat/>
    <w:uiPriority w:val="99"/>
    <w:pPr>
      <w:spacing w:line="420" w:lineRule="exact"/>
      <w:ind w:firstLine="420" w:firstLineChars="200"/>
    </w:pPr>
    <w:rPr>
      <w:szCs w:val="24"/>
    </w:rPr>
  </w:style>
  <w:style w:type="paragraph" w:styleId="35">
    <w:name w:val="toc 2"/>
    <w:basedOn w:val="1"/>
    <w:next w:val="1"/>
    <w:unhideWhenUsed/>
    <w:qFormat/>
    <w:uiPriority w:val="39"/>
    <w:pPr>
      <w:tabs>
        <w:tab w:val="right" w:leader="dot" w:pos="9344"/>
      </w:tabs>
      <w:ind w:left="210"/>
      <w:jc w:val="left"/>
    </w:pPr>
    <w:rPr>
      <w:b/>
      <w:bCs/>
      <w:smallCaps/>
      <w:sz w:val="20"/>
      <w:szCs w:val="20"/>
    </w:rPr>
  </w:style>
  <w:style w:type="paragraph" w:styleId="36">
    <w:name w:val="toc 9"/>
    <w:basedOn w:val="1"/>
    <w:next w:val="1"/>
    <w:unhideWhenUsed/>
    <w:qFormat/>
    <w:uiPriority w:val="39"/>
    <w:pPr>
      <w:ind w:left="1680"/>
      <w:jc w:val="left"/>
    </w:pPr>
    <w:rPr>
      <w:sz w:val="18"/>
      <w:szCs w:val="18"/>
    </w:rPr>
  </w:style>
  <w:style w:type="paragraph" w:styleId="37">
    <w:name w:val="Body Text 2"/>
    <w:basedOn w:val="1"/>
    <w:qFormat/>
    <w:uiPriority w:val="0"/>
    <w:pPr>
      <w:spacing w:after="120" w:line="480" w:lineRule="auto"/>
    </w:pPr>
    <w:rPr>
      <w:szCs w:val="24"/>
    </w:rPr>
  </w:style>
  <w:style w:type="paragraph" w:styleId="3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9">
    <w:name w:val="index 1"/>
    <w:basedOn w:val="1"/>
    <w:next w:val="1"/>
    <w:semiHidden/>
    <w:qFormat/>
    <w:uiPriority w:val="0"/>
    <w:rPr>
      <w:szCs w:val="24"/>
    </w:rPr>
  </w:style>
  <w:style w:type="paragraph" w:styleId="40">
    <w:name w:val="Title"/>
    <w:basedOn w:val="1"/>
    <w:qFormat/>
    <w:uiPriority w:val="0"/>
    <w:pPr>
      <w:widowControl/>
      <w:spacing w:before="240" w:after="60"/>
      <w:jc w:val="center"/>
      <w:outlineLvl w:val="0"/>
    </w:pPr>
    <w:rPr>
      <w:rFonts w:ascii="Arial" w:hAnsi="Arial" w:cs="Arial"/>
      <w:b/>
      <w:bCs/>
      <w:kern w:val="0"/>
      <w:sz w:val="44"/>
      <w:szCs w:val="32"/>
    </w:rPr>
  </w:style>
  <w:style w:type="paragraph" w:styleId="41">
    <w:name w:val="annotation subject"/>
    <w:basedOn w:val="16"/>
    <w:next w:val="16"/>
    <w:semiHidden/>
    <w:qFormat/>
    <w:uiPriority w:val="0"/>
    <w:rPr>
      <w:b/>
      <w:bCs/>
    </w:rPr>
  </w:style>
  <w:style w:type="paragraph" w:styleId="42">
    <w:name w:val="Body Text First Indent"/>
    <w:basedOn w:val="17"/>
    <w:link w:val="152"/>
    <w:unhideWhenUsed/>
    <w:qFormat/>
    <w:uiPriority w:val="99"/>
    <w:pPr>
      <w:spacing w:after="120"/>
      <w:ind w:firstLine="420" w:firstLineChars="100"/>
    </w:pPr>
    <w:rPr>
      <w:sz w:val="21"/>
      <w:szCs w:val="22"/>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page number"/>
    <w:basedOn w:val="45"/>
    <w:qFormat/>
    <w:uiPriority w:val="0"/>
  </w:style>
  <w:style w:type="character" w:styleId="47">
    <w:name w:val="FollowedHyperlink"/>
    <w:unhideWhenUsed/>
    <w:qFormat/>
    <w:uiPriority w:val="99"/>
    <w:rPr>
      <w:color w:val="800080"/>
      <w:u w:val="single"/>
    </w:rPr>
  </w:style>
  <w:style w:type="character" w:styleId="48">
    <w:name w:val="Hyperlink"/>
    <w:unhideWhenUsed/>
    <w:qFormat/>
    <w:uiPriority w:val="99"/>
    <w:rPr>
      <w:color w:val="0000FF"/>
      <w:u w:val="single"/>
    </w:rPr>
  </w:style>
  <w:style w:type="character" w:styleId="49">
    <w:name w:val="annotation reference"/>
    <w:semiHidden/>
    <w:qFormat/>
    <w:uiPriority w:val="0"/>
    <w:rPr>
      <w:sz w:val="21"/>
      <w:szCs w:val="21"/>
    </w:rPr>
  </w:style>
  <w:style w:type="character" w:styleId="50">
    <w:name w:val="footnote reference"/>
    <w:qFormat/>
    <w:uiPriority w:val="0"/>
    <w:rPr>
      <w:vertAlign w:val="superscript"/>
    </w:rPr>
  </w:style>
  <w:style w:type="paragraph" w:customStyle="1" w:styleId="51">
    <w:name w:val="DAS正文"/>
    <w:basedOn w:val="1"/>
    <w:qFormat/>
    <w:uiPriority w:val="0"/>
    <w:pPr>
      <w:ind w:right="181" w:firstLine="480" w:firstLineChars="200"/>
    </w:pPr>
    <w:rPr>
      <w:rFonts w:ascii="Verdana" w:hAnsi="Verdana"/>
      <w:szCs w:val="24"/>
    </w:rPr>
  </w:style>
  <w:style w:type="paragraph" w:customStyle="1" w:styleId="52">
    <w:name w:val="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53">
    <w:name w:val="CM105"/>
    <w:basedOn w:val="54"/>
    <w:next w:val="54"/>
    <w:qFormat/>
    <w:uiPriority w:val="99"/>
    <w:rPr>
      <w:rFonts w:cs="Times New Roman"/>
      <w:color w:val="auto"/>
    </w:rPr>
  </w:style>
  <w:style w:type="paragraph" w:customStyle="1" w:styleId="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列出段落1"/>
    <w:basedOn w:val="1"/>
    <w:qFormat/>
    <w:uiPriority w:val="34"/>
    <w:pPr>
      <w:ind w:firstLine="420" w:firstLineChars="200"/>
    </w:pPr>
  </w:style>
  <w:style w:type="paragraph" w:customStyle="1" w:styleId="56">
    <w:name w:val="CM12"/>
    <w:basedOn w:val="54"/>
    <w:next w:val="54"/>
    <w:qFormat/>
    <w:uiPriority w:val="99"/>
    <w:pPr>
      <w:spacing w:line="313" w:lineRule="atLeast"/>
    </w:pPr>
    <w:rPr>
      <w:rFonts w:cs="Times New Roman"/>
      <w:color w:val="auto"/>
    </w:rPr>
  </w:style>
  <w:style w:type="paragraph" w:customStyle="1" w:styleId="57">
    <w:name w:val="CM19"/>
    <w:basedOn w:val="54"/>
    <w:next w:val="54"/>
    <w:qFormat/>
    <w:uiPriority w:val="99"/>
    <w:pPr>
      <w:spacing w:line="440" w:lineRule="atLeast"/>
    </w:pPr>
    <w:rPr>
      <w:rFonts w:cs="Times New Roman"/>
      <w:color w:val="auto"/>
    </w:rPr>
  </w:style>
  <w:style w:type="paragraph" w:customStyle="1" w:styleId="58">
    <w:name w:val="CM45"/>
    <w:basedOn w:val="54"/>
    <w:next w:val="54"/>
    <w:qFormat/>
    <w:uiPriority w:val="99"/>
    <w:rPr>
      <w:rFonts w:cs="Times New Roman"/>
      <w:color w:val="auto"/>
    </w:rPr>
  </w:style>
  <w:style w:type="paragraph" w:customStyle="1" w:styleId="59">
    <w:name w:val="CM110"/>
    <w:basedOn w:val="54"/>
    <w:next w:val="54"/>
    <w:qFormat/>
    <w:uiPriority w:val="99"/>
    <w:rPr>
      <w:rFonts w:cs="Times New Roman"/>
      <w:color w:val="auto"/>
    </w:rPr>
  </w:style>
  <w:style w:type="paragraph" w:customStyle="1" w:styleId="60">
    <w:name w:val="CM34"/>
    <w:basedOn w:val="54"/>
    <w:next w:val="54"/>
    <w:qFormat/>
    <w:uiPriority w:val="99"/>
    <w:rPr>
      <w:rFonts w:cs="Times New Roman"/>
      <w:color w:val="auto"/>
    </w:rPr>
  </w:style>
  <w:style w:type="paragraph" w:customStyle="1" w:styleId="61">
    <w:name w:val="CM10"/>
    <w:basedOn w:val="54"/>
    <w:next w:val="54"/>
    <w:qFormat/>
    <w:uiPriority w:val="99"/>
    <w:rPr>
      <w:rFonts w:cs="Times New Roman"/>
      <w:color w:val="auto"/>
    </w:rPr>
  </w:style>
  <w:style w:type="paragraph" w:customStyle="1" w:styleId="62">
    <w:name w:val="CM17"/>
    <w:basedOn w:val="54"/>
    <w:next w:val="54"/>
    <w:qFormat/>
    <w:uiPriority w:val="99"/>
    <w:pPr>
      <w:spacing w:line="440" w:lineRule="atLeast"/>
    </w:pPr>
    <w:rPr>
      <w:rFonts w:cs="Times New Roman"/>
      <w:color w:val="auto"/>
    </w:rPr>
  </w:style>
  <w:style w:type="paragraph" w:customStyle="1" w:styleId="63">
    <w:name w:val="CM43"/>
    <w:basedOn w:val="54"/>
    <w:next w:val="54"/>
    <w:uiPriority w:val="99"/>
    <w:pPr>
      <w:spacing w:line="440" w:lineRule="atLeast"/>
    </w:pPr>
    <w:rPr>
      <w:rFonts w:cs="Times New Roman"/>
      <w:color w:val="auto"/>
    </w:rPr>
  </w:style>
  <w:style w:type="paragraph" w:customStyle="1" w:styleId="64">
    <w:name w:val="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65">
    <w:name w:val="xl25"/>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66">
    <w:name w:val="CM54"/>
    <w:basedOn w:val="54"/>
    <w:next w:val="54"/>
    <w:qFormat/>
    <w:uiPriority w:val="99"/>
    <w:rPr>
      <w:rFonts w:cs="Times New Roman"/>
      <w:color w:val="auto"/>
    </w:rPr>
  </w:style>
  <w:style w:type="paragraph" w:customStyle="1" w:styleId="67">
    <w:name w:val="CM35"/>
    <w:basedOn w:val="54"/>
    <w:next w:val="54"/>
    <w:qFormat/>
    <w:uiPriority w:val="99"/>
    <w:pPr>
      <w:spacing w:line="400" w:lineRule="atLeast"/>
    </w:pPr>
    <w:rPr>
      <w:rFonts w:cs="Times New Roman"/>
      <w:color w:val="auto"/>
    </w:rPr>
  </w:style>
  <w:style w:type="paragraph" w:customStyle="1" w:styleId="68">
    <w:name w:val="CM84"/>
    <w:basedOn w:val="54"/>
    <w:next w:val="54"/>
    <w:qFormat/>
    <w:uiPriority w:val="99"/>
    <w:pPr>
      <w:spacing w:line="400" w:lineRule="atLeast"/>
    </w:pPr>
    <w:rPr>
      <w:rFonts w:cs="Times New Roman"/>
      <w:color w:val="auto"/>
    </w:rPr>
  </w:style>
  <w:style w:type="paragraph" w:customStyle="1" w:styleId="69">
    <w:name w:val="正文文本 (2)"/>
    <w:basedOn w:val="1"/>
    <w:link w:val="170"/>
    <w:qFormat/>
    <w:uiPriority w:val="0"/>
    <w:pPr>
      <w:shd w:val="clear" w:color="auto" w:fill="FFFFFF"/>
      <w:spacing w:before="300" w:line="439" w:lineRule="exact"/>
      <w:jc w:val="distribute"/>
    </w:pPr>
    <w:rPr>
      <w:rFonts w:ascii="宋体" w:hAnsi="宋体"/>
      <w:kern w:val="0"/>
      <w:sz w:val="22"/>
    </w:rPr>
  </w:style>
  <w:style w:type="paragraph" w:customStyle="1" w:styleId="70">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71">
    <w:name w:val="CM70"/>
    <w:basedOn w:val="54"/>
    <w:next w:val="54"/>
    <w:qFormat/>
    <w:uiPriority w:val="99"/>
    <w:pPr>
      <w:spacing w:line="400" w:lineRule="atLeast"/>
    </w:pPr>
    <w:rPr>
      <w:rFonts w:cs="Times New Roman"/>
      <w:color w:val="auto"/>
    </w:rPr>
  </w:style>
  <w:style w:type="paragraph" w:customStyle="1" w:styleId="72">
    <w:name w:val="CM52"/>
    <w:basedOn w:val="54"/>
    <w:next w:val="54"/>
    <w:qFormat/>
    <w:uiPriority w:val="99"/>
    <w:pPr>
      <w:spacing w:line="400" w:lineRule="atLeast"/>
    </w:pPr>
    <w:rPr>
      <w:rFonts w:cs="Times New Roman"/>
      <w:color w:val="auto"/>
    </w:rPr>
  </w:style>
  <w:style w:type="paragraph" w:customStyle="1" w:styleId="73">
    <w:name w:val="CM104"/>
    <w:basedOn w:val="54"/>
    <w:next w:val="54"/>
    <w:qFormat/>
    <w:uiPriority w:val="99"/>
    <w:rPr>
      <w:rFonts w:cs="Times New Roman"/>
      <w:color w:val="auto"/>
    </w:rPr>
  </w:style>
  <w:style w:type="paragraph" w:customStyle="1" w:styleId="74">
    <w:name w:val="CM57"/>
    <w:basedOn w:val="54"/>
    <w:next w:val="54"/>
    <w:qFormat/>
    <w:uiPriority w:val="99"/>
    <w:pPr>
      <w:spacing w:line="400" w:lineRule="atLeast"/>
    </w:pPr>
    <w:rPr>
      <w:rFonts w:cs="Times New Roman"/>
      <w:color w:val="auto"/>
    </w:rPr>
  </w:style>
  <w:style w:type="paragraph" w:customStyle="1" w:styleId="75">
    <w:name w:val="CM6"/>
    <w:basedOn w:val="54"/>
    <w:next w:val="54"/>
    <w:qFormat/>
    <w:uiPriority w:val="99"/>
    <w:pPr>
      <w:spacing w:line="318" w:lineRule="atLeast"/>
    </w:pPr>
    <w:rPr>
      <w:rFonts w:cs="Times New Roman"/>
      <w:color w:val="auto"/>
    </w:rPr>
  </w:style>
  <w:style w:type="paragraph" w:customStyle="1" w:styleId="76">
    <w:name w:val="Char Char"/>
    <w:basedOn w:val="1"/>
    <w:qFormat/>
    <w:uiPriority w:val="0"/>
    <w:rPr>
      <w:rFonts w:ascii="Tahoma" w:hAnsi="Tahoma"/>
      <w:sz w:val="24"/>
      <w:szCs w:val="20"/>
    </w:rPr>
  </w:style>
  <w:style w:type="paragraph" w:customStyle="1" w:styleId="77">
    <w:name w:val="CM55"/>
    <w:basedOn w:val="54"/>
    <w:next w:val="54"/>
    <w:qFormat/>
    <w:uiPriority w:val="0"/>
    <w:pPr>
      <w:spacing w:line="400" w:lineRule="atLeast"/>
    </w:pPr>
    <w:rPr>
      <w:rFonts w:cs="Times New Roman"/>
      <w:color w:val="auto"/>
    </w:rPr>
  </w:style>
  <w:style w:type="paragraph" w:customStyle="1" w:styleId="78">
    <w:name w:val="CM97"/>
    <w:basedOn w:val="54"/>
    <w:next w:val="54"/>
    <w:qFormat/>
    <w:uiPriority w:val="99"/>
    <w:rPr>
      <w:rFonts w:cs="Times New Roman"/>
      <w:color w:val="auto"/>
    </w:rPr>
  </w:style>
  <w:style w:type="paragraph" w:customStyle="1" w:styleId="79">
    <w:name w:val="CM40"/>
    <w:basedOn w:val="54"/>
    <w:next w:val="54"/>
    <w:qFormat/>
    <w:uiPriority w:val="99"/>
    <w:pPr>
      <w:spacing w:line="400" w:lineRule="atLeast"/>
    </w:pPr>
    <w:rPr>
      <w:rFonts w:cs="Times New Roman"/>
      <w:color w:val="auto"/>
    </w:rPr>
  </w:style>
  <w:style w:type="paragraph" w:customStyle="1" w:styleId="80">
    <w:name w:val="CM87"/>
    <w:basedOn w:val="54"/>
    <w:next w:val="54"/>
    <w:qFormat/>
    <w:uiPriority w:val="99"/>
    <w:pPr>
      <w:spacing w:line="440" w:lineRule="atLeast"/>
    </w:pPr>
    <w:rPr>
      <w:rFonts w:cs="Times New Roman"/>
      <w:color w:val="auto"/>
    </w:rPr>
  </w:style>
  <w:style w:type="paragraph" w:customStyle="1" w:styleId="8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82">
    <w:name w:val="Char Char Char Char Char Char Char"/>
    <w:basedOn w:val="14"/>
    <w:qFormat/>
    <w:uiPriority w:val="0"/>
    <w:rPr>
      <w:rFonts w:ascii="Tahoma" w:hAnsi="Tahoma"/>
      <w:sz w:val="24"/>
    </w:rPr>
  </w:style>
  <w:style w:type="paragraph" w:customStyle="1" w:styleId="83">
    <w:name w:val="CM98"/>
    <w:basedOn w:val="54"/>
    <w:next w:val="54"/>
    <w:qFormat/>
    <w:uiPriority w:val="99"/>
    <w:rPr>
      <w:rFonts w:cs="Times New Roman"/>
      <w:color w:val="auto"/>
    </w:rPr>
  </w:style>
  <w:style w:type="paragraph" w:customStyle="1" w:styleId="84">
    <w:name w:val="CM22"/>
    <w:basedOn w:val="54"/>
    <w:next w:val="54"/>
    <w:qFormat/>
    <w:uiPriority w:val="99"/>
    <w:rPr>
      <w:rFonts w:cs="Times New Roman"/>
      <w:color w:val="auto"/>
    </w:rPr>
  </w:style>
  <w:style w:type="paragraph" w:customStyle="1" w:styleId="85">
    <w:name w:val="CM107"/>
    <w:basedOn w:val="54"/>
    <w:next w:val="54"/>
    <w:qFormat/>
    <w:uiPriority w:val="99"/>
    <w:rPr>
      <w:rFonts w:cs="Times New Roman"/>
      <w:color w:val="auto"/>
    </w:rPr>
  </w:style>
  <w:style w:type="paragraph" w:customStyle="1" w:styleId="86">
    <w:name w:val="CM26"/>
    <w:basedOn w:val="54"/>
    <w:next w:val="54"/>
    <w:qFormat/>
    <w:uiPriority w:val="99"/>
    <w:pPr>
      <w:spacing w:line="400" w:lineRule="atLeast"/>
    </w:pPr>
    <w:rPr>
      <w:rFonts w:cs="Times New Roman"/>
      <w:color w:val="auto"/>
    </w:rPr>
  </w:style>
  <w:style w:type="paragraph" w:customStyle="1" w:styleId="87">
    <w:name w:val="Char"/>
    <w:basedOn w:val="1"/>
    <w:qFormat/>
    <w:uiPriority w:val="0"/>
    <w:pPr>
      <w:spacing w:line="360" w:lineRule="auto"/>
      <w:ind w:firstLine="200" w:firstLineChars="200"/>
    </w:pPr>
    <w:rPr>
      <w:rFonts w:ascii="宋体" w:hAnsi="宋体" w:cs="宋体"/>
      <w:sz w:val="24"/>
      <w:szCs w:val="24"/>
    </w:rPr>
  </w:style>
  <w:style w:type="paragraph" w:customStyle="1" w:styleId="88">
    <w:name w:val="CM2"/>
    <w:basedOn w:val="54"/>
    <w:next w:val="54"/>
    <w:qFormat/>
    <w:uiPriority w:val="99"/>
    <w:pPr>
      <w:spacing w:line="500" w:lineRule="atLeast"/>
    </w:pPr>
    <w:rPr>
      <w:rFonts w:cs="Times New Roman"/>
      <w:color w:val="auto"/>
    </w:rPr>
  </w:style>
  <w:style w:type="paragraph" w:customStyle="1" w:styleId="89">
    <w:name w:val="CM88"/>
    <w:basedOn w:val="54"/>
    <w:next w:val="54"/>
    <w:qFormat/>
    <w:uiPriority w:val="99"/>
    <w:pPr>
      <w:spacing w:line="440" w:lineRule="atLeast"/>
    </w:pPr>
    <w:rPr>
      <w:rFonts w:cs="Times New Roman"/>
      <w:color w:val="auto"/>
    </w:rPr>
  </w:style>
  <w:style w:type="paragraph" w:customStyle="1" w:styleId="90">
    <w:name w:val="CM24"/>
    <w:basedOn w:val="54"/>
    <w:next w:val="54"/>
    <w:qFormat/>
    <w:uiPriority w:val="99"/>
    <w:pPr>
      <w:spacing w:line="400" w:lineRule="atLeast"/>
    </w:pPr>
    <w:rPr>
      <w:rFonts w:cs="Times New Roman"/>
      <w:color w:val="auto"/>
    </w:rPr>
  </w:style>
  <w:style w:type="paragraph" w:customStyle="1" w:styleId="91">
    <w:name w:val="CM60"/>
    <w:basedOn w:val="54"/>
    <w:next w:val="54"/>
    <w:qFormat/>
    <w:uiPriority w:val="99"/>
    <w:pPr>
      <w:spacing w:line="400" w:lineRule="atLeast"/>
    </w:pPr>
    <w:rPr>
      <w:rFonts w:cs="Times New Roman"/>
      <w:color w:val="auto"/>
    </w:rPr>
  </w:style>
  <w:style w:type="paragraph" w:customStyle="1" w:styleId="92">
    <w:name w:val="正文文本 (7)"/>
    <w:basedOn w:val="1"/>
    <w:link w:val="151"/>
    <w:qFormat/>
    <w:uiPriority w:val="0"/>
    <w:pPr>
      <w:shd w:val="clear" w:color="auto" w:fill="FFFFFF"/>
      <w:spacing w:before="120" w:after="300" w:line="0" w:lineRule="atLeast"/>
      <w:jc w:val="center"/>
    </w:pPr>
    <w:rPr>
      <w:rFonts w:ascii="宋体" w:hAnsi="宋体"/>
      <w:spacing w:val="10"/>
      <w:kern w:val="0"/>
      <w:sz w:val="22"/>
    </w:rPr>
  </w:style>
  <w:style w:type="paragraph" w:customStyle="1" w:styleId="93">
    <w:name w:val="CM99"/>
    <w:basedOn w:val="54"/>
    <w:next w:val="54"/>
    <w:qFormat/>
    <w:uiPriority w:val="99"/>
    <w:rPr>
      <w:rFonts w:cs="Times New Roman"/>
      <w:color w:val="auto"/>
    </w:rPr>
  </w:style>
  <w:style w:type="paragraph" w:customStyle="1" w:styleId="94">
    <w:name w:val="CM7"/>
    <w:basedOn w:val="54"/>
    <w:next w:val="54"/>
    <w:qFormat/>
    <w:uiPriority w:val="99"/>
    <w:pPr>
      <w:spacing w:line="318" w:lineRule="atLeast"/>
    </w:pPr>
    <w:rPr>
      <w:rFonts w:cs="Times New Roman"/>
      <w:color w:val="auto"/>
    </w:rPr>
  </w:style>
  <w:style w:type="paragraph" w:customStyle="1" w:styleId="95">
    <w:name w:val="List Paragraph1"/>
    <w:basedOn w:val="1"/>
    <w:qFormat/>
    <w:uiPriority w:val="1"/>
    <w:pPr>
      <w:ind w:firstLine="420" w:firstLineChars="200"/>
    </w:pPr>
  </w:style>
  <w:style w:type="paragraph" w:customStyle="1" w:styleId="96">
    <w:name w:val="CM28"/>
    <w:basedOn w:val="54"/>
    <w:next w:val="54"/>
    <w:qFormat/>
    <w:uiPriority w:val="99"/>
    <w:pPr>
      <w:spacing w:line="398" w:lineRule="atLeast"/>
    </w:pPr>
    <w:rPr>
      <w:rFonts w:cs="Times New Roman"/>
      <w:color w:val="auto"/>
    </w:rPr>
  </w:style>
  <w:style w:type="paragraph" w:customStyle="1" w:styleId="97">
    <w:name w:val="CM94"/>
    <w:basedOn w:val="54"/>
    <w:next w:val="54"/>
    <w:qFormat/>
    <w:uiPriority w:val="99"/>
    <w:pPr>
      <w:spacing w:line="440" w:lineRule="atLeast"/>
    </w:pPr>
    <w:rPr>
      <w:rFonts w:cs="Times New Roman"/>
      <w:color w:val="auto"/>
    </w:rPr>
  </w:style>
  <w:style w:type="paragraph" w:customStyle="1" w:styleId="98">
    <w:name w:val="CM102"/>
    <w:basedOn w:val="54"/>
    <w:next w:val="54"/>
    <w:qFormat/>
    <w:uiPriority w:val="99"/>
    <w:rPr>
      <w:rFonts w:cs="Times New Roman"/>
      <w:color w:val="auto"/>
    </w:rPr>
  </w:style>
  <w:style w:type="paragraph" w:customStyle="1" w:styleId="99">
    <w:name w:val="CM11"/>
    <w:basedOn w:val="54"/>
    <w:next w:val="54"/>
    <w:qFormat/>
    <w:uiPriority w:val="99"/>
    <w:pPr>
      <w:spacing w:line="313" w:lineRule="atLeast"/>
    </w:pPr>
    <w:rPr>
      <w:rFonts w:cs="Times New Roman"/>
      <w:color w:val="auto"/>
    </w:rPr>
  </w:style>
  <w:style w:type="paragraph" w:customStyle="1" w:styleId="100">
    <w:name w:val="MSG_EN_FONT_STYLE_NAME_TEMPLATE_ROLE_NUMBER MSG_EN_FONT_STYLE_NAME_BY_ROLE_TEXT 131"/>
    <w:basedOn w:val="1"/>
    <w:link w:val="159"/>
    <w:qFormat/>
    <w:uiPriority w:val="0"/>
    <w:pPr>
      <w:shd w:val="clear" w:color="auto" w:fill="FFFFFF"/>
      <w:spacing w:before="340" w:after="160" w:line="398" w:lineRule="exact"/>
      <w:jc w:val="distribute"/>
    </w:pPr>
    <w:rPr>
      <w:rFonts w:ascii="PMingLiU" w:hAnsi="PMingLiU" w:eastAsia="PMingLiU"/>
      <w:kern w:val="0"/>
      <w:sz w:val="20"/>
      <w:szCs w:val="20"/>
    </w:rPr>
  </w:style>
  <w:style w:type="paragraph" w:customStyle="1" w:styleId="101">
    <w:name w:val="CM108"/>
    <w:basedOn w:val="54"/>
    <w:next w:val="54"/>
    <w:qFormat/>
    <w:uiPriority w:val="99"/>
    <w:rPr>
      <w:rFonts w:cs="Times New Roman"/>
      <w:color w:val="auto"/>
    </w:rPr>
  </w:style>
  <w:style w:type="paragraph" w:customStyle="1" w:styleId="102">
    <w:name w:val="CM1"/>
    <w:basedOn w:val="54"/>
    <w:next w:val="54"/>
    <w:qFormat/>
    <w:uiPriority w:val="99"/>
    <w:rPr>
      <w:rFonts w:cs="Times New Roman"/>
      <w:color w:val="auto"/>
    </w:rPr>
  </w:style>
  <w:style w:type="paragraph" w:customStyle="1" w:styleId="103">
    <w:name w:val="CM48"/>
    <w:basedOn w:val="54"/>
    <w:next w:val="54"/>
    <w:qFormat/>
    <w:uiPriority w:val="99"/>
    <w:pPr>
      <w:spacing w:line="440" w:lineRule="atLeast"/>
    </w:pPr>
    <w:rPr>
      <w:rFonts w:cs="Times New Roman"/>
      <w:color w:val="auto"/>
    </w:rPr>
  </w:style>
  <w:style w:type="paragraph" w:customStyle="1" w:styleId="104">
    <w:name w:val="Char Char7 Char Char Char Char Char Char"/>
    <w:basedOn w:val="1"/>
    <w:qFormat/>
    <w:uiPriority w:val="0"/>
    <w:pPr>
      <w:adjustRightInd w:val="0"/>
      <w:spacing w:line="312" w:lineRule="atLeast"/>
      <w:textAlignment w:val="baseline"/>
    </w:pPr>
    <w:rPr>
      <w:b/>
      <w:bCs/>
      <w:kern w:val="0"/>
      <w:sz w:val="36"/>
      <w:szCs w:val="36"/>
    </w:rPr>
  </w:style>
  <w:style w:type="paragraph" w:customStyle="1" w:styleId="105">
    <w:name w:val="CM47"/>
    <w:basedOn w:val="54"/>
    <w:next w:val="54"/>
    <w:qFormat/>
    <w:uiPriority w:val="99"/>
    <w:pPr>
      <w:spacing w:line="540" w:lineRule="atLeast"/>
    </w:pPr>
    <w:rPr>
      <w:rFonts w:cs="Times New Roman"/>
      <w:color w:val="auto"/>
    </w:rPr>
  </w:style>
  <w:style w:type="paragraph" w:customStyle="1" w:styleId="106">
    <w:name w:val="CM112"/>
    <w:basedOn w:val="54"/>
    <w:next w:val="54"/>
    <w:qFormat/>
    <w:uiPriority w:val="99"/>
    <w:rPr>
      <w:rFonts w:cs="Times New Roman"/>
      <w:color w:val="auto"/>
    </w:rPr>
  </w:style>
  <w:style w:type="paragraph" w:customStyle="1" w:styleId="107">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8">
    <w:name w:val="CM71"/>
    <w:basedOn w:val="54"/>
    <w:next w:val="54"/>
    <w:uiPriority w:val="99"/>
    <w:rPr>
      <w:rFonts w:cs="Times New Roman"/>
      <w:color w:val="auto"/>
    </w:rPr>
  </w:style>
  <w:style w:type="paragraph" w:customStyle="1" w:styleId="109">
    <w:name w:val="CM101"/>
    <w:basedOn w:val="54"/>
    <w:next w:val="54"/>
    <w:qFormat/>
    <w:uiPriority w:val="99"/>
    <w:rPr>
      <w:rFonts w:cs="Times New Roman"/>
      <w:color w:val="auto"/>
    </w:rPr>
  </w:style>
  <w:style w:type="paragraph" w:customStyle="1" w:styleId="110">
    <w:name w:val="CM18"/>
    <w:basedOn w:val="54"/>
    <w:next w:val="54"/>
    <w:uiPriority w:val="99"/>
    <w:pPr>
      <w:spacing w:line="440" w:lineRule="atLeast"/>
    </w:pPr>
    <w:rPr>
      <w:rFonts w:cs="Times New Roman"/>
      <w:color w:val="auto"/>
    </w:rPr>
  </w:style>
  <w:style w:type="paragraph" w:customStyle="1" w:styleId="111">
    <w:name w:val="CM3"/>
    <w:basedOn w:val="54"/>
    <w:next w:val="54"/>
    <w:qFormat/>
    <w:uiPriority w:val="99"/>
    <w:pPr>
      <w:spacing w:line="500" w:lineRule="atLeast"/>
    </w:pPr>
    <w:rPr>
      <w:rFonts w:cs="Times New Roman"/>
      <w:color w:val="auto"/>
    </w:rPr>
  </w:style>
  <w:style w:type="paragraph" w:customStyle="1" w:styleId="112">
    <w:name w:val="CM74"/>
    <w:basedOn w:val="54"/>
    <w:next w:val="54"/>
    <w:uiPriority w:val="99"/>
    <w:pPr>
      <w:spacing w:line="400" w:lineRule="atLeast"/>
    </w:pPr>
    <w:rPr>
      <w:rFonts w:cs="Times New Roman"/>
      <w:color w:val="auto"/>
    </w:rPr>
  </w:style>
  <w:style w:type="paragraph" w:customStyle="1" w:styleId="113">
    <w:name w:val="Table Paragraph"/>
    <w:basedOn w:val="1"/>
    <w:qFormat/>
    <w:uiPriority w:val="1"/>
    <w:pPr>
      <w:jc w:val="left"/>
    </w:pPr>
    <w:rPr>
      <w:rFonts w:ascii="Calibri" w:hAnsi="Calibri"/>
      <w:kern w:val="0"/>
      <w:sz w:val="22"/>
      <w:lang w:eastAsia="en-US"/>
    </w:rPr>
  </w:style>
  <w:style w:type="paragraph" w:customStyle="1" w:styleId="114">
    <w:name w:val="样式3"/>
    <w:basedOn w:val="1"/>
    <w:qFormat/>
    <w:uiPriority w:val="0"/>
    <w:pPr>
      <w:keepNext/>
      <w:keepLines/>
      <w:spacing w:line="400" w:lineRule="exact"/>
      <w:outlineLvl w:val="0"/>
    </w:pPr>
    <w:rPr>
      <w:b/>
      <w:bCs/>
      <w:kern w:val="44"/>
      <w:sz w:val="28"/>
      <w:szCs w:val="44"/>
    </w:rPr>
  </w:style>
  <w:style w:type="paragraph" w:customStyle="1" w:styleId="115">
    <w:name w:val="CM78"/>
    <w:basedOn w:val="54"/>
    <w:next w:val="54"/>
    <w:qFormat/>
    <w:uiPriority w:val="99"/>
    <w:rPr>
      <w:rFonts w:cs="Times New Roman"/>
      <w:color w:val="auto"/>
    </w:rPr>
  </w:style>
  <w:style w:type="paragraph" w:customStyle="1" w:styleId="116">
    <w:name w:val="CM100"/>
    <w:basedOn w:val="54"/>
    <w:next w:val="54"/>
    <w:qFormat/>
    <w:uiPriority w:val="99"/>
    <w:rPr>
      <w:rFonts w:cs="Times New Roman"/>
      <w:color w:val="auto"/>
    </w:rPr>
  </w:style>
  <w:style w:type="paragraph" w:customStyle="1" w:styleId="117">
    <w:name w:val="列出段落11"/>
    <w:basedOn w:val="1"/>
    <w:qFormat/>
    <w:uiPriority w:val="34"/>
    <w:pPr>
      <w:ind w:firstLine="420" w:firstLineChars="200"/>
    </w:pPr>
    <w:rPr>
      <w:rFonts w:ascii="等线" w:hAnsi="等线" w:eastAsia="等线"/>
    </w:rPr>
  </w:style>
  <w:style w:type="paragraph" w:customStyle="1" w:styleId="118">
    <w:name w:val="CM49"/>
    <w:basedOn w:val="54"/>
    <w:next w:val="54"/>
    <w:qFormat/>
    <w:uiPriority w:val="99"/>
    <w:pPr>
      <w:spacing w:line="1020" w:lineRule="atLeast"/>
    </w:pPr>
    <w:rPr>
      <w:rFonts w:cs="Times New Roman"/>
      <w:color w:val="auto"/>
    </w:rPr>
  </w:style>
  <w:style w:type="paragraph" w:customStyle="1" w:styleId="119">
    <w:name w:val="CM9"/>
    <w:basedOn w:val="54"/>
    <w:next w:val="54"/>
    <w:qFormat/>
    <w:uiPriority w:val="99"/>
    <w:rPr>
      <w:rFonts w:cs="Times New Roman"/>
      <w:color w:val="auto"/>
    </w:rPr>
  </w:style>
  <w:style w:type="paragraph" w:customStyle="1" w:styleId="120">
    <w:name w:val="CM5"/>
    <w:basedOn w:val="54"/>
    <w:next w:val="54"/>
    <w:qFormat/>
    <w:uiPriority w:val="99"/>
    <w:rPr>
      <w:rFonts w:cs="Times New Roman"/>
      <w:color w:val="auto"/>
    </w:rPr>
  </w:style>
  <w:style w:type="paragraph" w:customStyle="1" w:styleId="121">
    <w:name w:val="CM25"/>
    <w:basedOn w:val="54"/>
    <w:next w:val="54"/>
    <w:qFormat/>
    <w:uiPriority w:val="99"/>
    <w:pPr>
      <w:spacing w:line="400" w:lineRule="atLeast"/>
    </w:pPr>
    <w:rPr>
      <w:rFonts w:cs="Times New Roman"/>
      <w:color w:val="auto"/>
    </w:rPr>
  </w:style>
  <w:style w:type="paragraph" w:customStyle="1" w:styleId="122">
    <w:name w:val="CM96"/>
    <w:basedOn w:val="54"/>
    <w:next w:val="54"/>
    <w:uiPriority w:val="99"/>
    <w:rPr>
      <w:rFonts w:cs="Times New Roman"/>
      <w:color w:val="auto"/>
    </w:rPr>
  </w:style>
  <w:style w:type="paragraph" w:customStyle="1" w:styleId="123">
    <w:name w:val="CM20"/>
    <w:basedOn w:val="54"/>
    <w:next w:val="54"/>
    <w:qFormat/>
    <w:uiPriority w:val="99"/>
    <w:pPr>
      <w:spacing w:line="400" w:lineRule="atLeast"/>
    </w:pPr>
    <w:rPr>
      <w:rFonts w:cs="Times New Roman"/>
      <w:color w:val="auto"/>
    </w:rPr>
  </w:style>
  <w:style w:type="paragraph" w:customStyle="1" w:styleId="124">
    <w:name w:val="CM95"/>
    <w:basedOn w:val="54"/>
    <w:next w:val="54"/>
    <w:qFormat/>
    <w:uiPriority w:val="99"/>
    <w:pPr>
      <w:spacing w:line="440" w:lineRule="atLeast"/>
    </w:pPr>
    <w:rPr>
      <w:rFonts w:cs="Times New Roman"/>
      <w:color w:val="auto"/>
    </w:rPr>
  </w:style>
  <w:style w:type="paragraph" w:customStyle="1" w:styleId="125">
    <w:name w:val="CM44"/>
    <w:basedOn w:val="54"/>
    <w:next w:val="54"/>
    <w:qFormat/>
    <w:uiPriority w:val="99"/>
    <w:rPr>
      <w:rFonts w:cs="Times New Roman"/>
      <w:color w:val="auto"/>
    </w:rPr>
  </w:style>
  <w:style w:type="paragraph" w:customStyle="1" w:styleId="126">
    <w:name w:val="CM114"/>
    <w:basedOn w:val="54"/>
    <w:next w:val="54"/>
    <w:uiPriority w:val="99"/>
    <w:rPr>
      <w:rFonts w:cs="Times New Roman"/>
      <w:color w:val="auto"/>
    </w:rPr>
  </w:style>
  <w:style w:type="paragraph" w:customStyle="1" w:styleId="127">
    <w:name w:val="CM90"/>
    <w:basedOn w:val="54"/>
    <w:next w:val="54"/>
    <w:qFormat/>
    <w:uiPriority w:val="99"/>
    <w:pPr>
      <w:spacing w:line="440" w:lineRule="atLeast"/>
    </w:pPr>
    <w:rPr>
      <w:rFonts w:cs="Times New Roman"/>
      <w:color w:val="auto"/>
    </w:rPr>
  </w:style>
  <w:style w:type="paragraph" w:customStyle="1" w:styleId="128">
    <w:name w:val="CM115"/>
    <w:basedOn w:val="54"/>
    <w:next w:val="54"/>
    <w:qFormat/>
    <w:uiPriority w:val="99"/>
    <w:rPr>
      <w:rFonts w:cs="Times New Roman"/>
      <w:color w:val="auto"/>
    </w:rPr>
  </w:style>
  <w:style w:type="paragraph" w:customStyle="1" w:styleId="129">
    <w:name w:val="CM32"/>
    <w:basedOn w:val="54"/>
    <w:next w:val="54"/>
    <w:qFormat/>
    <w:uiPriority w:val="99"/>
    <w:pPr>
      <w:spacing w:line="400" w:lineRule="atLeast"/>
    </w:pPr>
    <w:rPr>
      <w:rFonts w:cs="Times New Roman"/>
      <w:color w:val="auto"/>
    </w:rPr>
  </w:style>
  <w:style w:type="paragraph" w:customStyle="1" w:styleId="130">
    <w:name w:val="CM13"/>
    <w:basedOn w:val="54"/>
    <w:next w:val="54"/>
    <w:qFormat/>
    <w:uiPriority w:val="99"/>
    <w:rPr>
      <w:rFonts w:cs="Times New Roman"/>
      <w:color w:val="auto"/>
    </w:rPr>
  </w:style>
  <w:style w:type="paragraph" w:customStyle="1" w:styleId="131">
    <w:name w:val="CM29"/>
    <w:basedOn w:val="54"/>
    <w:next w:val="54"/>
    <w:qFormat/>
    <w:uiPriority w:val="99"/>
    <w:pPr>
      <w:spacing w:line="400" w:lineRule="atLeast"/>
    </w:pPr>
    <w:rPr>
      <w:rFonts w:cs="Times New Roman"/>
      <w:color w:val="auto"/>
    </w:rPr>
  </w:style>
  <w:style w:type="paragraph" w:customStyle="1" w:styleId="13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133">
    <w:name w:val="p0"/>
    <w:basedOn w:val="1"/>
    <w:qFormat/>
    <w:uiPriority w:val="99"/>
    <w:pPr>
      <w:widowControl/>
    </w:pPr>
    <w:rPr>
      <w:kern w:val="0"/>
      <w:szCs w:val="21"/>
    </w:rPr>
  </w:style>
  <w:style w:type="paragraph" w:customStyle="1" w:styleId="134">
    <w:name w:val="Char Char Char Char Char Char Char1"/>
    <w:basedOn w:val="14"/>
    <w:uiPriority w:val="0"/>
    <w:rPr>
      <w:rFonts w:ascii="Tahoma" w:hAnsi="Tahoma"/>
      <w:sz w:val="24"/>
    </w:rPr>
  </w:style>
  <w:style w:type="paragraph" w:customStyle="1" w:styleId="135">
    <w:name w:val="CM103"/>
    <w:basedOn w:val="54"/>
    <w:next w:val="54"/>
    <w:uiPriority w:val="99"/>
    <w:rPr>
      <w:rFonts w:cs="Times New Roman"/>
      <w:color w:val="auto"/>
    </w:rPr>
  </w:style>
  <w:style w:type="paragraph" w:customStyle="1" w:styleId="136">
    <w:name w:val="CM41"/>
    <w:basedOn w:val="54"/>
    <w:next w:val="54"/>
    <w:qFormat/>
    <w:uiPriority w:val="99"/>
    <w:pPr>
      <w:spacing w:line="400" w:lineRule="atLeast"/>
    </w:pPr>
    <w:rPr>
      <w:rFonts w:cs="Times New Roman"/>
      <w:color w:val="auto"/>
    </w:rPr>
  </w:style>
  <w:style w:type="paragraph" w:customStyle="1" w:styleId="137">
    <w:name w:val="样式 标题 3 + (中文) 黑体 小四 非加粗 段前: 7.8 磅 段后: 0 磅 行距: 固定值 20 磅"/>
    <w:basedOn w:val="6"/>
    <w:uiPriority w:val="0"/>
    <w:pPr>
      <w:spacing w:before="0" w:after="0" w:line="400" w:lineRule="exact"/>
    </w:pPr>
    <w:rPr>
      <w:rFonts w:eastAsia="黑体" w:cs="宋体"/>
      <w:b w:val="0"/>
      <w:bCs w:val="0"/>
      <w:sz w:val="24"/>
      <w:szCs w:val="20"/>
    </w:rPr>
  </w:style>
  <w:style w:type="paragraph" w:customStyle="1" w:styleId="138">
    <w:name w:val="CM62"/>
    <w:basedOn w:val="54"/>
    <w:next w:val="54"/>
    <w:qFormat/>
    <w:uiPriority w:val="99"/>
    <w:rPr>
      <w:rFonts w:cs="Times New Roman"/>
      <w:color w:val="auto"/>
    </w:rPr>
  </w:style>
  <w:style w:type="paragraph" w:customStyle="1" w:styleId="139">
    <w:name w:val="CM4"/>
    <w:basedOn w:val="54"/>
    <w:next w:val="54"/>
    <w:qFormat/>
    <w:uiPriority w:val="99"/>
    <w:rPr>
      <w:rFonts w:cs="Times New Roman"/>
      <w:color w:val="auto"/>
    </w:rPr>
  </w:style>
  <w:style w:type="paragraph" w:customStyle="1" w:styleId="140">
    <w:name w:val="CM83"/>
    <w:basedOn w:val="54"/>
    <w:next w:val="54"/>
    <w:qFormat/>
    <w:uiPriority w:val="99"/>
    <w:pPr>
      <w:spacing w:line="400" w:lineRule="atLeast"/>
    </w:pPr>
    <w:rPr>
      <w:rFonts w:cs="Times New Roman"/>
      <w:color w:val="auto"/>
    </w:rPr>
  </w:style>
  <w:style w:type="paragraph" w:customStyle="1" w:styleId="141">
    <w:name w:val="CM64"/>
    <w:basedOn w:val="54"/>
    <w:next w:val="54"/>
    <w:uiPriority w:val="99"/>
    <w:pPr>
      <w:spacing w:line="398" w:lineRule="atLeast"/>
    </w:pPr>
    <w:rPr>
      <w:rFonts w:cs="Times New Roman"/>
      <w:color w:val="auto"/>
    </w:rPr>
  </w:style>
  <w:style w:type="paragraph" w:customStyle="1" w:styleId="142">
    <w:name w:val="CM109"/>
    <w:basedOn w:val="54"/>
    <w:next w:val="54"/>
    <w:qFormat/>
    <w:uiPriority w:val="99"/>
    <w:rPr>
      <w:rFonts w:cs="Times New Roman"/>
      <w:color w:val="auto"/>
    </w:rPr>
  </w:style>
  <w:style w:type="paragraph" w:customStyle="1" w:styleId="143">
    <w:name w:val="CM8"/>
    <w:basedOn w:val="54"/>
    <w:next w:val="54"/>
    <w:uiPriority w:val="99"/>
    <w:pPr>
      <w:spacing w:line="318" w:lineRule="atLeast"/>
    </w:pPr>
    <w:rPr>
      <w:rFonts w:cs="Times New Roman"/>
      <w:color w:val="auto"/>
    </w:rPr>
  </w:style>
  <w:style w:type="paragraph" w:customStyle="1" w:styleId="144">
    <w:name w:val="1 Char"/>
    <w:basedOn w:val="1"/>
    <w:qFormat/>
    <w:uiPriority w:val="0"/>
    <w:pPr>
      <w:spacing w:line="360" w:lineRule="auto"/>
      <w:ind w:firstLine="200" w:firstLineChars="200"/>
    </w:pPr>
    <w:rPr>
      <w:rFonts w:ascii="宋体" w:hAnsi="宋体" w:cs="宋体"/>
      <w:sz w:val="24"/>
      <w:szCs w:val="24"/>
    </w:rPr>
  </w:style>
  <w:style w:type="paragraph" w:customStyle="1" w:styleId="145">
    <w:name w:val="CM46"/>
    <w:basedOn w:val="54"/>
    <w:next w:val="54"/>
    <w:qFormat/>
    <w:uiPriority w:val="99"/>
    <w:pPr>
      <w:spacing w:line="440" w:lineRule="atLeast"/>
    </w:pPr>
    <w:rPr>
      <w:rFonts w:cs="Times New Roman"/>
      <w:color w:val="auto"/>
    </w:rPr>
  </w:style>
  <w:style w:type="paragraph" w:customStyle="1" w:styleId="146">
    <w:name w:val="其他"/>
    <w:basedOn w:val="1"/>
    <w:link w:val="182"/>
    <w:qFormat/>
    <w:uiPriority w:val="0"/>
    <w:pPr>
      <w:shd w:val="clear" w:color="auto" w:fill="FFFFFF"/>
      <w:spacing w:line="430" w:lineRule="auto"/>
      <w:ind w:firstLine="400"/>
      <w:jc w:val="distribute"/>
    </w:pPr>
    <w:rPr>
      <w:rFonts w:ascii="宋体" w:hAnsi="宋体" w:cs="宋体"/>
      <w:kern w:val="0"/>
      <w:sz w:val="20"/>
      <w:szCs w:val="20"/>
      <w:lang w:val="zh-CN" w:bidi="zh-CN"/>
    </w:rPr>
  </w:style>
  <w:style w:type="paragraph" w:customStyle="1" w:styleId="147">
    <w:name w:val="CM92"/>
    <w:basedOn w:val="54"/>
    <w:next w:val="54"/>
    <w:qFormat/>
    <w:uiPriority w:val="99"/>
    <w:pPr>
      <w:spacing w:line="443" w:lineRule="atLeast"/>
    </w:pPr>
    <w:rPr>
      <w:rFonts w:cs="Times New Roman"/>
      <w:color w:val="auto"/>
    </w:rPr>
  </w:style>
  <w:style w:type="character" w:customStyle="1" w:styleId="148">
    <w:name w:val="批注框文本 Char"/>
    <w:link w:val="26"/>
    <w:semiHidden/>
    <w:qFormat/>
    <w:uiPriority w:val="99"/>
    <w:rPr>
      <w:sz w:val="18"/>
      <w:szCs w:val="18"/>
    </w:rPr>
  </w:style>
  <w:style w:type="character" w:customStyle="1" w:styleId="149">
    <w:name w:val="标题 6 Char"/>
    <w:link w:val="9"/>
    <w:uiPriority w:val="9"/>
    <w:rPr>
      <w:rFonts w:ascii="Cambria" w:hAnsi="Cambria" w:eastAsia="宋体"/>
      <w:bCs/>
      <w:kern w:val="2"/>
      <w:sz w:val="21"/>
      <w:szCs w:val="24"/>
      <w:lang w:val="en-US" w:eastAsia="zh-CN" w:bidi="ar-SA"/>
    </w:rPr>
  </w:style>
  <w:style w:type="character" w:customStyle="1" w:styleId="150">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51">
    <w:name w:val="正文文本 (7)_"/>
    <w:link w:val="92"/>
    <w:qFormat/>
    <w:uiPriority w:val="0"/>
    <w:rPr>
      <w:rFonts w:ascii="宋体" w:hAnsi="宋体" w:cs="宋体"/>
      <w:spacing w:val="10"/>
      <w:sz w:val="22"/>
      <w:szCs w:val="22"/>
      <w:shd w:val="clear" w:color="auto" w:fill="FFFFFF"/>
    </w:rPr>
  </w:style>
  <w:style w:type="character" w:customStyle="1" w:styleId="152">
    <w:name w:val="正文首行缩进 Char"/>
    <w:link w:val="42"/>
    <w:semiHidden/>
    <w:qFormat/>
    <w:uiPriority w:val="99"/>
    <w:rPr>
      <w:rFonts w:ascii="Times New Roman" w:hAnsi="Times New Roman"/>
      <w:kern w:val="2"/>
      <w:sz w:val="21"/>
      <w:szCs w:val="22"/>
    </w:rPr>
  </w:style>
  <w:style w:type="character" w:customStyle="1" w:styleId="153">
    <w:name w:val="正文首行缩进 字符"/>
    <w:qFormat/>
    <w:uiPriority w:val="0"/>
    <w:rPr>
      <w:rFonts w:ascii="黑体" w:hAnsi="仿宋_GB2312" w:eastAsia="宋体"/>
      <w:kern w:val="2"/>
      <w:sz w:val="21"/>
      <w:szCs w:val="24"/>
      <w:lang w:val="en-US" w:eastAsia="zh-CN" w:bidi="ar-SA"/>
    </w:rPr>
  </w:style>
  <w:style w:type="character" w:customStyle="1" w:styleId="154">
    <w:name w:val="标题 3 Char1"/>
    <w:link w:val="6"/>
    <w:qFormat/>
    <w:uiPriority w:val="9"/>
    <w:rPr>
      <w:b/>
      <w:bCs/>
      <w:sz w:val="32"/>
      <w:szCs w:val="32"/>
    </w:rPr>
  </w:style>
  <w:style w:type="character" w:customStyle="1" w:styleId="155">
    <w:name w:val="_Style 153"/>
    <w:unhideWhenUsed/>
    <w:qFormat/>
    <w:uiPriority w:val="99"/>
    <w:rPr>
      <w:color w:val="605E5C"/>
      <w:shd w:val="clear" w:color="auto" w:fill="E1DFDD"/>
    </w:rPr>
  </w:style>
  <w:style w:type="character" w:customStyle="1" w:styleId="156">
    <w:name w:val="脚注文本 Char"/>
    <w:link w:val="32"/>
    <w:qFormat/>
    <w:uiPriority w:val="99"/>
    <w:rPr>
      <w:sz w:val="18"/>
      <w:szCs w:val="18"/>
    </w:rPr>
  </w:style>
  <w:style w:type="character" w:customStyle="1" w:styleId="157">
    <w:name w:val="正文文本 (7) + 间距 0 pt Exact"/>
    <w:uiPriority w:val="0"/>
    <w:rPr>
      <w:rFonts w:ascii="宋体" w:hAnsi="宋体" w:eastAsia="宋体" w:cs="宋体"/>
      <w:color w:val="000000"/>
      <w:spacing w:val="0"/>
      <w:w w:val="100"/>
      <w:position w:val="0"/>
      <w:sz w:val="22"/>
      <w:szCs w:val="22"/>
      <w:u w:val="none"/>
      <w:lang w:val="zh-TW" w:eastAsia="zh-TW" w:bidi="zh-TW"/>
    </w:rPr>
  </w:style>
  <w:style w:type="character" w:customStyle="1" w:styleId="158">
    <w:name w:val="副标题 Char"/>
    <w:link w:val="31"/>
    <w:uiPriority w:val="11"/>
    <w:rPr>
      <w:rFonts w:ascii="Cambria" w:hAnsi="Cambria" w:eastAsia="宋体" w:cs="Times New Roman"/>
      <w:b/>
      <w:bCs/>
      <w:kern w:val="28"/>
      <w:sz w:val="32"/>
      <w:szCs w:val="32"/>
    </w:rPr>
  </w:style>
  <w:style w:type="character" w:customStyle="1" w:styleId="159">
    <w:name w:val="MSG_EN_FONT_STYLE_NAME_TEMPLATE_ROLE_NUMBER MSG_EN_FONT_STYLE_NAME_BY_ROLE_TEXT 13_"/>
    <w:link w:val="100"/>
    <w:qFormat/>
    <w:uiPriority w:val="0"/>
    <w:rPr>
      <w:rFonts w:ascii="PMingLiU" w:hAnsi="PMingLiU" w:eastAsia="PMingLiU" w:cs="PMingLiU"/>
      <w:shd w:val="clear" w:color="auto" w:fill="FFFFFF"/>
    </w:rPr>
  </w:style>
  <w:style w:type="character" w:customStyle="1" w:styleId="160">
    <w:name w:val="标题 1 Char"/>
    <w:link w:val="3"/>
    <w:uiPriority w:val="9"/>
    <w:rPr>
      <w:b/>
      <w:bCs/>
      <w:kern w:val="44"/>
      <w:sz w:val="44"/>
      <w:szCs w:val="44"/>
    </w:rPr>
  </w:style>
  <w:style w:type="character" w:customStyle="1" w:styleId="161">
    <w:name w:val="页脚 Char"/>
    <w:link w:val="27"/>
    <w:uiPriority w:val="99"/>
    <w:rPr>
      <w:sz w:val="18"/>
      <w:szCs w:val="18"/>
    </w:rPr>
  </w:style>
  <w:style w:type="character" w:customStyle="1" w:styleId="162">
    <w:name w:val="MSG_EN_FONT_STYLE_NAME_TEMPLATE_ROLE_NUMBER MSG_EN_FONT_STYLE_NAME_BY_ROLE_TEXT 13 + MSG_EN_FONT_STYLE_MODIFER_NAME Courier New"/>
    <w:qFormat/>
    <w:uiPriority w:val="0"/>
    <w:rPr>
      <w:rFonts w:ascii="Courier New" w:hAnsi="Courier New" w:eastAsia="Courier New" w:cs="Courier New"/>
      <w:b/>
      <w:bCs/>
      <w:color w:val="000000"/>
      <w:spacing w:val="0"/>
      <w:w w:val="100"/>
      <w:position w:val="0"/>
      <w:sz w:val="26"/>
      <w:szCs w:val="26"/>
      <w:u w:val="none"/>
      <w:shd w:val="clear" w:color="auto" w:fill="FFFFFF"/>
      <w:lang w:val="en-US" w:eastAsia="en-US" w:bidi="en-US"/>
    </w:rPr>
  </w:style>
  <w:style w:type="character" w:customStyle="1" w:styleId="163">
    <w:name w:val="Char Char10"/>
    <w:qFormat/>
    <w:uiPriority w:val="0"/>
    <w:rPr>
      <w:rFonts w:ascii="Calibri" w:hAnsi="Calibri" w:eastAsia="宋体"/>
      <w:b/>
      <w:bCs/>
      <w:kern w:val="44"/>
      <w:sz w:val="44"/>
      <w:szCs w:val="44"/>
      <w:lang w:val="en-US" w:eastAsia="zh-CN" w:bidi="ar-SA"/>
    </w:rPr>
  </w:style>
  <w:style w:type="character" w:customStyle="1" w:styleId="164">
    <w:name w:val="标题 3 Char"/>
    <w:qFormat/>
    <w:uiPriority w:val="9"/>
    <w:rPr>
      <w:rFonts w:ascii="Times New Roman" w:hAnsi="Times New Roman" w:eastAsia="宋体" w:cs="Times New Roman"/>
      <w:b/>
      <w:bCs/>
      <w:sz w:val="24"/>
      <w:szCs w:val="32"/>
    </w:rPr>
  </w:style>
  <w:style w:type="character" w:customStyle="1" w:styleId="165">
    <w:name w:val="正文文本 (2) + 11.5 pt"/>
    <w:qFormat/>
    <w:uiPriority w:val="0"/>
    <w:rPr>
      <w:rFonts w:ascii="宋体" w:hAnsi="宋体" w:eastAsia="宋体" w:cs="宋体"/>
      <w:b/>
      <w:bCs/>
      <w:color w:val="000000"/>
      <w:spacing w:val="0"/>
      <w:w w:val="100"/>
      <w:position w:val="0"/>
      <w:sz w:val="23"/>
      <w:szCs w:val="23"/>
      <w:u w:val="none"/>
      <w:shd w:val="clear" w:color="auto" w:fill="FFFFFF"/>
      <w:lang w:val="zh-TW" w:eastAsia="zh-TW" w:bidi="zh-TW"/>
    </w:rPr>
  </w:style>
  <w:style w:type="character" w:customStyle="1" w:styleId="166">
    <w:name w:val="标题 5 Char"/>
    <w:link w:val="8"/>
    <w:uiPriority w:val="0"/>
    <w:rPr>
      <w:rFonts w:ascii="Calibri" w:hAnsi="Calibri" w:eastAsia="宋体"/>
      <w:bCs/>
      <w:kern w:val="2"/>
      <w:sz w:val="21"/>
      <w:szCs w:val="28"/>
      <w:lang w:val="en-US" w:eastAsia="zh-CN" w:bidi="ar-SA"/>
    </w:rPr>
  </w:style>
  <w:style w:type="character" w:customStyle="1" w:styleId="167">
    <w:name w:val="Char2 Char Char"/>
    <w:semiHidden/>
    <w:uiPriority w:val="0"/>
    <w:rPr>
      <w:rFonts w:eastAsia="宋体"/>
      <w:kern w:val="2"/>
      <w:sz w:val="18"/>
      <w:szCs w:val="18"/>
      <w:lang w:val="en-US" w:eastAsia="zh-CN" w:bidi="ar-SA"/>
    </w:rPr>
  </w:style>
  <w:style w:type="character" w:customStyle="1" w:styleId="168">
    <w:name w:val="Char Char14"/>
    <w:locked/>
    <w:uiPriority w:val="0"/>
    <w:rPr>
      <w:rFonts w:ascii="Calibri" w:hAnsi="Calibri" w:eastAsia="宋体" w:cs="Calibri"/>
      <w:kern w:val="2"/>
      <w:sz w:val="18"/>
      <w:szCs w:val="18"/>
      <w:lang w:val="en-US" w:eastAsia="zh-CN" w:bidi="ar-SA"/>
    </w:rPr>
  </w:style>
  <w:style w:type="character" w:customStyle="1" w:styleId="169">
    <w:name w:val="正文文本缩进 3 Char"/>
    <w:link w:val="34"/>
    <w:uiPriority w:val="99"/>
    <w:rPr>
      <w:rFonts w:ascii="Times New Roman" w:hAnsi="Times New Roman"/>
      <w:kern w:val="2"/>
      <w:sz w:val="21"/>
      <w:szCs w:val="24"/>
    </w:rPr>
  </w:style>
  <w:style w:type="character" w:customStyle="1" w:styleId="170">
    <w:name w:val="正文文本 (2)_"/>
    <w:link w:val="69"/>
    <w:uiPriority w:val="0"/>
    <w:rPr>
      <w:rFonts w:ascii="宋体" w:hAnsi="宋体" w:cs="宋体"/>
      <w:sz w:val="22"/>
      <w:szCs w:val="22"/>
      <w:shd w:val="clear" w:color="auto" w:fill="FFFFFF"/>
    </w:rPr>
  </w:style>
  <w:style w:type="character" w:customStyle="1" w:styleId="171">
    <w:name w:val="页眉 Char"/>
    <w:link w:val="28"/>
    <w:uiPriority w:val="0"/>
    <w:rPr>
      <w:sz w:val="18"/>
      <w:szCs w:val="18"/>
    </w:rPr>
  </w:style>
  <w:style w:type="character" w:customStyle="1" w:styleId="172">
    <w:name w:val="正文文本 (2) + Sylfaen"/>
    <w:uiPriority w:val="0"/>
    <w:rPr>
      <w:rFonts w:ascii="Sylfaen" w:hAnsi="Sylfaen" w:eastAsia="Sylfaen" w:cs="Sylfaen"/>
      <w:color w:val="000000"/>
      <w:spacing w:val="0"/>
      <w:w w:val="100"/>
      <w:position w:val="0"/>
      <w:sz w:val="22"/>
      <w:szCs w:val="22"/>
      <w:u w:val="none"/>
      <w:lang w:val="en-US" w:eastAsia="en-US" w:bidi="en-US"/>
    </w:rPr>
  </w:style>
  <w:style w:type="character" w:customStyle="1" w:styleId="173">
    <w:name w:val="Char2 Char Char1"/>
    <w:uiPriority w:val="0"/>
    <w:rPr>
      <w:rFonts w:eastAsia="宋体"/>
      <w:sz w:val="21"/>
      <w:lang w:val="en-US" w:eastAsia="zh-CN" w:bidi="ar-SA"/>
    </w:rPr>
  </w:style>
  <w:style w:type="character" w:customStyle="1" w:styleId="174">
    <w:name w:val="MSG_EN_FONT_STYLE_NAME_TEMPLATE_ROLE_NUMBER MSG_EN_FONT_STYLE_NAME_BY_ROLE_TEXT 13 + MSG_EN_FONT_STYLE_MODIFER_SIZE 8.5"/>
    <w:qFormat/>
    <w:uiPriority w:val="0"/>
    <w:rPr>
      <w:rFonts w:ascii="PMingLiU" w:hAnsi="PMingLiU" w:eastAsia="PMingLiU" w:cs="PMingLiU"/>
      <w:color w:val="000000"/>
      <w:spacing w:val="0"/>
      <w:w w:val="100"/>
      <w:position w:val="0"/>
      <w:sz w:val="17"/>
      <w:szCs w:val="17"/>
      <w:u w:val="none"/>
      <w:shd w:val="clear" w:color="auto" w:fill="FFFFFF"/>
      <w:lang w:val="zh-CN" w:eastAsia="zh-CN" w:bidi="zh-CN"/>
    </w:rPr>
  </w:style>
  <w:style w:type="character" w:customStyle="1" w:styleId="175">
    <w:name w:val="正文文本 (2) + Lucida Sans Unicode"/>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76">
    <w:name w:val="标题 2 Char"/>
    <w:link w:val="4"/>
    <w:uiPriority w:val="9"/>
    <w:rPr>
      <w:rFonts w:ascii="Cambria" w:hAnsi="Cambria" w:eastAsia="宋体" w:cs="Times New Roman"/>
      <w:b/>
      <w:bCs/>
      <w:sz w:val="32"/>
      <w:szCs w:val="32"/>
    </w:rPr>
  </w:style>
  <w:style w:type="character" w:customStyle="1" w:styleId="177">
    <w:name w:val="正文文本 (2) + 间距 4 pt"/>
    <w:uiPriority w:val="0"/>
    <w:rPr>
      <w:rFonts w:ascii="宋体" w:hAnsi="宋体" w:eastAsia="宋体" w:cs="宋体"/>
      <w:color w:val="000000"/>
      <w:spacing w:val="80"/>
      <w:w w:val="100"/>
      <w:position w:val="0"/>
      <w:sz w:val="22"/>
      <w:szCs w:val="22"/>
      <w:u w:val="none"/>
      <w:shd w:val="clear" w:color="auto" w:fill="FFFFFF"/>
      <w:lang w:val="zh-TW" w:eastAsia="zh-TW" w:bidi="zh-TW"/>
    </w:rPr>
  </w:style>
  <w:style w:type="character" w:customStyle="1" w:styleId="178">
    <w:name w:val="正文文本 Char"/>
    <w:link w:val="17"/>
    <w:uiPriority w:val="0"/>
    <w:rPr>
      <w:rFonts w:ascii="Times New Roman" w:hAnsi="Times New Roman"/>
      <w:kern w:val="2"/>
      <w:sz w:val="28"/>
      <w:szCs w:val="24"/>
    </w:rPr>
  </w:style>
  <w:style w:type="character" w:customStyle="1" w:styleId="179">
    <w:name w:val="标题 4 Char"/>
    <w:link w:val="7"/>
    <w:uiPriority w:val="9"/>
    <w:rPr>
      <w:rFonts w:ascii="Cambria" w:hAnsi="Cambria" w:eastAsia="黑体"/>
      <w:bCs/>
      <w:kern w:val="2"/>
      <w:sz w:val="24"/>
      <w:szCs w:val="28"/>
    </w:rPr>
  </w:style>
  <w:style w:type="character" w:customStyle="1" w:styleId="180">
    <w:name w:val="纯文本 Char1"/>
    <w:locked/>
    <w:uiPriority w:val="0"/>
    <w:rPr>
      <w:rFonts w:ascii="宋体" w:hAnsi="Courier New" w:eastAsia="宋体" w:cs="宋体"/>
      <w:szCs w:val="21"/>
    </w:rPr>
  </w:style>
  <w:style w:type="character" w:customStyle="1" w:styleId="181">
    <w:name w:val="Char Char1"/>
    <w:semiHidden/>
    <w:locked/>
    <w:uiPriority w:val="0"/>
    <w:rPr>
      <w:rFonts w:ascii="Calibri" w:hAnsi="Calibri" w:eastAsia="宋体"/>
      <w:kern w:val="2"/>
      <w:sz w:val="18"/>
      <w:szCs w:val="18"/>
      <w:lang w:val="en-US" w:eastAsia="zh-CN" w:bidi="ar-SA"/>
    </w:rPr>
  </w:style>
  <w:style w:type="character" w:customStyle="1" w:styleId="182">
    <w:name w:val="其他_"/>
    <w:link w:val="146"/>
    <w:qFormat/>
    <w:uiPriority w:val="0"/>
    <w:rPr>
      <w:rFonts w:ascii="宋体" w:hAnsi="宋体" w:cs="宋体"/>
      <w:shd w:val="clear" w:color="auto" w:fill="FFFFFF"/>
      <w:lang w:val="zh-CN" w:bidi="zh-CN"/>
    </w:rPr>
  </w:style>
  <w:style w:type="table" w:customStyle="1" w:styleId="183">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84">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85">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1043</Words>
  <Characters>5949</Characters>
  <Lines>49</Lines>
  <Paragraphs>13</Paragraphs>
  <TotalTime>3</TotalTime>
  <ScaleCrop>false</ScaleCrop>
  <LinksUpToDate>false</LinksUpToDate>
  <CharactersWithSpaces>6979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2020-04-13T05:09:00Z</dcterms:created>
  <dc:creator>1</dc:creator>
  <cp:lastModifiedBy>Administrator</cp:lastModifiedBy>
  <cp:lastPrinted>2019-07-15T23:28:00Z</cp:lastPrinted>
  <dcterms:modified xsi:type="dcterms:W3CDTF">2020-05-27T01:42:19Z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