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jc w:val="center"/>
        <w:rPr>
          <w:rFonts w:hint="eastAsia" w:ascii="宋体" w:hAnsi="宋体" w:eastAsia="宋体" w:cs="黑体"/>
          <w:b/>
          <w:bCs/>
          <w:color w:val="auto"/>
          <w:sz w:val="21"/>
          <w:szCs w:val="21"/>
          <w:lang w:eastAsia="zh-CN"/>
        </w:rPr>
      </w:pPr>
      <w:bookmarkStart w:id="0" w:name="OLE_LINK3"/>
      <w:bookmarkStart w:id="1" w:name="_Toc197967117"/>
      <w:bookmarkStart w:id="2" w:name="_Toc197951587"/>
      <w:bookmarkStart w:id="3" w:name="_Toc197950802"/>
      <w:bookmarkStart w:id="4" w:name="_Toc197960544"/>
      <w:bookmarkStart w:id="5" w:name="_Toc197965596"/>
      <w:bookmarkStart w:id="6" w:name="_Toc197950681"/>
      <w:bookmarkStart w:id="7" w:name="_Toc197951555"/>
      <w:bookmarkStart w:id="8" w:name="_Toc197967265"/>
      <w:bookmarkStart w:id="9" w:name="_Toc197960492"/>
      <w:bookmarkStart w:id="28" w:name="_GoBack"/>
      <w:bookmarkEnd w:id="28"/>
      <w:r>
        <w:rPr>
          <w:rFonts w:hint="eastAsia" w:ascii="宋体" w:hAnsi="宋体" w:eastAsia="宋体" w:cs="宋体"/>
          <w:b/>
          <w:bCs/>
          <w:color w:val="auto"/>
          <w:kern w:val="0"/>
          <w:sz w:val="21"/>
          <w:szCs w:val="21"/>
          <w:lang w:eastAsia="zh-CN"/>
        </w:rPr>
        <w:t>吉林省自然村维修工程设计项目</w:t>
      </w:r>
    </w:p>
    <w:p>
      <w:pPr>
        <w:spacing w:after="240" w:afterLines="100" w:line="360" w:lineRule="atLeast"/>
        <w:jc w:val="center"/>
        <w:rPr>
          <w:rFonts w:hint="eastAsia"/>
          <w:b/>
          <w:bCs/>
          <w:color w:val="auto"/>
          <w:sz w:val="21"/>
          <w:szCs w:val="21"/>
        </w:rPr>
      </w:pPr>
      <w:r>
        <w:rPr>
          <w:rFonts w:hint="eastAsia" w:ascii="宋体" w:hAnsi="宋体" w:cs="黑体"/>
          <w:b/>
          <w:bCs/>
          <w:color w:val="auto"/>
          <w:kern w:val="0"/>
          <w:sz w:val="21"/>
          <w:szCs w:val="21"/>
        </w:rPr>
        <w:t>竞争性磋商</w:t>
      </w:r>
      <w:r>
        <w:rPr>
          <w:rFonts w:hint="eastAsia" w:ascii="宋体" w:hAnsi="宋体" w:cs="黑体"/>
          <w:b/>
          <w:bCs/>
          <w:color w:val="auto"/>
          <w:sz w:val="21"/>
          <w:szCs w:val="21"/>
        </w:rPr>
        <w:t>文件关键内容信息公开</w:t>
      </w:r>
    </w:p>
    <w:bookmarkEnd w:id="0"/>
    <w:p>
      <w:pPr>
        <w:pageBreakBefore w:val="0"/>
        <w:widowControl w:val="0"/>
        <w:tabs>
          <w:tab w:val="left" w:pos="709"/>
        </w:tabs>
        <w:kinsoku/>
        <w:wordWrap/>
        <w:overflowPunct/>
        <w:topLinePunct w:val="0"/>
        <w:autoSpaceDE w:val="0"/>
        <w:autoSpaceDN w:val="0"/>
        <w:bidi w:val="0"/>
        <w:adjustRightInd w:val="0"/>
        <w:snapToGrid w:val="0"/>
        <w:spacing w:line="360" w:lineRule="exact"/>
        <w:ind w:left="0" w:leftChars="0" w:firstLine="0" w:firstLineChars="0"/>
        <w:textAlignment w:val="auto"/>
        <w:rPr>
          <w:rFonts w:hint="eastAsia" w:ascii="宋体" w:hAnsi="宋体" w:eastAsia="宋体" w:cs="宋体"/>
          <w:b w:val="0"/>
          <w:bCs w:val="0"/>
          <w:color w:val="auto"/>
          <w:kern w:val="0"/>
          <w:sz w:val="21"/>
          <w:szCs w:val="21"/>
        </w:rPr>
      </w:pPr>
      <w:bookmarkStart w:id="10" w:name="_Toc12959559"/>
      <w:r>
        <w:rPr>
          <w:rFonts w:hint="eastAsia" w:ascii="宋体" w:hAnsi="宋体" w:eastAsia="宋体" w:cs="宋体"/>
          <w:b w:val="0"/>
          <w:bCs w:val="0"/>
          <w:color w:val="auto"/>
          <w:sz w:val="21"/>
          <w:szCs w:val="21"/>
        </w:rPr>
        <w:t>一、项目概况</w:t>
      </w:r>
    </w:p>
    <w:p>
      <w:pPr>
        <w:pageBreakBefore w:val="0"/>
        <w:widowControl w:val="0"/>
        <w:tabs>
          <w:tab w:val="left" w:pos="709"/>
        </w:tabs>
        <w:kinsoku/>
        <w:wordWrap/>
        <w:overflowPunct/>
        <w:topLinePunct w:val="0"/>
        <w:autoSpaceDE w:val="0"/>
        <w:autoSpaceDN w:val="0"/>
        <w:bidi w:val="0"/>
        <w:adjustRightInd w:val="0"/>
        <w:snapToGrid w:val="0"/>
        <w:spacing w:line="360" w:lineRule="exact"/>
        <w:ind w:left="0" w:leftChars="0" w:firstLine="0" w:firstLineChars="0"/>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rPr>
        <w:t>1、采购项目名称：</w:t>
      </w:r>
      <w:r>
        <w:rPr>
          <w:rFonts w:hint="eastAsia" w:ascii="宋体" w:hAnsi="宋体" w:eastAsia="宋体" w:cs="宋体"/>
          <w:b w:val="0"/>
          <w:bCs w:val="0"/>
          <w:color w:val="auto"/>
          <w:kern w:val="0"/>
          <w:sz w:val="21"/>
          <w:szCs w:val="21"/>
          <w:lang w:eastAsia="zh-CN"/>
        </w:rPr>
        <w:t>吉林省自然村维修工程设计项目</w:t>
      </w:r>
    </w:p>
    <w:p>
      <w:pPr>
        <w:pageBreakBefore w:val="0"/>
        <w:widowControl w:val="0"/>
        <w:tabs>
          <w:tab w:val="left" w:pos="709"/>
        </w:tabs>
        <w:kinsoku/>
        <w:wordWrap/>
        <w:overflowPunct/>
        <w:topLinePunct w:val="0"/>
        <w:autoSpaceDE w:val="0"/>
        <w:autoSpaceDN w:val="0"/>
        <w:bidi w:val="0"/>
        <w:adjustRightInd w:val="0"/>
        <w:snapToGrid w:val="0"/>
        <w:spacing w:line="360" w:lineRule="exact"/>
        <w:ind w:left="0" w:leftChars="0" w:firstLine="0" w:firstLineChars="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rPr>
        <w:t>2、</w:t>
      </w:r>
      <w:r>
        <w:rPr>
          <w:rFonts w:hint="eastAsia" w:ascii="宋体" w:hAnsi="宋体" w:eastAsia="宋体" w:cs="宋体"/>
          <w:b w:val="0"/>
          <w:bCs w:val="0"/>
          <w:color w:val="auto"/>
          <w:sz w:val="21"/>
          <w:szCs w:val="21"/>
        </w:rPr>
        <w:t>工程建设规模及主要内容</w:t>
      </w:r>
      <w:r>
        <w:rPr>
          <w:rFonts w:hint="eastAsia" w:ascii="宋体" w:hAnsi="宋体" w:eastAsia="宋体" w:cs="宋体"/>
          <w:b w:val="0"/>
          <w:bCs w:val="0"/>
          <w:color w:val="auto"/>
          <w:sz w:val="21"/>
          <w:szCs w:val="21"/>
          <w:lang w:val="zh-CN"/>
        </w:rPr>
        <w:t>：</w:t>
      </w:r>
      <w:r>
        <w:rPr>
          <w:rFonts w:hint="eastAsia" w:ascii="宋体" w:hAnsi="宋体" w:eastAsia="宋体" w:cs="宋体"/>
          <w:b w:val="0"/>
          <w:bCs w:val="0"/>
          <w:color w:val="auto"/>
          <w:sz w:val="21"/>
          <w:szCs w:val="21"/>
          <w:shd w:val="clear" w:color="auto" w:fill="FFFFFF"/>
        </w:rPr>
        <w:t>根据现场实际勘察，按</w:t>
      </w:r>
      <w:r>
        <w:rPr>
          <w:rFonts w:hint="eastAsia" w:ascii="宋体" w:hAnsi="宋体" w:eastAsia="宋体" w:cs="宋体"/>
          <w:b w:val="0"/>
          <w:bCs w:val="0"/>
          <w:color w:val="auto"/>
          <w:sz w:val="21"/>
          <w:szCs w:val="21"/>
          <w:highlight w:val="none"/>
          <w:shd w:val="clear" w:color="auto" w:fill="FFFFFF"/>
        </w:rPr>
        <w:t>照“防风险、除隐患、遏事故”，确保集团资产保值增值的工作思路，本着“能修则修，物尽其用”的原则，针对综合楼、餐饮楼、 及部分园区道路</w:t>
      </w:r>
      <w:r>
        <w:rPr>
          <w:rFonts w:hint="eastAsia" w:ascii="宋体" w:hAnsi="宋体" w:eastAsia="宋体" w:cs="宋体"/>
          <w:b w:val="0"/>
          <w:bCs w:val="0"/>
          <w:color w:val="auto"/>
          <w:sz w:val="21"/>
          <w:szCs w:val="21"/>
          <w:highlight w:val="none"/>
          <w:shd w:val="clear" w:color="auto" w:fill="FFFFFF"/>
          <w:lang w:val="en-US" w:eastAsia="zh-CN"/>
        </w:rPr>
        <w:t>等附属设施</w:t>
      </w:r>
      <w:r>
        <w:rPr>
          <w:rFonts w:hint="eastAsia" w:ascii="宋体" w:hAnsi="宋体" w:eastAsia="宋体" w:cs="宋体"/>
          <w:b w:val="0"/>
          <w:bCs w:val="0"/>
          <w:color w:val="auto"/>
          <w:sz w:val="21"/>
          <w:szCs w:val="21"/>
          <w:highlight w:val="none"/>
          <w:shd w:val="clear" w:color="auto" w:fill="FFFFFF"/>
        </w:rPr>
        <w:t>进行维修，维修面积约15000平方米，实现约400人的接待功能</w:t>
      </w:r>
      <w:r>
        <w:rPr>
          <w:rFonts w:hint="eastAsia" w:ascii="宋体" w:hAnsi="宋体" w:eastAsia="宋体" w:cs="宋体"/>
          <w:b w:val="0"/>
          <w:bCs w:val="0"/>
          <w:color w:val="auto"/>
          <w:sz w:val="21"/>
          <w:szCs w:val="21"/>
          <w:highlight w:val="none"/>
        </w:rPr>
        <w:t>。</w:t>
      </w:r>
    </w:p>
    <w:p>
      <w:pPr>
        <w:pageBreakBefore w:val="0"/>
        <w:widowControl w:val="0"/>
        <w:tabs>
          <w:tab w:val="left" w:pos="709"/>
        </w:tabs>
        <w:kinsoku/>
        <w:wordWrap/>
        <w:overflowPunct/>
        <w:topLinePunct w:val="0"/>
        <w:autoSpaceDE w:val="0"/>
        <w:autoSpaceDN w:val="0"/>
        <w:bidi w:val="0"/>
        <w:adjustRightInd w:val="0"/>
        <w:snapToGrid w:val="0"/>
        <w:spacing w:line="360" w:lineRule="exact"/>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3、</w:t>
      </w:r>
      <w:r>
        <w:rPr>
          <w:rFonts w:hint="eastAsia" w:ascii="宋体" w:hAnsi="宋体" w:eastAsia="宋体" w:cs="宋体"/>
          <w:b w:val="0"/>
          <w:bCs w:val="0"/>
          <w:color w:val="auto"/>
          <w:sz w:val="21"/>
          <w:szCs w:val="21"/>
          <w:highlight w:val="none"/>
          <w:lang w:eastAsia="zh-CN"/>
        </w:rPr>
        <w:t>采购</w:t>
      </w:r>
      <w:r>
        <w:rPr>
          <w:rFonts w:hint="eastAsia" w:ascii="宋体" w:hAnsi="宋体" w:eastAsia="宋体" w:cs="宋体"/>
          <w:b w:val="0"/>
          <w:bCs w:val="0"/>
          <w:color w:val="auto"/>
          <w:sz w:val="21"/>
          <w:szCs w:val="21"/>
          <w:highlight w:val="none"/>
        </w:rPr>
        <w:t>范围：吉林省自然村维修工程</w:t>
      </w:r>
      <w:r>
        <w:rPr>
          <w:rFonts w:hint="eastAsia" w:ascii="宋体" w:hAnsi="宋体" w:eastAsia="宋体" w:cs="宋体"/>
          <w:b w:val="0"/>
          <w:bCs w:val="0"/>
          <w:color w:val="auto"/>
          <w:sz w:val="21"/>
          <w:szCs w:val="21"/>
          <w:highlight w:val="none"/>
          <w:lang w:val="en-US" w:eastAsia="zh-CN"/>
        </w:rPr>
        <w:t>施工图设计、设计预算</w:t>
      </w:r>
      <w:r>
        <w:rPr>
          <w:rFonts w:hint="eastAsia" w:ascii="宋体" w:hAnsi="宋体" w:eastAsia="宋体" w:cs="宋体"/>
          <w:b w:val="0"/>
          <w:bCs w:val="0"/>
          <w:color w:val="auto"/>
          <w:sz w:val="21"/>
          <w:szCs w:val="21"/>
          <w:highlight w:val="none"/>
        </w:rPr>
        <w:t>、施工技术要求、设计变更、后续服务等工作</w:t>
      </w:r>
      <w:r>
        <w:rPr>
          <w:rFonts w:hint="eastAsia" w:ascii="宋体" w:hAnsi="宋体" w:eastAsia="宋体" w:cs="宋体"/>
          <w:b w:val="0"/>
          <w:bCs w:val="0"/>
          <w:color w:val="auto"/>
          <w:sz w:val="21"/>
          <w:szCs w:val="21"/>
          <w:highlight w:val="none"/>
          <w:lang w:eastAsia="zh-CN"/>
        </w:rPr>
        <w:t>。</w:t>
      </w:r>
    </w:p>
    <w:p>
      <w:pPr>
        <w:pageBreakBefore w:val="0"/>
        <w:widowControl w:val="0"/>
        <w:tabs>
          <w:tab w:val="left" w:pos="709"/>
        </w:tabs>
        <w:kinsoku/>
        <w:wordWrap/>
        <w:overflowPunct/>
        <w:topLinePunct w:val="0"/>
        <w:autoSpaceDE w:val="0"/>
        <w:autoSpaceDN w:val="0"/>
        <w:bidi w:val="0"/>
        <w:adjustRightInd w:val="0"/>
        <w:snapToGrid w:val="0"/>
        <w:spacing w:line="360" w:lineRule="exact"/>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zh-CN"/>
        </w:rPr>
        <w:t>建设地点：</w:t>
      </w:r>
      <w:r>
        <w:rPr>
          <w:rFonts w:hint="eastAsia" w:ascii="宋体" w:hAnsi="宋体" w:eastAsia="宋体" w:cs="宋体"/>
          <w:b w:val="0"/>
          <w:bCs w:val="0"/>
          <w:color w:val="auto"/>
          <w:sz w:val="21"/>
          <w:szCs w:val="21"/>
          <w:highlight w:val="none"/>
        </w:rPr>
        <w:t>长春市</w:t>
      </w:r>
      <w:r>
        <w:rPr>
          <w:rFonts w:hint="eastAsia" w:ascii="宋体" w:hAnsi="宋体" w:eastAsia="宋体" w:cs="宋体"/>
          <w:b w:val="0"/>
          <w:bCs w:val="0"/>
          <w:color w:val="auto"/>
          <w:sz w:val="21"/>
          <w:szCs w:val="21"/>
          <w:highlight w:val="none"/>
          <w:shd w:val="clear" w:color="auto" w:fill="FFFFFF"/>
        </w:rPr>
        <w:t>长营高速公路12公里处</w:t>
      </w:r>
      <w:r>
        <w:rPr>
          <w:rFonts w:hint="eastAsia" w:ascii="宋体" w:hAnsi="宋体" w:eastAsia="宋体" w:cs="宋体"/>
          <w:b w:val="0"/>
          <w:bCs w:val="0"/>
          <w:color w:val="auto"/>
          <w:sz w:val="21"/>
          <w:szCs w:val="21"/>
          <w:highlight w:val="none"/>
          <w:shd w:val="clear" w:color="auto" w:fill="FFFFFF"/>
          <w:lang w:val="en-US" w:eastAsia="zh-CN"/>
        </w:rPr>
        <w:t>自然村（</w:t>
      </w:r>
      <w:r>
        <w:rPr>
          <w:rFonts w:hint="eastAsia" w:ascii="宋体" w:hAnsi="宋体" w:eastAsia="宋体" w:cs="宋体"/>
          <w:b w:val="0"/>
          <w:bCs w:val="0"/>
          <w:color w:val="auto"/>
          <w:sz w:val="21"/>
          <w:szCs w:val="21"/>
          <w:highlight w:val="none"/>
          <w:shd w:val="clear" w:color="auto" w:fill="FFFFFF"/>
        </w:rPr>
        <w:t>新立城服务区</w:t>
      </w:r>
      <w:r>
        <w:rPr>
          <w:rFonts w:hint="eastAsia" w:ascii="宋体" w:hAnsi="宋体" w:eastAsia="宋体" w:cs="宋体"/>
          <w:b w:val="0"/>
          <w:bCs w:val="0"/>
          <w:color w:val="auto"/>
          <w:sz w:val="21"/>
          <w:szCs w:val="21"/>
          <w:highlight w:val="none"/>
          <w:shd w:val="clear" w:color="auto" w:fill="FFFFFF"/>
          <w:lang w:val="en-US" w:eastAsia="zh-CN"/>
        </w:rPr>
        <w:t>旁）。</w:t>
      </w:r>
    </w:p>
    <w:p>
      <w:pPr>
        <w:pageBreakBefore w:val="0"/>
        <w:widowControl w:val="0"/>
        <w:tabs>
          <w:tab w:val="left" w:pos="709"/>
        </w:tabs>
        <w:kinsoku/>
        <w:wordWrap/>
        <w:overflowPunct/>
        <w:topLinePunct w:val="0"/>
        <w:autoSpaceDE w:val="0"/>
        <w:autoSpaceDN w:val="0"/>
        <w:bidi w:val="0"/>
        <w:adjustRightInd w:val="0"/>
        <w:snapToGrid w:val="0"/>
        <w:spacing w:line="360" w:lineRule="exact"/>
        <w:ind w:left="0" w:leftChars="0" w:firstLine="0" w:firstLineChars="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设计周期：</w:t>
      </w:r>
      <w:r>
        <w:rPr>
          <w:rStyle w:val="48"/>
          <w:rFonts w:hint="eastAsia" w:ascii="宋体" w:hAnsi="宋体" w:eastAsia="宋体" w:cs="宋体"/>
          <w:b w:val="0"/>
          <w:bCs w:val="0"/>
          <w:color w:val="auto"/>
          <w:kern w:val="0"/>
          <w:sz w:val="21"/>
          <w:szCs w:val="21"/>
          <w:highlight w:val="none"/>
        </w:rPr>
        <w:t>签订合同后20个工作日完成施工图设计</w:t>
      </w:r>
      <w:r>
        <w:rPr>
          <w:rStyle w:val="48"/>
          <w:rFonts w:hint="eastAsia" w:ascii="宋体" w:hAnsi="宋体" w:eastAsia="宋体" w:cs="宋体"/>
          <w:b w:val="0"/>
          <w:bCs w:val="0"/>
          <w:color w:val="auto"/>
          <w:kern w:val="0"/>
          <w:sz w:val="21"/>
          <w:szCs w:val="21"/>
          <w:highlight w:val="none"/>
          <w:lang w:eastAsia="zh-CN"/>
        </w:rPr>
        <w:t>。</w:t>
      </w:r>
    </w:p>
    <w:p>
      <w:pPr>
        <w:pageBreakBefore w:val="0"/>
        <w:widowControl w:val="0"/>
        <w:tabs>
          <w:tab w:val="left" w:pos="709"/>
        </w:tabs>
        <w:kinsoku/>
        <w:wordWrap/>
        <w:overflowPunct/>
        <w:topLinePunct w:val="0"/>
        <w:autoSpaceDE w:val="0"/>
        <w:autoSpaceDN w:val="0"/>
        <w:bidi w:val="0"/>
        <w:adjustRightInd w:val="0"/>
        <w:snapToGrid w:val="0"/>
        <w:spacing w:line="360" w:lineRule="exact"/>
        <w:ind w:left="0" w:leftChars="0" w:firstLine="0" w:firstLineChars="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6</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sz w:val="21"/>
          <w:szCs w:val="21"/>
        </w:rPr>
        <w:t>质量要求：符合国家相关法律法规、标准要求。</w:t>
      </w:r>
    </w:p>
    <w:p>
      <w:pPr>
        <w:pageBreakBefore w:val="0"/>
        <w:widowControl w:val="0"/>
        <w:tabs>
          <w:tab w:val="left" w:pos="709"/>
        </w:tabs>
        <w:kinsoku/>
        <w:wordWrap/>
        <w:overflowPunct/>
        <w:topLinePunct w:val="0"/>
        <w:autoSpaceDE w:val="0"/>
        <w:autoSpaceDN w:val="0"/>
        <w:bidi w:val="0"/>
        <w:adjustRightInd w:val="0"/>
        <w:snapToGrid w:val="0"/>
        <w:spacing w:line="360" w:lineRule="exact"/>
        <w:ind w:left="0" w:leftChars="0" w:firstLine="0" w:firstLineChars="0"/>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7</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sz w:val="21"/>
          <w:szCs w:val="21"/>
        </w:rPr>
        <w:t>标段划分：</w:t>
      </w:r>
      <w:r>
        <w:rPr>
          <w:rFonts w:hint="eastAsia" w:ascii="宋体" w:hAnsi="宋体" w:eastAsia="宋体" w:cs="宋体"/>
          <w:b w:val="0"/>
          <w:bCs w:val="0"/>
          <w:color w:val="auto"/>
          <w:kern w:val="0"/>
          <w:sz w:val="21"/>
          <w:szCs w:val="21"/>
        </w:rPr>
        <w:t>本项目划分一个标段，即</w:t>
      </w:r>
      <w:r>
        <w:rPr>
          <w:rFonts w:hint="eastAsia" w:ascii="宋体" w:hAnsi="宋体" w:eastAsia="宋体" w:cs="宋体"/>
          <w:b w:val="0"/>
          <w:bCs w:val="0"/>
          <w:color w:val="auto"/>
          <w:kern w:val="0"/>
          <w:sz w:val="21"/>
          <w:szCs w:val="21"/>
          <w:lang w:val="en-US" w:eastAsia="zh-CN"/>
        </w:rPr>
        <w:t>WXSJ</w:t>
      </w:r>
      <w:r>
        <w:rPr>
          <w:rFonts w:hint="eastAsia" w:ascii="宋体" w:hAnsi="宋体" w:eastAsia="宋体" w:cs="宋体"/>
          <w:b w:val="0"/>
          <w:bCs w:val="0"/>
          <w:color w:val="auto"/>
          <w:kern w:val="0"/>
          <w:sz w:val="21"/>
          <w:szCs w:val="21"/>
        </w:rPr>
        <w:t>01标段</w:t>
      </w:r>
      <w:r>
        <w:rPr>
          <w:rFonts w:hint="eastAsia" w:ascii="宋体" w:hAnsi="宋体" w:eastAsia="宋体" w:cs="宋体"/>
          <w:b w:val="0"/>
          <w:bCs w:val="0"/>
          <w:color w:val="auto"/>
          <w:kern w:val="0"/>
          <w:sz w:val="21"/>
          <w:szCs w:val="21"/>
          <w:lang w:eastAsia="zh-CN"/>
        </w:rPr>
        <w:t>。</w:t>
      </w:r>
    </w:p>
    <w:p>
      <w:pPr>
        <w:pageBreakBefore w:val="0"/>
        <w:widowControl w:val="0"/>
        <w:tabs>
          <w:tab w:val="left" w:pos="709"/>
        </w:tabs>
        <w:kinsoku/>
        <w:wordWrap/>
        <w:overflowPunct/>
        <w:topLinePunct w:val="0"/>
        <w:autoSpaceDE w:val="0"/>
        <w:autoSpaceDN w:val="0"/>
        <w:bidi w:val="0"/>
        <w:adjustRightInd w:val="0"/>
        <w:snapToGrid w:val="0"/>
        <w:spacing w:line="360" w:lineRule="exact"/>
        <w:ind w:left="0" w:leftChars="0" w:firstLine="0" w:firstLineChars="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二、供应商资格要求</w:t>
      </w:r>
    </w:p>
    <w:p>
      <w:pPr>
        <w:pageBreakBefore w:val="0"/>
        <w:widowControl w:val="0"/>
        <w:kinsoku/>
        <w:wordWrap/>
        <w:overflowPunct/>
        <w:topLinePunct w:val="0"/>
        <w:bidi w:val="0"/>
        <w:adjustRightInd w:val="0"/>
        <w:snapToGrid w:val="0"/>
        <w:spacing w:line="36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投标人须具备</w:t>
      </w:r>
      <w:r>
        <w:rPr>
          <w:rFonts w:hint="eastAsia" w:ascii="宋体" w:hAnsi="宋体" w:eastAsia="宋体" w:cs="宋体"/>
          <w:b w:val="0"/>
          <w:bCs w:val="0"/>
          <w:color w:val="auto"/>
          <w:sz w:val="21"/>
          <w:szCs w:val="21"/>
          <w:u w:val="single"/>
        </w:rPr>
        <w:t>建筑工程设计专业</w:t>
      </w:r>
      <w:r>
        <w:rPr>
          <w:rFonts w:hint="eastAsia" w:ascii="宋体" w:hAnsi="宋体" w:eastAsia="宋体" w:cs="宋体"/>
          <w:b w:val="0"/>
          <w:bCs w:val="0"/>
          <w:color w:val="auto"/>
          <w:sz w:val="21"/>
          <w:szCs w:val="21"/>
          <w:u w:val="single"/>
          <w:lang w:eastAsia="zh-CN"/>
        </w:rPr>
        <w:t>甲级</w:t>
      </w:r>
      <w:r>
        <w:rPr>
          <w:rFonts w:hint="eastAsia" w:ascii="宋体" w:hAnsi="宋体" w:eastAsia="宋体" w:cs="宋体"/>
          <w:b w:val="0"/>
          <w:bCs w:val="0"/>
          <w:color w:val="auto"/>
          <w:sz w:val="21"/>
          <w:szCs w:val="21"/>
          <w:u w:val="single"/>
        </w:rPr>
        <w:t>（含）及以上</w:t>
      </w:r>
      <w:r>
        <w:rPr>
          <w:rFonts w:hint="eastAsia" w:ascii="宋体" w:hAnsi="宋体" w:eastAsia="宋体" w:cs="宋体"/>
          <w:b w:val="0"/>
          <w:bCs w:val="0"/>
          <w:color w:val="auto"/>
          <w:sz w:val="21"/>
          <w:szCs w:val="21"/>
        </w:rPr>
        <w:t>资质，在中华人民共和国境内注册，能够独立承担民事责任的企业法人或其他组织；</w:t>
      </w:r>
    </w:p>
    <w:p>
      <w:pPr>
        <w:pageBreakBefore w:val="0"/>
        <w:widowControl w:val="0"/>
        <w:kinsoku/>
        <w:wordWrap/>
        <w:overflowPunct/>
        <w:topLinePunct w:val="0"/>
        <w:bidi w:val="0"/>
        <w:adjustRightInd w:val="0"/>
        <w:snapToGrid w:val="0"/>
        <w:spacing w:line="36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具有良好的商业信誉和健全的财务会计制度；</w:t>
      </w:r>
    </w:p>
    <w:p>
      <w:pPr>
        <w:pageBreakBefore w:val="0"/>
        <w:widowControl w:val="0"/>
        <w:kinsoku/>
        <w:wordWrap/>
        <w:overflowPunct/>
        <w:topLinePunct w:val="0"/>
        <w:bidi w:val="0"/>
        <w:adjustRightInd w:val="0"/>
        <w:snapToGrid w:val="0"/>
        <w:spacing w:line="36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近三年(2017年1月1日至今）有</w:t>
      </w:r>
      <w:r>
        <w:rPr>
          <w:rFonts w:hint="eastAsia" w:ascii="宋体" w:hAnsi="宋体" w:eastAsia="宋体" w:cs="宋体"/>
          <w:b w:val="0"/>
          <w:bCs w:val="0"/>
          <w:color w:val="auto"/>
          <w:sz w:val="21"/>
          <w:szCs w:val="21"/>
          <w:lang w:val="en-US" w:eastAsia="zh-CN"/>
        </w:rPr>
        <w:t>1000万元以上</w:t>
      </w:r>
      <w:r>
        <w:rPr>
          <w:rFonts w:hint="eastAsia" w:ascii="宋体" w:hAnsi="宋体" w:eastAsia="宋体" w:cs="宋体"/>
          <w:b w:val="0"/>
          <w:bCs w:val="0"/>
          <w:color w:val="auto"/>
          <w:sz w:val="21"/>
          <w:szCs w:val="21"/>
        </w:rPr>
        <w:t>类似工程业绩，并在人员、设备方面具有相应的设计能力；</w:t>
      </w:r>
    </w:p>
    <w:p>
      <w:pPr>
        <w:pageBreakBefore w:val="0"/>
        <w:widowControl w:val="0"/>
        <w:kinsoku/>
        <w:wordWrap/>
        <w:overflowPunct/>
        <w:topLinePunct w:val="0"/>
        <w:bidi w:val="0"/>
        <w:adjustRightInd w:val="0"/>
        <w:snapToGrid w:val="0"/>
        <w:spacing w:line="36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拟派的项目负责人必须具备工程类中级（含）及以上职称，近三年无不良业绩；</w:t>
      </w:r>
    </w:p>
    <w:p>
      <w:pPr>
        <w:pageBreakBefore w:val="0"/>
        <w:widowControl w:val="0"/>
        <w:kinsoku/>
        <w:wordWrap/>
        <w:overflowPunct/>
        <w:topLinePunct w:val="0"/>
        <w:bidi w:val="0"/>
        <w:adjustRightInd w:val="0"/>
        <w:snapToGrid w:val="0"/>
        <w:spacing w:line="36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被“信用中国”网站（www.creditchina.gov.cn）中列入失信被执行人和重大税收违法案件当事人名单的投标人、被“国家企业信用信息公示系统”网站（http://www.gsxt.gov.cn/）中被列入严重违法失信企业名单的投标人，无资格参加本项目的</w:t>
      </w:r>
      <w:r>
        <w:rPr>
          <w:rFonts w:hint="eastAsia" w:ascii="宋体" w:hAnsi="宋体" w:eastAsia="宋体" w:cs="宋体"/>
          <w:b w:val="0"/>
          <w:bCs w:val="0"/>
          <w:color w:val="auto"/>
          <w:sz w:val="21"/>
          <w:szCs w:val="21"/>
          <w:lang w:eastAsia="zh-CN"/>
        </w:rPr>
        <w:t>磋商</w:t>
      </w:r>
      <w:r>
        <w:rPr>
          <w:rFonts w:hint="eastAsia" w:ascii="宋体" w:hAnsi="宋体" w:eastAsia="宋体" w:cs="宋体"/>
          <w:b w:val="0"/>
          <w:bCs w:val="0"/>
          <w:color w:val="auto"/>
          <w:sz w:val="21"/>
          <w:szCs w:val="21"/>
        </w:rPr>
        <w:t xml:space="preserve">活动； </w:t>
      </w:r>
    </w:p>
    <w:p>
      <w:pPr>
        <w:keepNext/>
        <w:keepLines/>
        <w:pageBreakBefore w:val="0"/>
        <w:widowControl w:val="0"/>
        <w:tabs>
          <w:tab w:val="left" w:pos="426"/>
        </w:tabs>
        <w:kinsoku/>
        <w:wordWrap/>
        <w:overflowPunct/>
        <w:topLinePunct w:val="0"/>
        <w:bidi w:val="0"/>
        <w:adjustRightInd w:val="0"/>
        <w:snapToGrid w:val="0"/>
        <w:spacing w:line="360" w:lineRule="exact"/>
        <w:ind w:firstLine="0" w:firstLineChars="0"/>
        <w:jc w:val="left"/>
        <w:textAlignment w:val="auto"/>
        <w:outlineLvl w:val="2"/>
        <w:rPr>
          <w:rFonts w:ascii="宋体" w:hAnsi="宋体"/>
          <w:b w:val="0"/>
          <w:bCs w:val="0"/>
          <w:color w:val="auto"/>
          <w:kern w:val="44"/>
          <w:szCs w:val="21"/>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本次</w:t>
      </w:r>
      <w:r>
        <w:rPr>
          <w:rFonts w:hint="eastAsia" w:ascii="宋体" w:hAnsi="宋体" w:eastAsia="宋体" w:cs="宋体"/>
          <w:b w:val="0"/>
          <w:bCs w:val="0"/>
          <w:color w:val="auto"/>
          <w:sz w:val="21"/>
          <w:szCs w:val="21"/>
          <w:lang w:eastAsia="zh-CN"/>
        </w:rPr>
        <w:t>采购</w:t>
      </w:r>
      <w:r>
        <w:rPr>
          <w:rFonts w:hint="eastAsia" w:ascii="宋体" w:hAnsi="宋体" w:eastAsia="宋体" w:cs="宋体"/>
          <w:b w:val="0"/>
          <w:bCs w:val="0"/>
          <w:color w:val="auto"/>
          <w:sz w:val="21"/>
          <w:szCs w:val="21"/>
          <w:u w:val="single"/>
        </w:rPr>
        <w:t xml:space="preserve">  不接受 </w:t>
      </w:r>
      <w:r>
        <w:rPr>
          <w:rFonts w:hint="eastAsia" w:ascii="宋体" w:hAnsi="宋体" w:eastAsia="宋体" w:cs="宋体"/>
          <w:b w:val="0"/>
          <w:bCs w:val="0"/>
          <w:color w:val="auto"/>
          <w:sz w:val="21"/>
          <w:szCs w:val="21"/>
        </w:rPr>
        <w:t>（接受或不接受）联合体投标。</w:t>
      </w:r>
      <w:bookmarkEnd w:id="1"/>
      <w:bookmarkEnd w:id="2"/>
      <w:bookmarkEnd w:id="3"/>
      <w:bookmarkEnd w:id="4"/>
      <w:bookmarkEnd w:id="5"/>
      <w:bookmarkEnd w:id="6"/>
      <w:bookmarkEnd w:id="7"/>
      <w:bookmarkEnd w:id="8"/>
      <w:bookmarkEnd w:id="9"/>
      <w:bookmarkEnd w:id="10"/>
    </w:p>
    <w:p>
      <w:pPr>
        <w:keepNext/>
        <w:keepLines/>
        <w:pageBreakBefore w:val="0"/>
        <w:widowControl w:val="0"/>
        <w:numPr>
          <w:ilvl w:val="0"/>
          <w:numId w:val="0"/>
        </w:numPr>
        <w:tabs>
          <w:tab w:val="left" w:pos="426"/>
        </w:tabs>
        <w:kinsoku/>
        <w:wordWrap/>
        <w:overflowPunct/>
        <w:topLinePunct w:val="0"/>
        <w:bidi w:val="0"/>
        <w:adjustRightInd w:val="0"/>
        <w:snapToGrid w:val="0"/>
        <w:spacing w:line="360" w:lineRule="exact"/>
        <w:ind w:firstLine="0" w:firstLineChars="0"/>
        <w:jc w:val="left"/>
        <w:textAlignment w:val="auto"/>
        <w:outlineLvl w:val="2"/>
        <w:rPr>
          <w:rFonts w:hint="eastAsia" w:ascii="宋体" w:hAnsi="宋体" w:eastAsia="宋体" w:cs="宋体"/>
          <w:b w:val="0"/>
          <w:bCs w:val="0"/>
          <w:color w:val="auto"/>
          <w:kern w:val="44"/>
          <w:sz w:val="21"/>
          <w:szCs w:val="21"/>
        </w:rPr>
      </w:pPr>
      <w:bookmarkStart w:id="11" w:name="_Toc12959566"/>
      <w:bookmarkStart w:id="12" w:name="_Toc441605620"/>
      <w:bookmarkStart w:id="13" w:name="_Toc197967129"/>
      <w:bookmarkStart w:id="14" w:name="_Toc197960550"/>
      <w:bookmarkStart w:id="15" w:name="_Toc197960498"/>
      <w:bookmarkStart w:id="16" w:name="_Toc197965613"/>
      <w:bookmarkStart w:id="17" w:name="_Toc197967277"/>
      <w:r>
        <w:rPr>
          <w:rFonts w:hint="eastAsia" w:ascii="宋体" w:hAnsi="宋体" w:cs="宋体"/>
          <w:b w:val="0"/>
          <w:bCs w:val="0"/>
          <w:color w:val="auto"/>
          <w:kern w:val="0"/>
          <w:sz w:val="21"/>
          <w:szCs w:val="21"/>
          <w:lang w:val="en-US" w:eastAsia="zh-CN"/>
        </w:rPr>
        <w:t>三、</w:t>
      </w:r>
      <w:r>
        <w:rPr>
          <w:rFonts w:hint="eastAsia" w:ascii="宋体" w:hAnsi="宋体" w:eastAsia="宋体" w:cs="宋体"/>
          <w:b w:val="0"/>
          <w:bCs w:val="0"/>
          <w:color w:val="auto"/>
          <w:kern w:val="0"/>
          <w:sz w:val="21"/>
          <w:szCs w:val="21"/>
        </w:rPr>
        <w:t>供应商须知前附表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23"/>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条款号</w:t>
            </w:r>
          </w:p>
        </w:tc>
        <w:tc>
          <w:tcPr>
            <w:tcW w:w="2523"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条 款 名 称</w:t>
            </w:r>
          </w:p>
        </w:tc>
        <w:tc>
          <w:tcPr>
            <w:tcW w:w="5667"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REF _Ref527101463 \r \h  \* MERGEFORMAT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kern w:val="0"/>
                <w:sz w:val="21"/>
                <w:szCs w:val="21"/>
              </w:rPr>
              <w:t>1.</w:t>
            </w:r>
            <w:r>
              <w:rPr>
                <w:rFonts w:hint="eastAsia" w:ascii="宋体" w:hAnsi="宋体" w:cs="宋体"/>
                <w:b w:val="0"/>
                <w:bCs w:val="0"/>
                <w:color w:val="auto"/>
                <w:kern w:val="0"/>
                <w:sz w:val="21"/>
                <w:szCs w:val="21"/>
                <w:lang w:val="en-US" w:eastAsia="zh-CN"/>
              </w:rPr>
              <w:t>5</w:t>
            </w:r>
            <w:r>
              <w:rPr>
                <w:rFonts w:hint="eastAsia" w:ascii="宋体" w:hAnsi="宋体" w:cs="宋体"/>
                <w:b w:val="0"/>
                <w:bCs w:val="0"/>
                <w:color w:val="auto"/>
                <w:sz w:val="21"/>
                <w:szCs w:val="21"/>
              </w:rPr>
              <w:fldChar w:fldCharType="end"/>
            </w:r>
          </w:p>
        </w:tc>
        <w:tc>
          <w:tcPr>
            <w:tcW w:w="2523"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left"/>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分包</w:t>
            </w:r>
          </w:p>
        </w:tc>
        <w:tc>
          <w:tcPr>
            <w:tcW w:w="5667"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☑不允许</w:t>
            </w:r>
          </w:p>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□允  许：</w:t>
            </w:r>
          </w:p>
          <w:p>
            <w:pPr>
              <w:keepNext w:val="0"/>
              <w:keepLines w:val="0"/>
              <w:pageBreakBefore w:val="0"/>
              <w:kinsoku/>
              <w:wordWrap/>
              <w:topLinePunct w:val="0"/>
              <w:autoSpaceDE w:val="0"/>
              <w:autoSpaceDN w:val="0"/>
              <w:bidi w:val="0"/>
              <w:adjustRightInd w:val="0"/>
              <w:snapToGrid w:val="0"/>
              <w:spacing w:line="240" w:lineRule="auto"/>
              <w:ind w:left="311" w:leftChars="148"/>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分包内容要求：</w:t>
            </w:r>
          </w:p>
          <w:p>
            <w:pPr>
              <w:keepNext w:val="0"/>
              <w:keepLines w:val="0"/>
              <w:pageBreakBefore w:val="0"/>
              <w:kinsoku/>
              <w:wordWrap/>
              <w:topLinePunct w:val="0"/>
              <w:autoSpaceDE w:val="0"/>
              <w:autoSpaceDN w:val="0"/>
              <w:bidi w:val="0"/>
              <w:adjustRightInd w:val="0"/>
              <w:snapToGrid w:val="0"/>
              <w:spacing w:line="240" w:lineRule="auto"/>
              <w:ind w:left="311" w:leftChars="148"/>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分包金额要求：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REF _Ref527292580 \r \h  \* MERGEFORMAT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kern w:val="0"/>
                <w:sz w:val="21"/>
                <w:szCs w:val="21"/>
              </w:rPr>
              <w:t>1.1</w:t>
            </w:r>
            <w:r>
              <w:rPr>
                <w:rFonts w:hint="eastAsia" w:ascii="宋体" w:hAnsi="宋体" w:cs="宋体"/>
                <w:b w:val="0"/>
                <w:bCs w:val="0"/>
                <w:color w:val="auto"/>
                <w:kern w:val="0"/>
                <w:sz w:val="21"/>
                <w:szCs w:val="21"/>
                <w:lang w:val="en-US" w:eastAsia="zh-CN"/>
              </w:rPr>
              <w:t>0</w:t>
            </w:r>
            <w:r>
              <w:rPr>
                <w:rFonts w:hint="eastAsia" w:ascii="宋体" w:hAnsi="宋体" w:cs="宋体"/>
                <w:b w:val="0"/>
                <w:bCs w:val="0"/>
                <w:color w:val="auto"/>
                <w:kern w:val="0"/>
                <w:sz w:val="21"/>
                <w:szCs w:val="21"/>
              </w:rPr>
              <w:t>.1</w:t>
            </w:r>
            <w:r>
              <w:rPr>
                <w:rFonts w:hint="eastAsia" w:ascii="宋体" w:hAnsi="宋体" w:cs="宋体"/>
                <w:b w:val="0"/>
                <w:bCs w:val="0"/>
                <w:color w:val="auto"/>
                <w:sz w:val="21"/>
                <w:szCs w:val="21"/>
              </w:rPr>
              <w:fldChar w:fldCharType="end"/>
            </w:r>
          </w:p>
        </w:tc>
        <w:tc>
          <w:tcPr>
            <w:tcW w:w="2523"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left"/>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现场踏勘</w:t>
            </w:r>
          </w:p>
        </w:tc>
        <w:tc>
          <w:tcPr>
            <w:tcW w:w="5667"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☑不组织</w:t>
            </w:r>
          </w:p>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□组  织：</w:t>
            </w:r>
          </w:p>
          <w:p>
            <w:pPr>
              <w:keepNext w:val="0"/>
              <w:keepLines w:val="0"/>
              <w:pageBreakBefore w:val="0"/>
              <w:kinsoku/>
              <w:wordWrap/>
              <w:topLinePunct w:val="0"/>
              <w:autoSpaceDE w:val="0"/>
              <w:autoSpaceDN w:val="0"/>
              <w:bidi w:val="0"/>
              <w:adjustRightInd w:val="0"/>
              <w:snapToGrid w:val="0"/>
              <w:spacing w:line="240" w:lineRule="auto"/>
              <w:ind w:left="311" w:leftChars="148"/>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踏勘时间：</w:t>
            </w:r>
          </w:p>
          <w:p>
            <w:pPr>
              <w:keepNext w:val="0"/>
              <w:keepLines w:val="0"/>
              <w:pageBreakBefore w:val="0"/>
              <w:kinsoku/>
              <w:wordWrap/>
              <w:topLinePunct w:val="0"/>
              <w:autoSpaceDE w:val="0"/>
              <w:autoSpaceDN w:val="0"/>
              <w:bidi w:val="0"/>
              <w:adjustRightInd w:val="0"/>
              <w:snapToGrid w:val="0"/>
              <w:spacing w:line="240" w:lineRule="auto"/>
              <w:ind w:left="311" w:leftChars="148"/>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集合地点：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REF _Ref527101604 \r \h  \* MERGEFORMAT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kern w:val="0"/>
                <w:sz w:val="21"/>
                <w:szCs w:val="21"/>
              </w:rPr>
              <w:t>2.2.2</w:t>
            </w:r>
            <w:r>
              <w:rPr>
                <w:rFonts w:hint="eastAsia" w:ascii="宋体" w:hAnsi="宋体" w:cs="宋体"/>
                <w:b w:val="0"/>
                <w:bCs w:val="0"/>
                <w:color w:val="auto"/>
                <w:sz w:val="21"/>
                <w:szCs w:val="21"/>
              </w:rPr>
              <w:fldChar w:fldCharType="end"/>
            </w:r>
          </w:p>
        </w:tc>
        <w:tc>
          <w:tcPr>
            <w:tcW w:w="2523"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left"/>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供应商询问或要求澄清的截止时间</w:t>
            </w:r>
          </w:p>
        </w:tc>
        <w:tc>
          <w:tcPr>
            <w:tcW w:w="5667"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提交首次响应文件截止之日3个工作日前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REF _Ref527101721 \r \h  \* MERGEFORMAT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kern w:val="0"/>
                <w:sz w:val="21"/>
                <w:szCs w:val="21"/>
              </w:rPr>
              <w:t>2.3</w:t>
            </w:r>
            <w:r>
              <w:rPr>
                <w:rFonts w:hint="eastAsia" w:ascii="宋体" w:hAnsi="宋体" w:cs="宋体"/>
                <w:b w:val="0"/>
                <w:bCs w:val="0"/>
                <w:color w:val="auto"/>
                <w:sz w:val="21"/>
                <w:szCs w:val="21"/>
              </w:rPr>
              <w:fldChar w:fldCharType="end"/>
            </w:r>
          </w:p>
        </w:tc>
        <w:tc>
          <w:tcPr>
            <w:tcW w:w="2523"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outlineLvl w:val="0"/>
              <w:rPr>
                <w:rFonts w:hint="eastAsia" w:ascii="宋体" w:hAnsi="宋体" w:cs="宋体"/>
                <w:b w:val="0"/>
                <w:bCs w:val="0"/>
                <w:color w:val="auto"/>
                <w:kern w:val="0"/>
                <w:sz w:val="21"/>
                <w:szCs w:val="21"/>
              </w:rPr>
            </w:pPr>
            <w:bookmarkStart w:id="18" w:name="_Toc14340437"/>
            <w:bookmarkStart w:id="19" w:name="_Toc11744960"/>
            <w:r>
              <w:rPr>
                <w:rFonts w:hint="eastAsia" w:ascii="宋体" w:hAnsi="宋体" w:cs="宋体"/>
                <w:b w:val="0"/>
                <w:bCs w:val="0"/>
                <w:color w:val="auto"/>
                <w:kern w:val="0"/>
                <w:sz w:val="21"/>
                <w:szCs w:val="21"/>
              </w:rPr>
              <w:t>质疑函送达方式</w:t>
            </w:r>
            <w:bookmarkEnd w:id="18"/>
            <w:bookmarkEnd w:id="19"/>
          </w:p>
        </w:tc>
        <w:tc>
          <w:tcPr>
            <w:tcW w:w="5667" w:type="dxa"/>
            <w:noWrap w:val="0"/>
            <w:vAlign w:val="center"/>
          </w:tcPr>
          <w:p>
            <w:pPr>
              <w:keepNext w:val="0"/>
              <w:keepLines w:val="0"/>
              <w:pageBreakBefore w:val="0"/>
              <w:kinsoku/>
              <w:wordWrap/>
              <w:topLinePunct w:val="0"/>
              <w:autoSpaceDE w:val="0"/>
              <w:autoSpaceDN w:val="0"/>
              <w:bidi w:val="0"/>
              <w:adjustRightInd w:val="0"/>
              <w:snapToGrid w:val="0"/>
              <w:spacing w:line="240" w:lineRule="auto"/>
              <w:ind w:left="27" w:leftChars="13"/>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质疑提出人应将质疑函原件委派专人或通过邮寄方式</w:t>
            </w:r>
            <w:r>
              <w:rPr>
                <w:rFonts w:hint="eastAsia" w:ascii="宋体" w:hAnsi="宋体" w:cs="宋体"/>
                <w:b w:val="0"/>
                <w:bCs w:val="0"/>
                <w:color w:val="auto"/>
                <w:sz w:val="21"/>
                <w:szCs w:val="21"/>
              </w:rPr>
              <w:t>在知道或者应知其权益受到损害之日起7个工作日内</w:t>
            </w:r>
            <w:r>
              <w:rPr>
                <w:rFonts w:hint="eastAsia" w:ascii="宋体" w:hAnsi="宋体" w:cs="宋体"/>
                <w:b w:val="0"/>
                <w:bCs w:val="0"/>
                <w:color w:val="auto"/>
                <w:kern w:val="0"/>
                <w:sz w:val="21"/>
                <w:szCs w:val="21"/>
              </w:rPr>
              <w:t>送达</w:t>
            </w:r>
            <w:r>
              <w:rPr>
                <w:rFonts w:hint="eastAsia" w:ascii="宋体" w:hAnsi="宋体" w:cs="宋体"/>
                <w:b w:val="0"/>
                <w:bCs w:val="0"/>
                <w:color w:val="auto"/>
                <w:kern w:val="0"/>
                <w:sz w:val="21"/>
                <w:szCs w:val="21"/>
                <w:lang w:eastAsia="zh-CN"/>
              </w:rPr>
              <w:t>采购机构</w:t>
            </w:r>
            <w:r>
              <w:rPr>
                <w:rFonts w:hint="eastAsia" w:ascii="宋体" w:hAnsi="宋体" w:cs="宋体"/>
                <w:b w:val="0"/>
                <w:bCs w:val="0"/>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REF _Ref527102185 \r \h  \* MERGEFORMAT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kern w:val="0"/>
                <w:sz w:val="21"/>
                <w:szCs w:val="21"/>
              </w:rPr>
              <w:t>3.6.1</w:t>
            </w:r>
            <w:r>
              <w:rPr>
                <w:rFonts w:hint="eastAsia" w:ascii="宋体" w:hAnsi="宋体" w:cs="宋体"/>
                <w:b w:val="0"/>
                <w:bCs w:val="0"/>
                <w:color w:val="auto"/>
                <w:sz w:val="21"/>
                <w:szCs w:val="21"/>
              </w:rPr>
              <w:fldChar w:fldCharType="end"/>
            </w:r>
          </w:p>
        </w:tc>
        <w:tc>
          <w:tcPr>
            <w:tcW w:w="2523"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outlineLvl w:val="0"/>
              <w:rPr>
                <w:rFonts w:hint="eastAsia" w:ascii="宋体" w:hAnsi="宋体" w:cs="宋体"/>
                <w:b w:val="0"/>
                <w:bCs w:val="0"/>
                <w:color w:val="auto"/>
                <w:kern w:val="0"/>
                <w:sz w:val="21"/>
                <w:szCs w:val="21"/>
              </w:rPr>
            </w:pPr>
            <w:bookmarkStart w:id="20" w:name="_Toc11744961"/>
            <w:bookmarkStart w:id="21" w:name="_Toc14340438"/>
            <w:r>
              <w:rPr>
                <w:rFonts w:hint="eastAsia" w:ascii="宋体" w:hAnsi="宋体" w:cs="宋体"/>
                <w:b w:val="0"/>
                <w:bCs w:val="0"/>
                <w:color w:val="auto"/>
                <w:kern w:val="0"/>
                <w:sz w:val="21"/>
                <w:szCs w:val="21"/>
              </w:rPr>
              <w:t>响应文件有效期</w:t>
            </w:r>
            <w:bookmarkEnd w:id="20"/>
            <w:bookmarkEnd w:id="21"/>
          </w:p>
        </w:tc>
        <w:tc>
          <w:tcPr>
            <w:tcW w:w="5667"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REF _Ref419361076 \r \h  \* MERGEFORMAT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kern w:val="0"/>
                <w:sz w:val="21"/>
                <w:szCs w:val="21"/>
              </w:rPr>
              <w:t>3.7.1</w:t>
            </w:r>
            <w:r>
              <w:rPr>
                <w:rFonts w:hint="eastAsia" w:ascii="宋体" w:hAnsi="宋体" w:cs="宋体"/>
                <w:b w:val="0"/>
                <w:bCs w:val="0"/>
                <w:color w:val="auto"/>
                <w:sz w:val="21"/>
                <w:szCs w:val="21"/>
              </w:rPr>
              <w:fldChar w:fldCharType="end"/>
            </w:r>
          </w:p>
        </w:tc>
        <w:tc>
          <w:tcPr>
            <w:tcW w:w="2523"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outlineLvl w:val="0"/>
              <w:rPr>
                <w:rFonts w:hint="eastAsia" w:ascii="宋体" w:hAnsi="宋体" w:cs="宋体"/>
                <w:b w:val="0"/>
                <w:bCs w:val="0"/>
                <w:color w:val="auto"/>
                <w:kern w:val="0"/>
                <w:sz w:val="21"/>
                <w:szCs w:val="21"/>
              </w:rPr>
            </w:pPr>
            <w:bookmarkStart w:id="22" w:name="_Toc11744962"/>
            <w:bookmarkStart w:id="23" w:name="_Toc14340439"/>
            <w:r>
              <w:rPr>
                <w:rFonts w:hint="eastAsia" w:ascii="宋体" w:hAnsi="宋体" w:cs="宋体"/>
                <w:b w:val="0"/>
                <w:bCs w:val="0"/>
                <w:color w:val="auto"/>
                <w:kern w:val="0"/>
                <w:sz w:val="21"/>
                <w:szCs w:val="21"/>
              </w:rPr>
              <w:t>磋商保证金</w:t>
            </w:r>
            <w:bookmarkEnd w:id="22"/>
            <w:bookmarkEnd w:id="23"/>
          </w:p>
        </w:tc>
        <w:tc>
          <w:tcPr>
            <w:tcW w:w="5667" w:type="dxa"/>
            <w:noWrap w:val="0"/>
            <w:vAlign w:val="center"/>
          </w:tcPr>
          <w:p>
            <w:pPr>
              <w:keepNext w:val="0"/>
              <w:keepLines w:val="0"/>
              <w:pageBreakBefore w:val="0"/>
              <w:kinsoku/>
              <w:wordWrap/>
              <w:topLinePunct w:val="0"/>
              <w:bidi w:val="0"/>
              <w:adjustRightInd w:val="0"/>
              <w:snapToGrid w:val="0"/>
              <w:spacing w:line="240" w:lineRule="auto"/>
              <w:ind w:right="0" w:rightChars="0" w:firstLine="0" w:firstLineChars="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投标保证金的金额：人民币</w:t>
            </w:r>
            <w:r>
              <w:rPr>
                <w:rFonts w:hint="eastAsia" w:ascii="宋体" w:hAnsi="宋体" w:eastAsia="宋体" w:cs="宋体"/>
                <w:b w:val="0"/>
                <w:bCs w:val="0"/>
                <w:color w:val="auto"/>
                <w:kern w:val="0"/>
                <w:sz w:val="21"/>
                <w:szCs w:val="21"/>
                <w:highlight w:val="none"/>
                <w:lang w:val="en-US" w:eastAsia="zh-CN"/>
              </w:rPr>
              <w:t>5000</w:t>
            </w:r>
            <w:r>
              <w:rPr>
                <w:rFonts w:hint="eastAsia" w:ascii="宋体" w:hAnsi="宋体" w:eastAsia="宋体" w:cs="宋体"/>
                <w:b w:val="0"/>
                <w:bCs w:val="0"/>
                <w:color w:val="auto"/>
                <w:kern w:val="0"/>
                <w:sz w:val="21"/>
                <w:szCs w:val="21"/>
                <w:highlight w:val="none"/>
              </w:rPr>
              <w:t>元</w:t>
            </w:r>
          </w:p>
          <w:p>
            <w:pPr>
              <w:keepNext w:val="0"/>
              <w:keepLines w:val="0"/>
              <w:pageBreakBefore w:val="0"/>
              <w:kinsoku/>
              <w:wordWrap/>
              <w:topLinePunct w:val="0"/>
              <w:bidi w:val="0"/>
              <w:adjustRightInd w:val="0"/>
              <w:snapToGrid w:val="0"/>
              <w:spacing w:line="240" w:lineRule="auto"/>
              <w:ind w:right="0" w:rightChars="0" w:firstLine="0" w:firstLineChars="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形式：转账或电汇</w:t>
            </w:r>
          </w:p>
          <w:p>
            <w:pPr>
              <w:keepNext w:val="0"/>
              <w:keepLines w:val="0"/>
              <w:pageBreakBefore w:val="0"/>
              <w:kinsoku/>
              <w:wordWrap/>
              <w:topLinePunct w:val="0"/>
              <w:bidi w:val="0"/>
              <w:adjustRightInd w:val="0"/>
              <w:snapToGrid w:val="0"/>
              <w:spacing w:line="240" w:lineRule="auto"/>
              <w:ind w:right="0" w:rightChars="0" w:firstLine="0" w:firstLineChars="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投标人</w:t>
            </w:r>
            <w:r>
              <w:rPr>
                <w:rFonts w:hint="eastAsia" w:ascii="宋体" w:hAnsi="宋体" w:eastAsia="宋体" w:cs="宋体"/>
                <w:b w:val="0"/>
                <w:bCs w:val="0"/>
                <w:color w:val="auto"/>
                <w:kern w:val="0"/>
                <w:sz w:val="21"/>
                <w:szCs w:val="21"/>
                <w:highlight w:val="none"/>
              </w:rPr>
              <w:t>应在递交</w:t>
            </w:r>
            <w:r>
              <w:rPr>
                <w:rFonts w:hint="eastAsia" w:ascii="宋体" w:hAnsi="宋体" w:eastAsia="宋体" w:cs="宋体"/>
                <w:b w:val="0"/>
                <w:bCs w:val="0"/>
                <w:color w:val="auto"/>
                <w:kern w:val="0"/>
                <w:sz w:val="21"/>
                <w:szCs w:val="21"/>
                <w:highlight w:val="none"/>
                <w:lang w:val="en-US" w:eastAsia="zh-CN"/>
              </w:rPr>
              <w:t>响应</w:t>
            </w:r>
            <w:r>
              <w:rPr>
                <w:rFonts w:hint="eastAsia" w:ascii="宋体" w:hAnsi="宋体" w:eastAsia="宋体" w:cs="宋体"/>
                <w:b w:val="0"/>
                <w:bCs w:val="0"/>
                <w:color w:val="auto"/>
                <w:kern w:val="0"/>
                <w:sz w:val="21"/>
                <w:szCs w:val="21"/>
                <w:highlight w:val="none"/>
              </w:rPr>
              <w:t>文件截止时间之前，将</w:t>
            </w:r>
            <w:r>
              <w:rPr>
                <w:rFonts w:hint="eastAsia" w:ascii="宋体" w:hAnsi="宋体" w:eastAsia="宋体" w:cs="宋体"/>
                <w:b w:val="0"/>
                <w:bCs w:val="0"/>
                <w:color w:val="auto"/>
                <w:kern w:val="0"/>
                <w:sz w:val="21"/>
                <w:szCs w:val="21"/>
                <w:highlight w:val="none"/>
                <w:lang w:val="en-US" w:eastAsia="zh-CN"/>
              </w:rPr>
              <w:t>磋商</w:t>
            </w:r>
            <w:r>
              <w:rPr>
                <w:rFonts w:hint="eastAsia" w:ascii="宋体" w:hAnsi="宋体" w:eastAsia="宋体" w:cs="宋体"/>
                <w:b w:val="0"/>
                <w:bCs w:val="0"/>
                <w:color w:val="auto"/>
                <w:kern w:val="0"/>
                <w:sz w:val="21"/>
                <w:szCs w:val="21"/>
                <w:highlight w:val="none"/>
              </w:rPr>
              <w:t>保证金由</w:t>
            </w:r>
            <w:r>
              <w:rPr>
                <w:rFonts w:hint="eastAsia" w:ascii="宋体" w:hAnsi="宋体" w:eastAsia="宋体" w:cs="宋体"/>
                <w:b w:val="0"/>
                <w:bCs w:val="0"/>
                <w:color w:val="auto"/>
                <w:kern w:val="0"/>
                <w:sz w:val="21"/>
                <w:szCs w:val="21"/>
                <w:highlight w:val="none"/>
                <w:lang w:val="en-US" w:eastAsia="zh-CN"/>
              </w:rPr>
              <w:t>投标人单位</w:t>
            </w:r>
            <w:r>
              <w:rPr>
                <w:rFonts w:hint="eastAsia" w:ascii="宋体" w:hAnsi="宋体" w:eastAsia="宋体" w:cs="宋体"/>
                <w:b w:val="0"/>
                <w:bCs w:val="0"/>
                <w:color w:val="auto"/>
                <w:kern w:val="0"/>
                <w:sz w:val="21"/>
                <w:szCs w:val="21"/>
                <w:highlight w:val="none"/>
              </w:rPr>
              <w:t>的基本账户一次性转入并到达采购人指定账户，否则视为投标保证金无效。采购人指定的开户银行及账号如下：</w:t>
            </w:r>
          </w:p>
          <w:p>
            <w:pPr>
              <w:keepNext w:val="0"/>
              <w:keepLines w:val="0"/>
              <w:pageBreakBefore w:val="0"/>
              <w:kinsoku/>
              <w:wordWrap/>
              <w:topLinePunct w:val="0"/>
              <w:bidi w:val="0"/>
              <w:adjustRightInd w:val="0"/>
              <w:snapToGrid w:val="0"/>
              <w:spacing w:line="240" w:lineRule="auto"/>
              <w:ind w:right="0" w:rightChars="0" w:firstLine="0" w:firstLineChars="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开户银行：中国工商银行长春经济技术开发区支行</w:t>
            </w:r>
          </w:p>
          <w:p>
            <w:pPr>
              <w:keepNext w:val="0"/>
              <w:keepLines w:val="0"/>
              <w:pageBreakBefore w:val="0"/>
              <w:kinsoku/>
              <w:wordWrap/>
              <w:topLinePunct w:val="0"/>
              <w:bidi w:val="0"/>
              <w:adjustRightInd w:val="0"/>
              <w:snapToGrid w:val="0"/>
              <w:spacing w:line="240" w:lineRule="auto"/>
              <w:ind w:right="0" w:rightChars="0" w:firstLine="0" w:firstLineChars="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账户名称：吉林省高速公路集团有限公司</w:t>
            </w:r>
          </w:p>
          <w:p>
            <w:pPr>
              <w:keepNext w:val="0"/>
              <w:keepLines w:val="0"/>
              <w:pageBreakBefore w:val="0"/>
              <w:kinsoku/>
              <w:wordWrap/>
              <w:topLinePunct w:val="0"/>
              <w:bidi w:val="0"/>
              <w:adjustRightInd w:val="0"/>
              <w:snapToGrid w:val="0"/>
              <w:spacing w:line="240" w:lineRule="auto"/>
              <w:ind w:right="0" w:rightChars="0" w:firstLine="0" w:firstLineChars="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账号：4200223219200131189</w:t>
            </w:r>
          </w:p>
          <w:p>
            <w:pPr>
              <w:keepNext w:val="0"/>
              <w:keepLines w:val="0"/>
              <w:pageBreakBefore w:val="0"/>
              <w:kinsoku/>
              <w:wordWrap/>
              <w:topLinePunct w:val="0"/>
              <w:bidi w:val="0"/>
              <w:adjustRightInd w:val="0"/>
              <w:snapToGrid w:val="0"/>
              <w:spacing w:line="240" w:lineRule="auto"/>
              <w:ind w:right="0" w:rightChars="0" w:firstLine="0" w:firstLineChars="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咨询电话：0431-85254019</w:t>
            </w:r>
          </w:p>
          <w:p>
            <w:pPr>
              <w:keepNext w:val="0"/>
              <w:keepLines w:val="0"/>
              <w:pageBreakBefore w:val="0"/>
              <w:kinsoku/>
              <w:wordWrap/>
              <w:topLinePunct w:val="0"/>
              <w:bidi w:val="0"/>
              <w:adjustRightInd w:val="0"/>
              <w:snapToGrid w:val="0"/>
              <w:spacing w:line="240" w:lineRule="auto"/>
              <w:ind w:right="0" w:rightChars="0" w:firstLine="0" w:firstLineChars="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联 系 人：单俊植</w:t>
            </w:r>
          </w:p>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sz w:val="21"/>
                <w:szCs w:val="21"/>
                <w:highlight w:val="none"/>
              </w:rPr>
              <w:t>业务回单备注一栏可填写：</w:t>
            </w:r>
            <w:r>
              <w:rPr>
                <w:rFonts w:hint="eastAsia" w:ascii="宋体" w:hAnsi="宋体" w:eastAsia="宋体" w:cs="宋体"/>
                <w:b w:val="0"/>
                <w:bCs w:val="0"/>
                <w:color w:val="auto"/>
                <w:kern w:val="0"/>
                <w:sz w:val="21"/>
                <w:szCs w:val="21"/>
                <w:highlight w:val="none"/>
                <w:lang w:eastAsia="zh-CN"/>
              </w:rPr>
              <w:t>自然村设计</w:t>
            </w:r>
            <w:r>
              <w:rPr>
                <w:rFonts w:hint="eastAsia" w:ascii="宋体" w:hAnsi="宋体" w:eastAsia="宋体" w:cs="宋体"/>
                <w:b w:val="0"/>
                <w:bCs w:val="0"/>
                <w:color w:val="auto"/>
                <w:kern w:val="0"/>
                <w:sz w:val="21"/>
                <w:szCs w:val="21"/>
                <w:highlight w:val="none"/>
                <w:lang w:val="en-US" w:eastAsia="zh-CN"/>
              </w:rPr>
              <w:t>磋</w:t>
            </w:r>
            <w:r>
              <w:rPr>
                <w:rFonts w:hint="eastAsia" w:ascii="宋体" w:hAnsi="宋体" w:eastAsia="宋体" w:cs="宋体"/>
                <w:b w:val="0"/>
                <w:bCs w:val="0"/>
                <w:color w:val="auto"/>
                <w:sz w:val="21"/>
                <w:szCs w:val="21"/>
                <w:highlight w:val="none"/>
                <w:lang w:val="en-US" w:eastAsia="zh-CN"/>
              </w:rPr>
              <w:t>商</w:t>
            </w:r>
            <w:r>
              <w:rPr>
                <w:rFonts w:hint="eastAsia" w:ascii="宋体" w:hAnsi="宋体" w:eastAsia="宋体" w:cs="宋体"/>
                <w:b w:val="0"/>
                <w:bCs w:val="0"/>
                <w:color w:val="auto"/>
                <w:sz w:val="21"/>
                <w:szCs w:val="21"/>
                <w:highlight w:val="none"/>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3.8.3</w:t>
            </w:r>
          </w:p>
        </w:tc>
        <w:tc>
          <w:tcPr>
            <w:tcW w:w="2523"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响应文件副本份数</w:t>
            </w:r>
          </w:p>
        </w:tc>
        <w:tc>
          <w:tcPr>
            <w:tcW w:w="5667" w:type="dxa"/>
            <w:noWrap w:val="0"/>
            <w:vAlign w:val="center"/>
          </w:tcPr>
          <w:p>
            <w:pPr>
              <w:keepNext w:val="0"/>
              <w:keepLines w:val="0"/>
              <w:pageBreakBefore w:val="0"/>
              <w:kinsoku/>
              <w:wordWrap/>
              <w:topLinePunct w:val="0"/>
              <w:bidi w:val="0"/>
              <w:snapToGrid w:val="0"/>
              <w:spacing w:line="240" w:lineRule="auto"/>
              <w:jc w:val="left"/>
              <w:textAlignment w:val="auto"/>
              <w:rPr>
                <w:rFonts w:hint="eastAsia" w:eastAsia="宋体"/>
                <w:b w:val="0"/>
                <w:bCs w:val="0"/>
                <w:color w:val="auto"/>
                <w:sz w:val="21"/>
                <w:szCs w:val="21"/>
                <w:lang w:eastAsia="zh-CN"/>
              </w:rPr>
            </w:pPr>
            <w:r>
              <w:rPr>
                <w:rFonts w:hint="eastAsia" w:ascii="宋体" w:hAnsi="宋体" w:cs="宋体"/>
                <w:b w:val="0"/>
                <w:bCs w:val="0"/>
                <w:color w:val="auto"/>
                <w:kern w:val="0"/>
                <w:sz w:val="21"/>
                <w:szCs w:val="21"/>
              </w:rPr>
              <w:t>正本1份，副本3份。</w:t>
            </w:r>
            <w:r>
              <w:rPr>
                <w:rFonts w:hint="eastAsia" w:ascii="宋体" w:hAnsi="宋体" w:eastAsia="宋体" w:cs="宋体"/>
                <w:b w:val="0"/>
                <w:bCs w:val="0"/>
                <w:color w:val="auto"/>
                <w:sz w:val="21"/>
                <w:szCs w:val="21"/>
              </w:rPr>
              <w:t>电子版U盘1份、光盘1份（</w:t>
            </w:r>
            <w:r>
              <w:rPr>
                <w:rFonts w:hint="eastAsia"/>
                <w:b w:val="0"/>
                <w:bCs w:val="0"/>
                <w:color w:val="auto"/>
                <w:sz w:val="21"/>
                <w:szCs w:val="21"/>
              </w:rPr>
              <w:t>文本须采用word格式，图纸须采用CAD格式，内容与正本一致</w:t>
            </w:r>
            <w:r>
              <w:rPr>
                <w:rFonts w:hint="eastAsia"/>
                <w:b w:val="0"/>
                <w:bCs w:val="0"/>
                <w:color w:val="auto"/>
                <w:sz w:val="21"/>
                <w:szCs w:val="21"/>
                <w:lang w:eastAsia="zh-CN"/>
              </w:rPr>
              <w:t>，</w:t>
            </w:r>
          </w:p>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电子</w:t>
            </w:r>
            <w:r>
              <w:rPr>
                <w:rFonts w:hint="eastAsia" w:ascii="宋体" w:hAnsi="宋体" w:cs="宋体"/>
                <w:b w:val="0"/>
                <w:bCs w:val="0"/>
                <w:color w:val="auto"/>
                <w:kern w:val="0"/>
                <w:sz w:val="21"/>
                <w:szCs w:val="21"/>
                <w:lang w:eastAsia="zh-CN"/>
              </w:rPr>
              <w:t>版</w:t>
            </w:r>
            <w:r>
              <w:rPr>
                <w:rFonts w:hint="eastAsia" w:ascii="宋体" w:hAnsi="宋体" w:cs="宋体"/>
                <w:b w:val="0"/>
                <w:bCs w:val="0"/>
                <w:color w:val="auto"/>
                <w:kern w:val="0"/>
                <w:sz w:val="21"/>
                <w:szCs w:val="21"/>
              </w:rPr>
              <w:t>需单独密封，密封要求与响应文件密封要求相同）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3.8.4</w:t>
            </w:r>
          </w:p>
        </w:tc>
        <w:tc>
          <w:tcPr>
            <w:tcW w:w="2523"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装订要求</w:t>
            </w:r>
          </w:p>
        </w:tc>
        <w:tc>
          <w:tcPr>
            <w:tcW w:w="5667"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i/>
                <w:color w:val="auto"/>
                <w:kern w:val="0"/>
                <w:sz w:val="21"/>
                <w:szCs w:val="21"/>
              </w:rPr>
            </w:pPr>
            <w:r>
              <w:rPr>
                <w:rFonts w:hint="eastAsia" w:ascii="宋体" w:hAnsi="宋体" w:cs="宋体"/>
                <w:b w:val="0"/>
                <w:bCs w:val="0"/>
                <w:color w:val="auto"/>
                <w:kern w:val="0"/>
                <w:sz w:val="21"/>
                <w:szCs w:val="21"/>
              </w:rPr>
              <w:t>应装订成册，不得采用活页方式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4.1.2</w:t>
            </w:r>
          </w:p>
        </w:tc>
        <w:tc>
          <w:tcPr>
            <w:tcW w:w="2523"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封套上写明</w:t>
            </w:r>
          </w:p>
        </w:tc>
        <w:tc>
          <w:tcPr>
            <w:tcW w:w="5667"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采购人名称：</w:t>
            </w:r>
            <w:r>
              <w:rPr>
                <w:rFonts w:hint="eastAsia" w:ascii="宋体" w:hAnsi="宋体" w:eastAsia="宋体" w:cs="宋体"/>
                <w:b w:val="0"/>
                <w:bCs w:val="0"/>
                <w:color w:val="auto"/>
                <w:szCs w:val="21"/>
              </w:rPr>
              <w:t>吉林省高速公路集团有限公司</w:t>
            </w:r>
          </w:p>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u w:val="single"/>
              </w:rPr>
              <w:t xml:space="preserve"> </w:t>
            </w:r>
            <w:r>
              <w:rPr>
                <w:rFonts w:hint="eastAsia" w:ascii="宋体" w:hAnsi="宋体" w:eastAsia="宋体" w:cs="宋体"/>
                <w:b w:val="0"/>
                <w:bCs w:val="0"/>
                <w:color w:val="auto"/>
                <w:u w:val="single"/>
              </w:rPr>
              <w:t>吉林省自然村维修改造工程设计项目</w:t>
            </w:r>
            <w:r>
              <w:rPr>
                <w:rFonts w:hint="eastAsia" w:ascii="宋体" w:hAnsi="宋体" w:cs="宋体"/>
                <w:b w:val="0"/>
                <w:bCs w:val="0"/>
                <w:color w:val="auto"/>
                <w:kern w:val="0"/>
                <w:sz w:val="21"/>
                <w:szCs w:val="21"/>
              </w:rPr>
              <w:t>响应文件在  年 月  日 时 分前不得开启</w:t>
            </w:r>
          </w:p>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REF _Ref527102573 \r \h  \* MERGEFORMAT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kern w:val="0"/>
                <w:sz w:val="21"/>
                <w:szCs w:val="21"/>
              </w:rPr>
              <w:t>5.1.1</w:t>
            </w:r>
            <w:r>
              <w:rPr>
                <w:rFonts w:hint="eastAsia" w:ascii="宋体" w:hAnsi="宋体" w:cs="宋体"/>
                <w:b w:val="0"/>
                <w:bCs w:val="0"/>
                <w:color w:val="auto"/>
                <w:sz w:val="21"/>
                <w:szCs w:val="21"/>
              </w:rPr>
              <w:fldChar w:fldCharType="end"/>
            </w:r>
          </w:p>
        </w:tc>
        <w:tc>
          <w:tcPr>
            <w:tcW w:w="2523"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磋商小组成员</w:t>
            </w:r>
          </w:p>
        </w:tc>
        <w:tc>
          <w:tcPr>
            <w:tcW w:w="5667"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 xml:space="preserve">采购人代表：1 人 </w:t>
            </w:r>
          </w:p>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从专家库抽取的评审专家：2人。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REF _Ref527102841 \r \h  \* MERGEFORMAT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kern w:val="0"/>
                <w:sz w:val="21"/>
                <w:szCs w:val="21"/>
              </w:rPr>
              <w:t>6.1</w:t>
            </w:r>
            <w:r>
              <w:rPr>
                <w:rFonts w:hint="eastAsia" w:ascii="宋体" w:hAnsi="宋体" w:cs="宋体"/>
                <w:b w:val="0"/>
                <w:bCs w:val="0"/>
                <w:color w:val="auto"/>
                <w:sz w:val="21"/>
                <w:szCs w:val="21"/>
              </w:rPr>
              <w:fldChar w:fldCharType="end"/>
            </w:r>
          </w:p>
        </w:tc>
        <w:tc>
          <w:tcPr>
            <w:tcW w:w="2523"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确定成交供应商方式</w:t>
            </w:r>
          </w:p>
        </w:tc>
        <w:tc>
          <w:tcPr>
            <w:tcW w:w="5667"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lang w:eastAsia="zh-CN"/>
              </w:rPr>
              <w:sym w:font="Wingdings 2" w:char="0052"/>
            </w:r>
            <w:r>
              <w:rPr>
                <w:rFonts w:hint="eastAsia" w:ascii="宋体" w:hAnsi="宋体" w:cs="宋体"/>
                <w:b w:val="0"/>
                <w:bCs w:val="0"/>
                <w:color w:val="auto"/>
                <w:kern w:val="0"/>
                <w:sz w:val="21"/>
                <w:szCs w:val="21"/>
              </w:rPr>
              <w:t>采购人</w:t>
            </w:r>
          </w:p>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□采购人授权磋商小组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REF _Ref421009348 \r \h  \* MERGEFORMAT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kern w:val="0"/>
                <w:sz w:val="21"/>
                <w:szCs w:val="21"/>
              </w:rPr>
              <w:t>6.</w:t>
            </w:r>
            <w:r>
              <w:rPr>
                <w:rFonts w:hint="eastAsia" w:ascii="宋体" w:hAnsi="宋体" w:cs="宋体"/>
                <w:b w:val="0"/>
                <w:bCs w:val="0"/>
                <w:color w:val="auto"/>
                <w:kern w:val="0"/>
                <w:sz w:val="21"/>
                <w:szCs w:val="21"/>
                <w:lang w:val="en-US" w:eastAsia="zh-CN"/>
              </w:rPr>
              <w:t>3</w:t>
            </w:r>
            <w:r>
              <w:rPr>
                <w:rFonts w:hint="eastAsia" w:ascii="宋体" w:hAnsi="宋体" w:cs="宋体"/>
                <w:b w:val="0"/>
                <w:bCs w:val="0"/>
                <w:color w:val="auto"/>
                <w:kern w:val="0"/>
                <w:sz w:val="21"/>
                <w:szCs w:val="21"/>
              </w:rPr>
              <w:t>.1</w:t>
            </w:r>
            <w:r>
              <w:rPr>
                <w:rFonts w:hint="eastAsia" w:ascii="宋体" w:hAnsi="宋体" w:cs="宋体"/>
                <w:b w:val="0"/>
                <w:bCs w:val="0"/>
                <w:color w:val="auto"/>
                <w:sz w:val="21"/>
                <w:szCs w:val="21"/>
              </w:rPr>
              <w:fldChar w:fldCharType="end"/>
            </w:r>
          </w:p>
        </w:tc>
        <w:tc>
          <w:tcPr>
            <w:tcW w:w="2523"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outlineLvl w:val="0"/>
              <w:rPr>
                <w:rFonts w:hint="eastAsia" w:ascii="宋体" w:hAnsi="宋体" w:cs="宋体"/>
                <w:b w:val="0"/>
                <w:bCs w:val="0"/>
                <w:color w:val="auto"/>
                <w:kern w:val="0"/>
                <w:sz w:val="21"/>
                <w:szCs w:val="21"/>
              </w:rPr>
            </w:pPr>
            <w:bookmarkStart w:id="24" w:name="_Toc11744963"/>
            <w:bookmarkStart w:id="25" w:name="_Toc14340440"/>
            <w:r>
              <w:rPr>
                <w:rFonts w:hint="eastAsia" w:ascii="宋体" w:hAnsi="宋体" w:cs="宋体"/>
                <w:b w:val="0"/>
                <w:bCs w:val="0"/>
                <w:color w:val="auto"/>
                <w:kern w:val="0"/>
                <w:sz w:val="21"/>
                <w:szCs w:val="21"/>
              </w:rPr>
              <w:t>履约保证金</w:t>
            </w:r>
            <w:bookmarkEnd w:id="24"/>
            <w:bookmarkEnd w:id="25"/>
          </w:p>
        </w:tc>
        <w:tc>
          <w:tcPr>
            <w:tcW w:w="5667" w:type="dxa"/>
            <w:noWrap w:val="0"/>
            <w:vAlign w:val="center"/>
          </w:tcPr>
          <w:p>
            <w:pPr>
              <w:keepNext w:val="0"/>
              <w:keepLines w:val="0"/>
              <w:pageBreakBefore w:val="0"/>
              <w:kinsoku/>
              <w:wordWrap/>
              <w:topLinePunct w:val="0"/>
              <w:bidi w:val="0"/>
              <w:snapToGrid w:val="0"/>
              <w:spacing w:line="240" w:lineRule="auto"/>
              <w:ind w:left="105" w:leftChars="50" w:right="113"/>
              <w:textAlignment w:val="auto"/>
              <w:rPr>
                <w:rFonts w:hint="eastAsia" w:ascii="宋体" w:hAnsi="宋体"/>
                <w:b w:val="0"/>
                <w:bCs w:val="0"/>
                <w:color w:val="auto"/>
                <w:szCs w:val="21"/>
              </w:rPr>
            </w:pPr>
            <w:r>
              <w:rPr>
                <w:rFonts w:hint="eastAsia" w:ascii="宋体" w:hAnsi="宋体"/>
                <w:b w:val="0"/>
                <w:bCs w:val="0"/>
                <w:color w:val="auto"/>
                <w:szCs w:val="21"/>
              </w:rPr>
              <w:t>履约保证金的形式：银行保函或现金、支票形式</w:t>
            </w:r>
          </w:p>
          <w:p>
            <w:pPr>
              <w:keepNext w:val="0"/>
              <w:keepLines w:val="0"/>
              <w:pageBreakBefore w:val="0"/>
              <w:kinsoku/>
              <w:wordWrap/>
              <w:topLinePunct w:val="0"/>
              <w:bidi w:val="0"/>
              <w:snapToGrid w:val="0"/>
              <w:spacing w:line="240" w:lineRule="auto"/>
              <w:ind w:right="113" w:firstLine="105" w:firstLineChars="50"/>
              <w:textAlignment w:val="auto"/>
              <w:rPr>
                <w:rFonts w:hint="eastAsia" w:ascii="宋体" w:hAnsi="宋体"/>
                <w:b w:val="0"/>
                <w:bCs w:val="0"/>
                <w:color w:val="auto"/>
                <w:szCs w:val="21"/>
              </w:rPr>
            </w:pPr>
            <w:r>
              <w:rPr>
                <w:rFonts w:hint="eastAsia" w:ascii="宋体" w:hAnsi="宋体"/>
                <w:b w:val="0"/>
                <w:bCs w:val="0"/>
                <w:color w:val="auto"/>
                <w:szCs w:val="21"/>
              </w:rPr>
              <w:t>履约保证金的金额：10%签约合同价</w:t>
            </w:r>
          </w:p>
          <w:p>
            <w:pPr>
              <w:keepNext w:val="0"/>
              <w:keepLines w:val="0"/>
              <w:pageBreakBefore w:val="0"/>
              <w:kinsoku/>
              <w:wordWrap/>
              <w:topLinePunct w:val="0"/>
              <w:bidi w:val="0"/>
              <w:adjustRightInd w:val="0"/>
              <w:snapToGrid w:val="0"/>
              <w:spacing w:line="240" w:lineRule="auto"/>
              <w:textAlignment w:val="auto"/>
              <w:rPr>
                <w:rFonts w:hint="eastAsia" w:ascii="宋体" w:hAnsi="宋体"/>
                <w:b w:val="0"/>
                <w:bCs w:val="0"/>
                <w:color w:val="auto"/>
                <w:szCs w:val="21"/>
              </w:rPr>
            </w:pPr>
            <w:r>
              <w:rPr>
                <w:rFonts w:hint="eastAsia" w:ascii="宋体" w:hAnsi="宋体"/>
                <w:b w:val="0"/>
                <w:bCs w:val="0"/>
                <w:color w:val="auto"/>
                <w:szCs w:val="21"/>
              </w:rPr>
              <w:t>注意：</w:t>
            </w:r>
          </w:p>
          <w:p>
            <w:pPr>
              <w:keepNext w:val="0"/>
              <w:keepLines w:val="0"/>
              <w:pageBreakBefore w:val="0"/>
              <w:kinsoku/>
              <w:wordWrap/>
              <w:topLinePunct w:val="0"/>
              <w:bidi w:val="0"/>
              <w:adjustRightInd w:val="0"/>
              <w:snapToGrid w:val="0"/>
              <w:spacing w:line="240" w:lineRule="auto"/>
              <w:textAlignment w:val="auto"/>
              <w:rPr>
                <w:rFonts w:hint="eastAsia" w:ascii="宋体" w:hAnsi="宋体"/>
                <w:b w:val="0"/>
                <w:bCs w:val="0"/>
                <w:color w:val="auto"/>
                <w:szCs w:val="21"/>
              </w:rPr>
            </w:pPr>
            <w:r>
              <w:rPr>
                <w:rFonts w:hint="eastAsia" w:ascii="宋体" w:hAnsi="宋体"/>
                <w:b w:val="0"/>
                <w:bCs w:val="0"/>
                <w:color w:val="auto"/>
                <w:szCs w:val="21"/>
              </w:rPr>
              <w:t>（1）采用现金、支票形式时，应由中标人的基本账户汇入发包人指定账户。</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宋体" w:hAnsi="宋体" w:eastAsia="宋体" w:cs="宋体"/>
                <w:b w:val="0"/>
                <w:bCs w:val="0"/>
                <w:color w:val="auto"/>
                <w:kern w:val="0"/>
                <w:sz w:val="21"/>
                <w:szCs w:val="21"/>
                <w:lang w:val="en-US" w:eastAsia="zh-CN"/>
              </w:rPr>
            </w:pPr>
            <w:r>
              <w:rPr>
                <w:rFonts w:hint="eastAsia" w:ascii="宋体" w:hAnsi="宋体"/>
                <w:b w:val="0"/>
                <w:bCs w:val="0"/>
                <w:color w:val="auto"/>
                <w:szCs w:val="21"/>
              </w:rPr>
              <w:t>（2）采用银行保函时，</w:t>
            </w:r>
            <w:r>
              <w:rPr>
                <w:rFonts w:ascii="宋体" w:hAnsi="宋体"/>
                <w:b w:val="0"/>
                <w:bCs w:val="0"/>
                <w:color w:val="auto"/>
                <w:szCs w:val="21"/>
              </w:rPr>
              <w:t>应由</w:t>
            </w:r>
            <w:r>
              <w:rPr>
                <w:rFonts w:hint="eastAsia" w:ascii="宋体" w:hAnsi="宋体"/>
                <w:b w:val="0"/>
                <w:bCs w:val="0"/>
                <w:color w:val="auto"/>
                <w:szCs w:val="21"/>
              </w:rPr>
              <w:t>“工商银行、农业银行、中国银行、建设银行、交通银行”五大国有商业银行之一或全国性股份制商业银行开具</w:t>
            </w:r>
            <w:r>
              <w:rPr>
                <w:rFonts w:ascii="宋体" w:hAnsi="宋体"/>
                <w:b w:val="0"/>
                <w:bCs w:val="0"/>
                <w:color w:val="auto"/>
                <w:szCs w:val="21"/>
              </w:rPr>
              <w:t>，</w:t>
            </w:r>
            <w:r>
              <w:rPr>
                <w:rFonts w:hint="eastAsia" w:ascii="宋体" w:hAnsi="宋体"/>
                <w:b w:val="0"/>
                <w:bCs w:val="0"/>
                <w:color w:val="auto"/>
                <w:szCs w:val="21"/>
              </w:rPr>
              <w:t>银行应为地市级分行及以上级别，所需的费用由中标人承担，中标人应保证银行保函有效。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REF _Ref527103019 \r \h  \* MERGEFORMAT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9</w:t>
            </w:r>
            <w:r>
              <w:rPr>
                <w:rFonts w:hint="eastAsia" w:ascii="宋体" w:hAnsi="宋体" w:cs="宋体"/>
                <w:b w:val="0"/>
                <w:bCs w:val="0"/>
                <w:color w:val="auto"/>
                <w:sz w:val="21"/>
                <w:szCs w:val="21"/>
              </w:rPr>
              <w:fldChar w:fldCharType="end"/>
            </w:r>
          </w:p>
        </w:tc>
        <w:tc>
          <w:tcPr>
            <w:tcW w:w="8190" w:type="dxa"/>
            <w:gridSpan w:val="2"/>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1</w:t>
            </w:r>
            <w:r>
              <w:rPr>
                <w:rFonts w:hint="eastAsia" w:ascii="宋体" w:hAnsi="宋体" w:cs="宋体"/>
                <w:b w:val="0"/>
                <w:bCs w:val="0"/>
                <w:color w:val="auto"/>
                <w:kern w:val="0"/>
                <w:sz w:val="21"/>
                <w:szCs w:val="21"/>
              </w:rPr>
              <w:t>）</w:t>
            </w:r>
          </w:p>
        </w:tc>
        <w:tc>
          <w:tcPr>
            <w:tcW w:w="2523" w:type="dxa"/>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highlight w:val="none"/>
              </w:rPr>
              <w:t>项目投资估算</w:t>
            </w:r>
          </w:p>
        </w:tc>
        <w:tc>
          <w:tcPr>
            <w:tcW w:w="5667" w:type="dxa"/>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highlight w:val="none"/>
              </w:rPr>
              <w:t>890.5万元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2</w:t>
            </w:r>
            <w:r>
              <w:rPr>
                <w:rFonts w:hint="eastAsia" w:ascii="宋体" w:hAnsi="宋体" w:cs="宋体"/>
                <w:b w:val="0"/>
                <w:bCs w:val="0"/>
                <w:color w:val="auto"/>
                <w:kern w:val="0"/>
                <w:sz w:val="21"/>
                <w:szCs w:val="21"/>
              </w:rPr>
              <w:t>）</w:t>
            </w:r>
          </w:p>
        </w:tc>
        <w:tc>
          <w:tcPr>
            <w:tcW w:w="2523" w:type="dxa"/>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rPr>
              <w:t>报价方式</w:t>
            </w:r>
          </w:p>
        </w:tc>
        <w:tc>
          <w:tcPr>
            <w:tcW w:w="5667" w:type="dxa"/>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b w:val="0"/>
                <w:bCs w:val="0"/>
                <w:color w:val="auto"/>
                <w:szCs w:val="21"/>
              </w:rPr>
              <w:t>设计费计价标准：</w:t>
            </w:r>
            <w:r>
              <w:rPr>
                <w:rFonts w:hint="eastAsia" w:ascii="宋体" w:hAnsi="宋体" w:cs="宋体"/>
                <w:b w:val="0"/>
                <w:bCs w:val="0"/>
                <w:color w:val="auto"/>
                <w:szCs w:val="21"/>
                <w:lang w:val="zh-CN"/>
              </w:rPr>
              <w:t>参照建设部2002年修订本《工程勘察设计收费标准》规定报价；执行发改价格[2015]299号文件。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3</w:t>
            </w:r>
            <w:r>
              <w:rPr>
                <w:rFonts w:hint="eastAsia" w:ascii="宋体" w:hAnsi="宋体" w:cs="宋体"/>
                <w:b w:val="0"/>
                <w:bCs w:val="0"/>
                <w:color w:val="auto"/>
                <w:kern w:val="0"/>
                <w:sz w:val="21"/>
                <w:szCs w:val="21"/>
              </w:rPr>
              <w:t>）</w:t>
            </w:r>
          </w:p>
        </w:tc>
        <w:tc>
          <w:tcPr>
            <w:tcW w:w="2523" w:type="dxa"/>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最高限价</w:t>
            </w:r>
          </w:p>
        </w:tc>
        <w:tc>
          <w:tcPr>
            <w:tcW w:w="5667" w:type="dxa"/>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eastAsia="宋体"/>
                <w:b w:val="0"/>
                <w:bCs w:val="0"/>
                <w:color w:val="auto"/>
                <w:szCs w:val="21"/>
                <w:highlight w:val="none"/>
                <w:lang w:eastAsia="zh-CN"/>
              </w:rPr>
            </w:pPr>
            <w:r>
              <w:rPr>
                <w:rFonts w:hint="eastAsia" w:ascii="宋体" w:hAnsi="宋体"/>
                <w:b w:val="0"/>
                <w:bCs w:val="0"/>
                <w:color w:val="auto"/>
                <w:szCs w:val="21"/>
                <w:highlight w:val="none"/>
                <w:lang w:val="en-US" w:eastAsia="zh-CN"/>
              </w:rPr>
              <w:t>30.14</w:t>
            </w:r>
            <w:r>
              <w:rPr>
                <w:rFonts w:hint="eastAsia" w:ascii="宋体" w:hAnsi="宋体"/>
                <w:b w:val="0"/>
                <w:bCs w:val="0"/>
                <w:color w:val="auto"/>
                <w:szCs w:val="21"/>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4</w:t>
            </w:r>
            <w:r>
              <w:rPr>
                <w:rFonts w:hint="eastAsia" w:ascii="宋体" w:hAnsi="宋体" w:cs="宋体"/>
                <w:b w:val="0"/>
                <w:bCs w:val="0"/>
                <w:color w:val="auto"/>
                <w:kern w:val="0"/>
                <w:sz w:val="21"/>
                <w:szCs w:val="21"/>
              </w:rPr>
              <w:t>）</w:t>
            </w:r>
          </w:p>
        </w:tc>
        <w:tc>
          <w:tcPr>
            <w:tcW w:w="2523" w:type="dxa"/>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rPr>
              <w:t>近年完成的类似项目情况时间要求</w:t>
            </w:r>
          </w:p>
        </w:tc>
        <w:tc>
          <w:tcPr>
            <w:tcW w:w="56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cs="宋体"/>
                <w:b w:val="0"/>
                <w:bCs w:val="0"/>
                <w:color w:val="auto"/>
                <w:szCs w:val="21"/>
                <w:lang w:val="zh-CN"/>
              </w:rPr>
              <w:t>近三年</w:t>
            </w:r>
            <w:r>
              <w:rPr>
                <w:rFonts w:hint="eastAsia" w:ascii="宋体" w:hAnsi="宋体"/>
                <w:b w:val="0"/>
                <w:bCs w:val="0"/>
                <w:color w:val="auto"/>
                <w:szCs w:val="21"/>
              </w:rPr>
              <w:t>房屋建筑工程设计业绩</w:t>
            </w:r>
            <w:r>
              <w:rPr>
                <w:rFonts w:hint="eastAsia" w:ascii="宋体" w:hAnsi="宋体"/>
                <w:b w:val="0"/>
                <w:bCs w:val="0"/>
                <w:color w:val="auto"/>
                <w:szCs w:val="21"/>
                <w:lang w:val="en-US" w:eastAsia="zh-CN"/>
              </w:rPr>
              <w:t>或建筑工程维修改造设计业绩</w:t>
            </w:r>
            <w:r>
              <w:rPr>
                <w:rFonts w:hint="eastAsia" w:ascii="宋体" w:hAnsi="宋体" w:cs="宋体"/>
                <w:b w:val="0"/>
                <w:bCs w:val="0"/>
                <w:color w:val="auto"/>
                <w:szCs w:val="21"/>
              </w:rPr>
              <w:t>（</w:t>
            </w:r>
            <w:r>
              <w:rPr>
                <w:rFonts w:ascii="宋体" w:hAnsi="宋体" w:cs="宋体"/>
                <w:b w:val="0"/>
                <w:bCs w:val="0"/>
                <w:color w:val="auto"/>
                <w:szCs w:val="21"/>
              </w:rPr>
              <w:t>20</w:t>
            </w:r>
            <w:r>
              <w:rPr>
                <w:rFonts w:hint="eastAsia" w:ascii="宋体" w:hAnsi="宋体" w:cs="宋体"/>
                <w:b w:val="0"/>
                <w:bCs w:val="0"/>
                <w:color w:val="auto"/>
                <w:szCs w:val="21"/>
              </w:rPr>
              <w:t>17年1月1日至今</w:t>
            </w:r>
            <w:r>
              <w:rPr>
                <w:rFonts w:hint="eastAsia" w:ascii="宋体" w:hAnsi="宋体"/>
                <w:b w:val="0"/>
                <w:bCs w:val="0"/>
                <w:color w:val="auto"/>
                <w:szCs w:val="21"/>
                <w:lang w:val="en-US" w:eastAsia="zh-CN"/>
              </w:rPr>
              <w:t>，</w:t>
            </w:r>
            <w:r>
              <w:rPr>
                <w:rFonts w:hint="eastAsia" w:ascii="宋体" w:hAnsi="宋体"/>
                <w:b w:val="0"/>
                <w:bCs w:val="0"/>
                <w:color w:val="auto"/>
                <w:szCs w:val="21"/>
              </w:rPr>
              <w:t>以合同签订时间为准</w:t>
            </w:r>
            <w:r>
              <w:rPr>
                <w:rFonts w:hint="eastAsia" w:ascii="宋体" w:hAnsi="宋体"/>
                <w:b w:val="0"/>
                <w:bCs w:val="0"/>
                <w:color w:val="auto"/>
                <w:szCs w:val="21"/>
                <w:lang w:eastAsia="zh-CN"/>
              </w:rPr>
              <w:t>，</w:t>
            </w:r>
            <w:r>
              <w:rPr>
                <w:rFonts w:hint="eastAsia" w:ascii="宋体" w:hAnsi="宋体"/>
                <w:b w:val="0"/>
                <w:bCs w:val="0"/>
                <w:color w:val="auto"/>
                <w:szCs w:val="21"/>
              </w:rPr>
              <w:t>附合同协议书复印件</w:t>
            </w:r>
            <w:r>
              <w:rPr>
                <w:rFonts w:ascii="宋体" w:hAnsi="宋体" w:cs="宋体"/>
                <w:b w:val="0"/>
                <w:bCs w:val="0"/>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5</w:t>
            </w:r>
            <w:r>
              <w:rPr>
                <w:rFonts w:hint="eastAsia" w:ascii="宋体" w:hAnsi="宋体" w:cs="宋体"/>
                <w:b w:val="0"/>
                <w:bCs w:val="0"/>
                <w:color w:val="auto"/>
                <w:kern w:val="0"/>
                <w:sz w:val="21"/>
                <w:szCs w:val="21"/>
              </w:rPr>
              <w:t>）</w:t>
            </w:r>
          </w:p>
        </w:tc>
        <w:tc>
          <w:tcPr>
            <w:tcW w:w="252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财务状况的年份要求</w:t>
            </w:r>
          </w:p>
        </w:tc>
        <w:tc>
          <w:tcPr>
            <w:tcW w:w="5667"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lang w:val="en-US" w:eastAsia="zh-CN" w:bidi="ar-SA"/>
              </w:rPr>
            </w:pPr>
            <w:r>
              <w:rPr>
                <w:rFonts w:hint="eastAsia" w:ascii="宋体" w:hAnsi="宋体" w:cs="宋体"/>
                <w:b w:val="0"/>
                <w:bCs w:val="0"/>
                <w:color w:val="auto"/>
                <w:szCs w:val="21"/>
              </w:rPr>
              <w:t>2018</w:t>
            </w:r>
            <w:r>
              <w:rPr>
                <w:rFonts w:ascii="宋体" w:hAnsi="宋体" w:cs="宋体"/>
                <w:b w:val="0"/>
                <w:bCs w:val="0"/>
                <w:color w:val="auto"/>
                <w:szCs w:val="21"/>
                <w:lang w:val="zh-CN"/>
              </w:rPr>
              <w:t>年</w:t>
            </w:r>
            <w:r>
              <w:rPr>
                <w:rFonts w:hint="eastAsia" w:ascii="宋体" w:hAnsi="宋体" w:cs="宋体"/>
                <w:b w:val="0"/>
                <w:bCs w:val="0"/>
                <w:color w:val="auto"/>
                <w:szCs w:val="21"/>
                <w:lang w:val="en-US" w:eastAsia="zh-CN"/>
              </w:rPr>
              <w:t>或2019年</w:t>
            </w:r>
            <w:r>
              <w:rPr>
                <w:rFonts w:hint="eastAsia" w:ascii="宋体" w:hAnsi="宋体" w:cs="宋体"/>
                <w:b w:val="0"/>
                <w:bCs w:val="0"/>
                <w:color w:val="auto"/>
                <w:szCs w:val="21"/>
              </w:rPr>
              <w:t>（投标人提供2019年度财务审计报告，如未完成2019年度财务审计，则需要提供2018年度的）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6</w:t>
            </w:r>
            <w:r>
              <w:rPr>
                <w:rFonts w:hint="eastAsia" w:ascii="宋体" w:hAnsi="宋体" w:cs="宋体"/>
                <w:b w:val="0"/>
                <w:bCs w:val="0"/>
                <w:color w:val="auto"/>
                <w:kern w:val="0"/>
                <w:sz w:val="21"/>
                <w:szCs w:val="21"/>
              </w:rPr>
              <w:t>）</w:t>
            </w:r>
          </w:p>
        </w:tc>
        <w:tc>
          <w:tcPr>
            <w:tcW w:w="2523" w:type="dxa"/>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rPr>
              <w:t>近年发生的诉讼及仲裁情况的时间要求</w:t>
            </w:r>
          </w:p>
        </w:tc>
        <w:tc>
          <w:tcPr>
            <w:tcW w:w="5667"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cs="宋体"/>
                <w:b w:val="0"/>
                <w:bCs w:val="0"/>
                <w:color w:val="auto"/>
                <w:szCs w:val="21"/>
                <w:lang w:val="zh-CN"/>
              </w:rPr>
              <w:t>近三年</w:t>
            </w:r>
            <w:r>
              <w:rPr>
                <w:rFonts w:hint="eastAsia" w:ascii="宋体" w:hAnsi="宋体" w:cs="宋体"/>
                <w:b w:val="0"/>
                <w:bCs w:val="0"/>
                <w:color w:val="auto"/>
                <w:szCs w:val="21"/>
              </w:rPr>
              <w:t>（</w:t>
            </w:r>
            <w:r>
              <w:rPr>
                <w:rFonts w:ascii="宋体" w:hAnsi="宋体" w:cs="宋体"/>
                <w:b w:val="0"/>
                <w:bCs w:val="0"/>
                <w:color w:val="auto"/>
                <w:szCs w:val="21"/>
              </w:rPr>
              <w:t>20</w:t>
            </w:r>
            <w:r>
              <w:rPr>
                <w:rFonts w:hint="eastAsia" w:ascii="宋体" w:hAnsi="宋体" w:cs="宋体"/>
                <w:b w:val="0"/>
                <w:bCs w:val="0"/>
                <w:color w:val="auto"/>
                <w:szCs w:val="21"/>
              </w:rPr>
              <w:t>17年</w:t>
            </w:r>
            <w:r>
              <w:rPr>
                <w:rFonts w:ascii="宋体" w:hAnsi="宋体" w:cs="宋体"/>
                <w:b w:val="0"/>
                <w:bCs w:val="0"/>
                <w:color w:val="auto"/>
                <w:szCs w:val="21"/>
                <w:lang w:val="zh-CN"/>
              </w:rPr>
              <w:t>、</w:t>
            </w:r>
            <w:r>
              <w:rPr>
                <w:rFonts w:ascii="宋体" w:hAnsi="宋体" w:cs="宋体"/>
                <w:b w:val="0"/>
                <w:bCs w:val="0"/>
                <w:color w:val="auto"/>
                <w:szCs w:val="21"/>
              </w:rPr>
              <w:t>20</w:t>
            </w:r>
            <w:r>
              <w:rPr>
                <w:rFonts w:hint="eastAsia" w:ascii="宋体" w:hAnsi="宋体" w:cs="宋体"/>
                <w:b w:val="0"/>
                <w:bCs w:val="0"/>
                <w:color w:val="auto"/>
                <w:szCs w:val="21"/>
              </w:rPr>
              <w:t>18年</w:t>
            </w:r>
            <w:r>
              <w:rPr>
                <w:rFonts w:hint="eastAsia" w:ascii="宋体" w:hAnsi="宋体" w:cs="宋体"/>
                <w:b w:val="0"/>
                <w:bCs w:val="0"/>
                <w:color w:val="auto"/>
                <w:szCs w:val="21"/>
                <w:lang w:val="zh-CN"/>
              </w:rPr>
              <w:t>、</w:t>
            </w:r>
            <w:r>
              <w:rPr>
                <w:rFonts w:hint="eastAsia" w:ascii="宋体" w:hAnsi="宋体" w:cs="宋体"/>
                <w:b w:val="0"/>
                <w:bCs w:val="0"/>
                <w:color w:val="auto"/>
                <w:szCs w:val="21"/>
              </w:rPr>
              <w:t>2019</w:t>
            </w:r>
            <w:r>
              <w:rPr>
                <w:rFonts w:ascii="宋体" w:hAnsi="宋体" w:cs="宋体"/>
                <w:b w:val="0"/>
                <w:bCs w:val="0"/>
                <w:color w:val="auto"/>
                <w:szCs w:val="21"/>
                <w:lang w:val="zh-CN"/>
              </w:rPr>
              <w:t>年</w:t>
            </w:r>
            <w:r>
              <w:rPr>
                <w:rFonts w:ascii="宋体" w:hAnsi="宋体" w:cs="宋体"/>
                <w:b w:val="0"/>
                <w:bCs w:val="0"/>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7</w:t>
            </w:r>
            <w:r>
              <w:rPr>
                <w:rFonts w:hint="eastAsia" w:ascii="宋体" w:hAnsi="宋体" w:cs="宋体"/>
                <w:b w:val="0"/>
                <w:bCs w:val="0"/>
                <w:color w:val="auto"/>
                <w:kern w:val="0"/>
                <w:sz w:val="21"/>
                <w:szCs w:val="21"/>
              </w:rPr>
              <w:t>）</w:t>
            </w:r>
          </w:p>
        </w:tc>
        <w:tc>
          <w:tcPr>
            <w:tcW w:w="2523"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sz w:val="21"/>
                <w:szCs w:val="21"/>
              </w:rPr>
              <w:t>质量保证金</w:t>
            </w:r>
          </w:p>
        </w:tc>
        <w:tc>
          <w:tcPr>
            <w:tcW w:w="5667"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8</w:t>
            </w:r>
            <w:r>
              <w:rPr>
                <w:rFonts w:hint="eastAsia" w:ascii="宋体" w:hAnsi="宋体" w:cs="宋体"/>
                <w:b w:val="0"/>
                <w:bCs w:val="0"/>
                <w:color w:val="auto"/>
                <w:kern w:val="0"/>
                <w:sz w:val="21"/>
                <w:szCs w:val="21"/>
              </w:rPr>
              <w:t>）</w:t>
            </w:r>
          </w:p>
        </w:tc>
        <w:tc>
          <w:tcPr>
            <w:tcW w:w="2523"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rPr>
              <w:t>预付款</w:t>
            </w:r>
          </w:p>
        </w:tc>
        <w:tc>
          <w:tcPr>
            <w:tcW w:w="5667"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rPr>
              <w:t>10%签约合同价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（9）</w:t>
            </w:r>
          </w:p>
        </w:tc>
        <w:tc>
          <w:tcPr>
            <w:tcW w:w="2523"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资金来源及付款时间和条件</w:t>
            </w:r>
          </w:p>
        </w:tc>
        <w:tc>
          <w:tcPr>
            <w:tcW w:w="5667"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资金来源：企业自筹。</w:t>
            </w:r>
          </w:p>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付款时间：提供全部</w:t>
            </w:r>
            <w:r>
              <w:rPr>
                <w:rFonts w:hint="eastAsia" w:ascii="宋体" w:hAnsi="宋体" w:cs="宋体"/>
                <w:b w:val="0"/>
                <w:bCs w:val="0"/>
                <w:color w:val="auto"/>
                <w:kern w:val="0"/>
                <w:sz w:val="21"/>
                <w:szCs w:val="21"/>
                <w:lang w:eastAsia="zh-CN"/>
              </w:rPr>
              <w:t>设计</w:t>
            </w:r>
            <w:r>
              <w:rPr>
                <w:rFonts w:hint="eastAsia" w:ascii="宋体" w:hAnsi="宋体" w:cs="宋体"/>
                <w:b w:val="0"/>
                <w:bCs w:val="0"/>
                <w:color w:val="auto"/>
                <w:kern w:val="0"/>
                <w:sz w:val="21"/>
                <w:szCs w:val="21"/>
              </w:rPr>
              <w:t>成果文件，并经采购人验收合格</w:t>
            </w:r>
            <w:r>
              <w:rPr>
                <w:rFonts w:hint="default" w:ascii="宋体" w:hAnsi="宋体" w:cs="宋体"/>
                <w:b w:val="0"/>
                <w:bCs w:val="0"/>
                <w:color w:val="auto"/>
                <w:kern w:val="0"/>
                <w:sz w:val="21"/>
                <w:szCs w:val="21"/>
                <w:lang w:val="en-US"/>
              </w:rPr>
              <w:t>,</w:t>
            </w:r>
            <w:r>
              <w:rPr>
                <w:rFonts w:hint="eastAsia" w:ascii="宋体" w:hAnsi="宋体" w:cs="宋体"/>
                <w:b w:val="0"/>
                <w:bCs w:val="0"/>
                <w:color w:val="auto"/>
                <w:kern w:val="0"/>
                <w:sz w:val="21"/>
                <w:szCs w:val="21"/>
                <w:lang w:val="en-US" w:eastAsia="zh-CN"/>
              </w:rPr>
              <w:t>支付签约合同价的90%（含预付款），同时返还履约保证金，工程交工验收后支付剩余合同价款</w:t>
            </w:r>
            <w:r>
              <w:rPr>
                <w:rFonts w:hint="eastAsia" w:ascii="宋体" w:hAnsi="宋体" w:cs="宋体"/>
                <w:b w:val="0"/>
                <w:bCs w:val="0"/>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（10）</w:t>
            </w:r>
          </w:p>
        </w:tc>
        <w:tc>
          <w:tcPr>
            <w:tcW w:w="2523"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服务方式</w:t>
            </w:r>
          </w:p>
        </w:tc>
        <w:tc>
          <w:tcPr>
            <w:tcW w:w="5667"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总价包干式（凡标书中涉及的服务项目中标单位不得以任何理由增加费用）。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lang w:val="en-US" w:eastAsia="zh-CN" w:bidi="ar-SA"/>
              </w:rPr>
            </w:pPr>
            <w:r>
              <w:rPr>
                <w:rFonts w:hint="eastAsia" w:ascii="宋体" w:hAnsi="宋体" w:cs="宋体"/>
                <w:b w:val="0"/>
                <w:bCs w:val="0"/>
                <w:color w:val="auto"/>
                <w:kern w:val="0"/>
                <w:sz w:val="21"/>
                <w:szCs w:val="21"/>
              </w:rPr>
              <w:t>（</w:t>
            </w:r>
            <w:r>
              <w:rPr>
                <w:rFonts w:hint="eastAsia" w:ascii="宋体" w:hAnsi="宋体" w:cs="宋体"/>
                <w:b w:val="0"/>
                <w:bCs w:val="0"/>
                <w:color w:val="auto"/>
                <w:kern w:val="0"/>
                <w:sz w:val="21"/>
                <w:szCs w:val="21"/>
                <w:lang w:val="en-US" w:eastAsia="zh-CN"/>
              </w:rPr>
              <w:t>11</w:t>
            </w:r>
            <w:r>
              <w:rPr>
                <w:rFonts w:hint="eastAsia" w:ascii="宋体" w:hAnsi="宋体" w:cs="宋体"/>
                <w:b w:val="0"/>
                <w:bCs w:val="0"/>
                <w:color w:val="auto"/>
                <w:kern w:val="0"/>
                <w:sz w:val="21"/>
                <w:szCs w:val="21"/>
              </w:rPr>
              <w:t>）</w:t>
            </w:r>
          </w:p>
        </w:tc>
        <w:tc>
          <w:tcPr>
            <w:tcW w:w="2523" w:type="dxa"/>
            <w:noWrap w:val="0"/>
            <w:vAlign w:val="center"/>
          </w:tcPr>
          <w:p>
            <w:pPr>
              <w:keepNext w:val="0"/>
              <w:keepLines w:val="0"/>
              <w:pageBreakBefore w:val="0"/>
              <w:kinsoku/>
              <w:wordWrap/>
              <w:topLinePunct w:val="0"/>
              <w:bidi w:val="0"/>
              <w:adjustRightInd w:val="0"/>
              <w:snapToGrid w:val="0"/>
              <w:spacing w:line="240" w:lineRule="auto"/>
              <w:ind w:left="2" w:leftChars="0"/>
              <w:jc w:val="left"/>
              <w:textAlignment w:val="auto"/>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sz w:val="21"/>
                <w:szCs w:val="21"/>
              </w:rPr>
              <w:t>逾期违约金</w:t>
            </w:r>
          </w:p>
        </w:tc>
        <w:tc>
          <w:tcPr>
            <w:tcW w:w="5667" w:type="dxa"/>
            <w:noWrap w:val="0"/>
            <w:vAlign w:val="center"/>
          </w:tcPr>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1）由于</w:t>
            </w:r>
            <w:r>
              <w:rPr>
                <w:rFonts w:hint="eastAsia" w:ascii="宋体" w:hAnsi="宋体" w:eastAsia="宋体" w:cs="宋体"/>
                <w:b w:val="0"/>
                <w:bCs w:val="0"/>
                <w:color w:val="auto"/>
                <w:kern w:val="0"/>
                <w:sz w:val="21"/>
                <w:szCs w:val="21"/>
              </w:rPr>
              <w:t>设计人原因造成周期延误，每延期1天扣签约合同价的5‰作为逾期违约金</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lang w:val="en-US" w:eastAsia="zh-CN"/>
              </w:rPr>
              <w:t>本项最高扣至合同总额10%。</w:t>
            </w:r>
          </w:p>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2）由于设计人未及时配合甲方履行变更程序（变更纪要或签证发送到设计人处7日内），出具变更设计文件的，按每次2000元的标准计扣设计人违约金，本项最高扣至合同总额10%。</w:t>
            </w:r>
          </w:p>
          <w:p>
            <w:pPr>
              <w:keepNext w:val="0"/>
              <w:keepLines w:val="0"/>
              <w:pageBreakBefore w:val="0"/>
              <w:kinsoku/>
              <w:wordWrap/>
              <w:topLinePunct w:val="0"/>
              <w:autoSpaceDE w:val="0"/>
              <w:autoSpaceDN w:val="0"/>
              <w:bidi w:val="0"/>
              <w:adjustRightInd w:val="0"/>
              <w:snapToGrid w:val="0"/>
              <w:spacing w:line="240" w:lineRule="auto"/>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3）由于设计人的过失或责任引起本项目发生重大设计变更或较大设计变更，导致施工工期拖延或者给发包人造成经济损失的，发包人将按全部事故损失的20%计扣设计人的违约金，若未支付价款不足的，设计人应无条件向发包人补交差额部分。</w:t>
            </w:r>
          </w:p>
          <w:p>
            <w:pPr>
              <w:keepNext w:val="0"/>
              <w:keepLines w:val="0"/>
              <w:pageBreakBefore w:val="0"/>
              <w:kinsoku/>
              <w:wordWrap/>
              <w:topLinePunct w:val="0"/>
              <w:autoSpaceDE w:val="0"/>
              <w:autoSpaceDN w:val="0"/>
              <w:bidi w:val="0"/>
              <w:adjustRightInd w:val="0"/>
              <w:snapToGrid w:val="0"/>
              <w:spacing w:line="240" w:lineRule="auto"/>
              <w:textAlignment w:val="auto"/>
              <w:rPr>
                <w:rFonts w:hint="eastAsia"/>
                <w:b w:val="0"/>
                <w:bCs w:val="0"/>
                <w:color w:val="auto"/>
                <w:lang w:val="en-US" w:eastAsia="zh-CN"/>
              </w:rPr>
            </w:pPr>
            <w:r>
              <w:rPr>
                <w:rFonts w:hint="eastAsia" w:ascii="宋体" w:hAnsi="宋体" w:eastAsia="宋体" w:cs="宋体"/>
                <w:b w:val="0"/>
                <w:bCs w:val="0"/>
                <w:color w:val="auto"/>
                <w:kern w:val="0"/>
                <w:sz w:val="21"/>
                <w:szCs w:val="21"/>
                <w:lang w:val="en-US" w:eastAsia="zh-CN"/>
              </w:rPr>
              <w:t>4）上述计扣的违约金和赔</w:t>
            </w:r>
            <w:r>
              <w:rPr>
                <w:rFonts w:hint="eastAsia" w:ascii="宋体" w:hAnsi="宋体" w:eastAsia="宋体" w:cs="宋体"/>
                <w:b w:val="0"/>
                <w:bCs w:val="0"/>
                <w:color w:val="auto"/>
                <w:sz w:val="21"/>
                <w:szCs w:val="21"/>
                <w:lang w:val="en-US" w:eastAsia="zh-CN"/>
              </w:rPr>
              <w:t>偿金达到签约合同价的15％时，发包人有权终止合同。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lang w:eastAsia="zh-CN"/>
              </w:rPr>
              <w:t>（</w:t>
            </w:r>
            <w:r>
              <w:rPr>
                <w:rFonts w:hint="eastAsia" w:ascii="宋体" w:hAnsi="宋体" w:cs="宋体"/>
                <w:b w:val="0"/>
                <w:bCs w:val="0"/>
                <w:color w:val="auto"/>
                <w:kern w:val="0"/>
                <w:sz w:val="21"/>
                <w:szCs w:val="21"/>
                <w:lang w:val="en-US" w:eastAsia="zh-CN"/>
              </w:rPr>
              <w:t>12</w:t>
            </w:r>
            <w:r>
              <w:rPr>
                <w:rFonts w:hint="eastAsia" w:ascii="宋体" w:hAnsi="宋体" w:cs="宋体"/>
                <w:b w:val="0"/>
                <w:bCs w:val="0"/>
                <w:color w:val="auto"/>
                <w:kern w:val="0"/>
                <w:sz w:val="21"/>
                <w:szCs w:val="21"/>
                <w:lang w:eastAsia="zh-CN"/>
              </w:rPr>
              <w:t>）</w:t>
            </w:r>
          </w:p>
        </w:tc>
        <w:tc>
          <w:tcPr>
            <w:tcW w:w="8190" w:type="dxa"/>
            <w:gridSpan w:val="2"/>
            <w:noWrap w:val="0"/>
            <w:vAlign w:val="center"/>
          </w:tcPr>
          <w:p>
            <w:pPr>
              <w:keepNext w:val="0"/>
              <w:keepLines w:val="0"/>
              <w:pageBreakBefore w:val="0"/>
              <w:kinsoku/>
              <w:wordWrap/>
              <w:topLinePunct w:val="0"/>
              <w:bidi w:val="0"/>
              <w:adjustRightInd w:val="0"/>
              <w:snapToGrid w:val="0"/>
              <w:spacing w:line="240" w:lineRule="auto"/>
              <w:ind w:left="2" w:leftChars="0"/>
              <w:jc w:val="left"/>
              <w:textAlignment w:val="auto"/>
              <w:rPr>
                <w:rFonts w:hint="eastAsia" w:ascii="宋体" w:hAnsi="宋体" w:cs="宋体"/>
                <w:b w:val="0"/>
                <w:bCs w:val="0"/>
                <w:color w:val="auto"/>
                <w:kern w:val="0"/>
                <w:sz w:val="21"/>
                <w:szCs w:val="21"/>
              </w:rPr>
            </w:pPr>
            <w:r>
              <w:rPr>
                <w:rFonts w:hint="eastAsia" w:ascii="宋体" w:hAnsi="宋体" w:cs="宋体"/>
                <w:b w:val="0"/>
                <w:bCs w:val="0"/>
                <w:color w:val="auto"/>
                <w:sz w:val="21"/>
                <w:szCs w:val="21"/>
              </w:rPr>
              <w:t>成交供应商应在收到成交通知书后五个工作日内向采购代理机构交纳代理服务费。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w:t>
            </w:r>
            <w:r>
              <w:rPr>
                <w:rFonts w:hint="eastAsia" w:ascii="宋体" w:hAnsi="宋体" w:cs="宋体"/>
                <w:b w:val="0"/>
                <w:bCs w:val="0"/>
                <w:color w:val="auto"/>
                <w:kern w:val="0"/>
                <w:sz w:val="21"/>
                <w:szCs w:val="21"/>
                <w:lang w:val="en-US" w:eastAsia="zh-CN"/>
              </w:rPr>
              <w:t>13</w:t>
            </w:r>
            <w:r>
              <w:rPr>
                <w:rFonts w:hint="eastAsia" w:ascii="宋体" w:hAnsi="宋体" w:cs="宋体"/>
                <w:b w:val="0"/>
                <w:bCs w:val="0"/>
                <w:color w:val="auto"/>
                <w:kern w:val="0"/>
                <w:sz w:val="21"/>
                <w:szCs w:val="21"/>
                <w:lang w:eastAsia="zh-CN"/>
              </w:rPr>
              <w:t>）</w:t>
            </w:r>
          </w:p>
        </w:tc>
        <w:tc>
          <w:tcPr>
            <w:tcW w:w="2523" w:type="dxa"/>
            <w:noWrap w:val="0"/>
            <w:vAlign w:val="center"/>
          </w:tcPr>
          <w:p>
            <w:pPr>
              <w:keepNext w:val="0"/>
              <w:keepLines w:val="0"/>
              <w:pageBreakBefore w:val="0"/>
              <w:kinsoku/>
              <w:wordWrap/>
              <w:topLinePunct w:val="0"/>
              <w:autoSpaceDE w:val="0"/>
              <w:autoSpaceDN w:val="0"/>
              <w:bidi w:val="0"/>
              <w:adjustRightInd w:val="0"/>
              <w:snapToGrid w:val="0"/>
              <w:spacing w:line="240" w:lineRule="auto"/>
              <w:ind w:right="0" w:rightChars="0" w:firstLine="0" w:firstLineChars="0"/>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代理服务费计算</w:t>
            </w:r>
          </w:p>
        </w:tc>
        <w:tc>
          <w:tcPr>
            <w:tcW w:w="5667" w:type="dxa"/>
            <w:noWrap w:val="0"/>
            <w:vAlign w:val="center"/>
          </w:tcPr>
          <w:p>
            <w:pPr>
              <w:keepNext w:val="0"/>
              <w:keepLines w:val="0"/>
              <w:pageBreakBefore w:val="0"/>
              <w:widowControl/>
              <w:kinsoku/>
              <w:wordWrap/>
              <w:topLinePunct w:val="0"/>
              <w:bidi w:val="0"/>
              <w:adjustRightInd w:val="0"/>
              <w:snapToGrid w:val="0"/>
              <w:spacing w:line="240" w:lineRule="auto"/>
              <w:ind w:right="0" w:rightChars="0" w:firstLine="0" w:firstLineChars="0"/>
              <w:jc w:val="left"/>
              <w:textAlignment w:val="auto"/>
              <w:rPr>
                <w:rFonts w:hint="eastAsia" w:ascii="宋体" w:hAnsi="宋体" w:eastAsia="宋体" w:cs="宋体"/>
                <w:b w:val="0"/>
                <w:bCs w:val="0"/>
                <w:color w:val="auto"/>
                <w:kern w:val="15"/>
                <w:sz w:val="21"/>
                <w:szCs w:val="21"/>
                <w:highlight w:val="none"/>
              </w:rPr>
            </w:pPr>
            <w:r>
              <w:rPr>
                <w:rFonts w:hint="eastAsia" w:ascii="宋体" w:hAnsi="宋体" w:eastAsia="宋体" w:cs="宋体"/>
                <w:b w:val="0"/>
                <w:bCs w:val="0"/>
                <w:color w:val="auto"/>
                <w:kern w:val="15"/>
                <w:sz w:val="21"/>
                <w:szCs w:val="21"/>
                <w:highlight w:val="none"/>
              </w:rPr>
              <w:t>参考国家计委《招标代理服务收费管理暂行办法》（计价格[2002]1980号）、国家发改委《关于招标代理服务收费有关问题的通知》（发改办价格[2003]857号）、国家发改委《关于降低部分建设项目收费标准规范收费行为等有关问题的通知》（发改价格[2011]534号）等文件规定，以中标金额为基准额，分别适用代理服务费用标准，并采用差额定率累进法计算基准代理收费额。按下表规定的折扣系数确定招标代理费金额。</w:t>
            </w:r>
          </w:p>
          <w:p>
            <w:pPr>
              <w:keepNext w:val="0"/>
              <w:keepLines w:val="0"/>
              <w:pageBreakBefore w:val="0"/>
              <w:kinsoku/>
              <w:wordWrap/>
              <w:topLinePunct w:val="0"/>
              <w:bidi w:val="0"/>
              <w:adjustRightInd w:val="0"/>
              <w:snapToGrid w:val="0"/>
              <w:spacing w:line="240" w:lineRule="auto"/>
              <w:ind w:right="0" w:rightChars="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招标代理服务收费折扣系数表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102"/>
              <w:gridCol w:w="916"/>
              <w:gridCol w:w="982"/>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56" w:type="dxa"/>
                  <w:noWrap w:val="0"/>
                  <w:vAlign w:val="center"/>
                </w:tcPr>
                <w:p>
                  <w:pPr>
                    <w:keepNext w:val="0"/>
                    <w:keepLines w:val="0"/>
                    <w:pageBreakBefore w:val="0"/>
                    <w:kinsoku/>
                    <w:wordWrap/>
                    <w:topLinePunct w:val="0"/>
                    <w:bidi w:val="0"/>
                    <w:adjustRightInd w:val="0"/>
                    <w:snapToGrid w:val="0"/>
                    <w:spacing w:line="240" w:lineRule="auto"/>
                    <w:ind w:right="0" w:rightChars="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基准代理费</w:t>
                  </w:r>
                </w:p>
              </w:tc>
              <w:tc>
                <w:tcPr>
                  <w:tcW w:w="1102" w:type="dxa"/>
                  <w:noWrap w:val="0"/>
                  <w:vAlign w:val="center"/>
                </w:tcPr>
                <w:p>
                  <w:pPr>
                    <w:keepNext w:val="0"/>
                    <w:keepLines w:val="0"/>
                    <w:pageBreakBefore w:val="0"/>
                    <w:kinsoku/>
                    <w:wordWrap/>
                    <w:topLinePunct w:val="0"/>
                    <w:bidi w:val="0"/>
                    <w:adjustRightInd w:val="0"/>
                    <w:snapToGrid w:val="0"/>
                    <w:spacing w:line="240" w:lineRule="auto"/>
                    <w:ind w:right="0" w:rightChars="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2万以下</w:t>
                  </w:r>
                </w:p>
              </w:tc>
              <w:tc>
                <w:tcPr>
                  <w:tcW w:w="916" w:type="dxa"/>
                  <w:noWrap w:val="0"/>
                  <w:vAlign w:val="center"/>
                </w:tcPr>
                <w:p>
                  <w:pPr>
                    <w:keepNext w:val="0"/>
                    <w:keepLines w:val="0"/>
                    <w:pageBreakBefore w:val="0"/>
                    <w:kinsoku/>
                    <w:wordWrap/>
                    <w:topLinePunct w:val="0"/>
                    <w:bidi w:val="0"/>
                    <w:adjustRightInd w:val="0"/>
                    <w:snapToGrid w:val="0"/>
                    <w:spacing w:line="240" w:lineRule="auto"/>
                    <w:ind w:right="0" w:rightChars="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2-5万</w:t>
                  </w:r>
                </w:p>
              </w:tc>
              <w:tc>
                <w:tcPr>
                  <w:tcW w:w="982" w:type="dxa"/>
                  <w:noWrap w:val="0"/>
                  <w:vAlign w:val="center"/>
                </w:tcPr>
                <w:p>
                  <w:pPr>
                    <w:keepNext w:val="0"/>
                    <w:keepLines w:val="0"/>
                    <w:pageBreakBefore w:val="0"/>
                    <w:kinsoku/>
                    <w:wordWrap/>
                    <w:topLinePunct w:val="0"/>
                    <w:bidi w:val="0"/>
                    <w:adjustRightInd w:val="0"/>
                    <w:snapToGrid w:val="0"/>
                    <w:spacing w:line="240" w:lineRule="auto"/>
                    <w:ind w:right="0" w:rightChars="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5-10万</w:t>
                  </w:r>
                </w:p>
              </w:tc>
              <w:tc>
                <w:tcPr>
                  <w:tcW w:w="1123" w:type="dxa"/>
                  <w:noWrap w:val="0"/>
                  <w:vAlign w:val="center"/>
                </w:tcPr>
                <w:p>
                  <w:pPr>
                    <w:keepNext w:val="0"/>
                    <w:keepLines w:val="0"/>
                    <w:pageBreakBefore w:val="0"/>
                    <w:kinsoku/>
                    <w:wordWrap/>
                    <w:topLinePunct w:val="0"/>
                    <w:bidi w:val="0"/>
                    <w:adjustRightInd w:val="0"/>
                    <w:snapToGrid w:val="0"/>
                    <w:spacing w:line="240" w:lineRule="auto"/>
                    <w:ind w:right="0" w:rightChars="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56" w:type="dxa"/>
                  <w:noWrap w:val="0"/>
                  <w:vAlign w:val="center"/>
                </w:tcPr>
                <w:p>
                  <w:pPr>
                    <w:pStyle w:val="116"/>
                    <w:keepNext w:val="0"/>
                    <w:keepLines w:val="0"/>
                    <w:pageBreakBefore w:val="0"/>
                    <w:kinsoku/>
                    <w:wordWrap/>
                    <w:topLinePunct w:val="0"/>
                    <w:bidi w:val="0"/>
                    <w:adjustRightInd w:val="0"/>
                    <w:snapToGrid w:val="0"/>
                    <w:spacing w:line="240" w:lineRule="auto"/>
                    <w:ind w:right="0" w:rightChars="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折扣系数</w:t>
                  </w:r>
                </w:p>
              </w:tc>
              <w:tc>
                <w:tcPr>
                  <w:tcW w:w="1102" w:type="dxa"/>
                  <w:noWrap w:val="0"/>
                  <w:vAlign w:val="center"/>
                </w:tcPr>
                <w:p>
                  <w:pPr>
                    <w:pStyle w:val="116"/>
                    <w:keepNext w:val="0"/>
                    <w:keepLines w:val="0"/>
                    <w:pageBreakBefore w:val="0"/>
                    <w:kinsoku/>
                    <w:wordWrap/>
                    <w:topLinePunct w:val="0"/>
                    <w:bidi w:val="0"/>
                    <w:adjustRightInd w:val="0"/>
                    <w:snapToGrid w:val="0"/>
                    <w:spacing w:line="240" w:lineRule="auto"/>
                    <w:ind w:right="0" w:rightChars="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w:t>
                  </w:r>
                </w:p>
              </w:tc>
              <w:tc>
                <w:tcPr>
                  <w:tcW w:w="916" w:type="dxa"/>
                  <w:noWrap w:val="0"/>
                  <w:vAlign w:val="center"/>
                </w:tcPr>
                <w:p>
                  <w:pPr>
                    <w:pStyle w:val="116"/>
                    <w:keepNext w:val="0"/>
                    <w:keepLines w:val="0"/>
                    <w:pageBreakBefore w:val="0"/>
                    <w:kinsoku/>
                    <w:wordWrap/>
                    <w:topLinePunct w:val="0"/>
                    <w:bidi w:val="0"/>
                    <w:adjustRightInd w:val="0"/>
                    <w:snapToGrid w:val="0"/>
                    <w:spacing w:line="240" w:lineRule="auto"/>
                    <w:ind w:right="0" w:rightChars="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0.9</w:t>
                  </w:r>
                </w:p>
              </w:tc>
              <w:tc>
                <w:tcPr>
                  <w:tcW w:w="982" w:type="dxa"/>
                  <w:noWrap w:val="0"/>
                  <w:vAlign w:val="center"/>
                </w:tcPr>
                <w:p>
                  <w:pPr>
                    <w:pStyle w:val="116"/>
                    <w:keepNext w:val="0"/>
                    <w:keepLines w:val="0"/>
                    <w:pageBreakBefore w:val="0"/>
                    <w:kinsoku/>
                    <w:wordWrap/>
                    <w:topLinePunct w:val="0"/>
                    <w:bidi w:val="0"/>
                    <w:adjustRightInd w:val="0"/>
                    <w:snapToGrid w:val="0"/>
                    <w:spacing w:line="240" w:lineRule="auto"/>
                    <w:ind w:right="0" w:rightChars="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0.8</w:t>
                  </w:r>
                </w:p>
              </w:tc>
              <w:tc>
                <w:tcPr>
                  <w:tcW w:w="1123" w:type="dxa"/>
                  <w:noWrap w:val="0"/>
                  <w:vAlign w:val="center"/>
                </w:tcPr>
                <w:p>
                  <w:pPr>
                    <w:pStyle w:val="116"/>
                    <w:keepNext w:val="0"/>
                    <w:keepLines w:val="0"/>
                    <w:pageBreakBefore w:val="0"/>
                    <w:kinsoku/>
                    <w:wordWrap/>
                    <w:topLinePunct w:val="0"/>
                    <w:bidi w:val="0"/>
                    <w:adjustRightInd w:val="0"/>
                    <w:snapToGrid w:val="0"/>
                    <w:spacing w:line="240" w:lineRule="auto"/>
                    <w:ind w:right="0" w:rightChars="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0.7</w:t>
                  </w:r>
                </w:p>
              </w:tc>
            </w:tr>
          </w:tbl>
          <w:p>
            <w:pPr>
              <w:keepNext w:val="0"/>
              <w:keepLines w:val="0"/>
              <w:pageBreakBefore w:val="0"/>
              <w:kinsoku/>
              <w:wordWrap/>
              <w:topLinePunct w:val="0"/>
              <w:autoSpaceDE w:val="0"/>
              <w:autoSpaceDN w:val="0"/>
              <w:bidi w:val="0"/>
              <w:adjustRightInd w:val="0"/>
              <w:snapToGrid w:val="0"/>
              <w:spacing w:line="240" w:lineRule="auto"/>
              <w:ind w:right="0" w:rightChars="0" w:firstLine="0" w:firstLineChars="0"/>
              <w:textAlignment w:val="auto"/>
              <w:rPr>
                <w:rFonts w:hint="eastAsia" w:ascii="宋体" w:hAnsi="宋体" w:eastAsia="宋体" w:cs="宋体"/>
                <w:b w:val="0"/>
                <w:bCs w:val="0"/>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w:t>
            </w:r>
            <w:r>
              <w:rPr>
                <w:rFonts w:hint="eastAsia" w:ascii="宋体" w:hAnsi="宋体" w:cs="宋体"/>
                <w:b w:val="0"/>
                <w:bCs w:val="0"/>
                <w:color w:val="auto"/>
                <w:kern w:val="0"/>
                <w:sz w:val="21"/>
                <w:szCs w:val="21"/>
                <w:lang w:val="en-US" w:eastAsia="zh-CN"/>
              </w:rPr>
              <w:t>14</w:t>
            </w:r>
            <w:r>
              <w:rPr>
                <w:rFonts w:hint="eastAsia" w:ascii="宋体" w:hAnsi="宋体" w:cs="宋体"/>
                <w:b w:val="0"/>
                <w:bCs w:val="0"/>
                <w:color w:val="auto"/>
                <w:kern w:val="0"/>
                <w:sz w:val="21"/>
                <w:szCs w:val="21"/>
                <w:lang w:eastAsia="zh-CN"/>
              </w:rPr>
              <w:t>）</w:t>
            </w:r>
          </w:p>
        </w:tc>
        <w:tc>
          <w:tcPr>
            <w:tcW w:w="2523" w:type="dxa"/>
            <w:noWrap w:val="0"/>
            <w:vAlign w:val="center"/>
          </w:tcPr>
          <w:p>
            <w:pPr>
              <w:keepNext w:val="0"/>
              <w:keepLines w:val="0"/>
              <w:pageBreakBefore w:val="0"/>
              <w:kinsoku/>
              <w:wordWrap/>
              <w:topLinePunct w:val="0"/>
              <w:bidi w:val="0"/>
              <w:adjustRightInd w:val="0"/>
              <w:snapToGrid w:val="0"/>
              <w:spacing w:line="240" w:lineRule="auto"/>
              <w:ind w:left="2" w:right="0" w:rightChars="0" w:firstLine="0" w:firstLineChars="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磋商</w:t>
            </w:r>
            <w:r>
              <w:rPr>
                <w:rFonts w:hint="eastAsia" w:ascii="宋体" w:hAnsi="宋体" w:eastAsia="宋体" w:cs="宋体"/>
                <w:b w:val="0"/>
                <w:bCs w:val="0"/>
                <w:color w:val="auto"/>
                <w:sz w:val="21"/>
                <w:szCs w:val="21"/>
              </w:rPr>
              <w:t>保证金</w:t>
            </w:r>
          </w:p>
          <w:p>
            <w:pPr>
              <w:keepNext w:val="0"/>
              <w:keepLines w:val="0"/>
              <w:pageBreakBefore w:val="0"/>
              <w:kinsoku/>
              <w:wordWrap/>
              <w:topLinePunct w:val="0"/>
              <w:bidi w:val="0"/>
              <w:adjustRightInd w:val="0"/>
              <w:snapToGrid w:val="0"/>
              <w:spacing w:line="240" w:lineRule="auto"/>
              <w:ind w:left="2" w:leftChars="0" w:right="0" w:rightChars="0" w:firstLine="0" w:firstLineChars="0"/>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sz w:val="21"/>
                <w:szCs w:val="21"/>
              </w:rPr>
              <w:t>的退还</w:t>
            </w:r>
          </w:p>
        </w:tc>
        <w:tc>
          <w:tcPr>
            <w:tcW w:w="5667" w:type="dxa"/>
            <w:noWrap w:val="0"/>
            <w:vAlign w:val="center"/>
          </w:tcPr>
          <w:p>
            <w:pPr>
              <w:keepNext w:val="0"/>
              <w:keepLines w:val="0"/>
              <w:pageBreakBefore w:val="0"/>
              <w:kinsoku/>
              <w:wordWrap/>
              <w:topLinePunct w:val="0"/>
              <w:bidi w:val="0"/>
              <w:adjustRightInd w:val="0"/>
              <w:snapToGrid w:val="0"/>
              <w:spacing w:line="240" w:lineRule="auto"/>
              <w:ind w:left="2" w:right="0" w:righ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所有未中标的应答单位应在中标公示期结束后5日内办理退还投标保证金；中标人在与采购人签订合同后，办理退还投标保证金，办理时应答单位应向采购人提供如下资料并邮寄至采购人处：</w:t>
            </w:r>
          </w:p>
          <w:p>
            <w:pPr>
              <w:keepNext w:val="0"/>
              <w:keepLines w:val="0"/>
              <w:pageBreakBefore w:val="0"/>
              <w:kinsoku/>
              <w:wordWrap/>
              <w:topLinePunct w:val="0"/>
              <w:bidi w:val="0"/>
              <w:adjustRightInd w:val="0"/>
              <w:snapToGrid w:val="0"/>
              <w:spacing w:line="240" w:lineRule="auto"/>
              <w:ind w:left="2" w:right="0" w:righ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（1）基本账户开户许可证复印件；</w:t>
            </w:r>
          </w:p>
          <w:p>
            <w:pPr>
              <w:keepNext w:val="0"/>
              <w:keepLines w:val="0"/>
              <w:pageBreakBefore w:val="0"/>
              <w:kinsoku/>
              <w:wordWrap/>
              <w:topLinePunct w:val="0"/>
              <w:bidi w:val="0"/>
              <w:adjustRightInd w:val="0"/>
              <w:snapToGrid w:val="0"/>
              <w:spacing w:line="240" w:lineRule="auto"/>
              <w:ind w:left="2" w:right="0" w:righ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（2）给采购人开具的财务收据原件；</w:t>
            </w:r>
          </w:p>
          <w:p>
            <w:pPr>
              <w:keepNext w:val="0"/>
              <w:keepLines w:val="0"/>
              <w:pageBreakBefore w:val="0"/>
              <w:kinsoku/>
              <w:wordWrap/>
              <w:topLinePunct w:val="0"/>
              <w:bidi w:val="0"/>
              <w:adjustRightInd w:val="0"/>
              <w:snapToGrid w:val="0"/>
              <w:spacing w:line="240" w:lineRule="auto"/>
              <w:ind w:left="2" w:right="0" w:righ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r>
              <w:rPr>
                <w:rFonts w:hint="eastAsia" w:ascii="宋体" w:hAnsi="宋体" w:eastAsia="宋体" w:cs="宋体"/>
                <w:b w:val="0"/>
                <w:bCs w:val="0"/>
                <w:color w:val="auto"/>
                <w:sz w:val="21"/>
                <w:szCs w:val="21"/>
                <w:lang w:val="en-US" w:eastAsia="zh-CN"/>
              </w:rPr>
              <w:t>磋商</w:t>
            </w:r>
            <w:r>
              <w:rPr>
                <w:rFonts w:hint="eastAsia" w:ascii="宋体" w:hAnsi="宋体" w:eastAsia="宋体" w:cs="宋体"/>
                <w:b w:val="0"/>
                <w:bCs w:val="0"/>
                <w:color w:val="auto"/>
                <w:sz w:val="21"/>
                <w:szCs w:val="21"/>
              </w:rPr>
              <w:t>保证金汇款凭证。</w:t>
            </w:r>
          </w:p>
          <w:p>
            <w:pPr>
              <w:keepNext w:val="0"/>
              <w:keepLines w:val="0"/>
              <w:pageBreakBefore w:val="0"/>
              <w:kinsoku/>
              <w:wordWrap/>
              <w:topLinePunct w:val="0"/>
              <w:bidi w:val="0"/>
              <w:adjustRightInd w:val="0"/>
              <w:snapToGrid w:val="0"/>
              <w:spacing w:line="240" w:lineRule="auto"/>
              <w:ind w:left="2" w:leftChars="0" w:right="0" w:rightChars="0" w:firstLine="0" w:firstLineChars="0"/>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sz w:val="21"/>
                <w:szCs w:val="21"/>
              </w:rPr>
              <w:t>（4）如果应答单位未在公示期结束后5日后将相关手续送达采购人，应答单位放弃利息的，须开具放弃索要利息的情况说明，也可以在</w:t>
            </w:r>
            <w:r>
              <w:rPr>
                <w:rFonts w:hint="eastAsia" w:ascii="宋体" w:hAnsi="宋体" w:eastAsia="宋体" w:cs="宋体"/>
                <w:b w:val="0"/>
                <w:bCs w:val="0"/>
                <w:color w:val="auto"/>
                <w:sz w:val="21"/>
                <w:szCs w:val="21"/>
                <w:lang w:val="en-US" w:eastAsia="zh-CN"/>
              </w:rPr>
              <w:t>磋商</w:t>
            </w:r>
            <w:r>
              <w:rPr>
                <w:rFonts w:hint="eastAsia" w:ascii="宋体" w:hAnsi="宋体" w:eastAsia="宋体" w:cs="宋体"/>
                <w:b w:val="0"/>
                <w:bCs w:val="0"/>
                <w:color w:val="auto"/>
                <w:sz w:val="21"/>
                <w:szCs w:val="21"/>
              </w:rPr>
              <w:t>保证金财务收据上写明“不计取利息”，采购人不强制应答单位必须放弃利息。所要利息的，需要同时提供增值税发票。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w:t>
            </w:r>
            <w:r>
              <w:rPr>
                <w:rFonts w:hint="eastAsia" w:ascii="宋体" w:hAnsi="宋体" w:cs="宋体"/>
                <w:b w:val="0"/>
                <w:bCs w:val="0"/>
                <w:color w:val="auto"/>
                <w:kern w:val="0"/>
                <w:sz w:val="21"/>
                <w:szCs w:val="21"/>
                <w:lang w:val="en-US" w:eastAsia="zh-CN"/>
              </w:rPr>
              <w:t>15</w:t>
            </w:r>
            <w:r>
              <w:rPr>
                <w:rFonts w:hint="eastAsia" w:ascii="宋体" w:hAnsi="宋体" w:cs="宋体"/>
                <w:b w:val="0"/>
                <w:bCs w:val="0"/>
                <w:color w:val="auto"/>
                <w:kern w:val="0"/>
                <w:sz w:val="21"/>
                <w:szCs w:val="21"/>
                <w:lang w:eastAsia="zh-CN"/>
              </w:rPr>
              <w:t>）</w:t>
            </w:r>
          </w:p>
        </w:tc>
        <w:tc>
          <w:tcPr>
            <w:tcW w:w="2523" w:type="dxa"/>
            <w:noWrap w:val="0"/>
            <w:vAlign w:val="center"/>
          </w:tcPr>
          <w:p>
            <w:pPr>
              <w:keepNext w:val="0"/>
              <w:keepLines w:val="0"/>
              <w:pageBreakBefore w:val="0"/>
              <w:kinsoku/>
              <w:wordWrap/>
              <w:topLinePunct w:val="0"/>
              <w:bidi w:val="0"/>
              <w:adjustRightInd w:val="0"/>
              <w:snapToGrid w:val="0"/>
              <w:spacing w:line="240" w:lineRule="auto"/>
              <w:ind w:left="2" w:right="0" w:rightChars="0" w:firstLine="0" w:firstLineChars="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磋商</w:t>
            </w:r>
            <w:r>
              <w:rPr>
                <w:rFonts w:hint="eastAsia" w:ascii="宋体" w:hAnsi="宋体" w:eastAsia="宋体" w:cs="宋体"/>
                <w:b w:val="0"/>
                <w:bCs w:val="0"/>
                <w:color w:val="auto"/>
                <w:sz w:val="21"/>
                <w:szCs w:val="21"/>
              </w:rPr>
              <w:t>保证金的</w:t>
            </w:r>
          </w:p>
          <w:p>
            <w:pPr>
              <w:keepNext w:val="0"/>
              <w:keepLines w:val="0"/>
              <w:pageBreakBefore w:val="0"/>
              <w:kinsoku/>
              <w:wordWrap/>
              <w:topLinePunct w:val="0"/>
              <w:bidi w:val="0"/>
              <w:adjustRightInd w:val="0"/>
              <w:snapToGrid w:val="0"/>
              <w:spacing w:line="240" w:lineRule="auto"/>
              <w:ind w:left="2" w:leftChars="0" w:right="0" w:rightChars="0" w:firstLine="0" w:firstLine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利息计算原则</w:t>
            </w:r>
          </w:p>
        </w:tc>
        <w:tc>
          <w:tcPr>
            <w:tcW w:w="5667" w:type="dxa"/>
            <w:noWrap w:val="0"/>
            <w:vAlign w:val="bottom"/>
          </w:tcPr>
          <w:p>
            <w:pPr>
              <w:keepNext w:val="0"/>
              <w:keepLines w:val="0"/>
              <w:pageBreakBefore w:val="0"/>
              <w:kinsoku/>
              <w:wordWrap/>
              <w:topLinePunct w:val="0"/>
              <w:bidi w:val="0"/>
              <w:adjustRightInd w:val="0"/>
              <w:snapToGrid w:val="0"/>
              <w:spacing w:line="240" w:lineRule="auto"/>
              <w:ind w:left="2" w:right="0" w:righ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lang w:val="en-US" w:eastAsia="zh-CN"/>
              </w:rPr>
              <w:t>磋商</w:t>
            </w:r>
            <w:r>
              <w:rPr>
                <w:rFonts w:hint="eastAsia" w:ascii="宋体" w:hAnsi="宋体" w:eastAsia="宋体" w:cs="宋体"/>
                <w:b w:val="0"/>
                <w:bCs w:val="0"/>
                <w:color w:val="auto"/>
                <w:sz w:val="21"/>
                <w:szCs w:val="21"/>
              </w:rPr>
              <w:t>保证金计息利率依照中国人民银行公布的同期活期存款基准利率；</w:t>
            </w:r>
          </w:p>
          <w:p>
            <w:pPr>
              <w:keepNext w:val="0"/>
              <w:keepLines w:val="0"/>
              <w:pageBreakBefore w:val="0"/>
              <w:kinsoku/>
              <w:wordWrap/>
              <w:topLinePunct w:val="0"/>
              <w:bidi w:val="0"/>
              <w:adjustRightInd w:val="0"/>
              <w:snapToGrid w:val="0"/>
              <w:spacing w:line="240" w:lineRule="auto"/>
              <w:ind w:left="2" w:right="0" w:righ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（2）银行同期存款利息的计算公式为：金额×年利率/360×计息天数；</w:t>
            </w:r>
          </w:p>
          <w:p>
            <w:pPr>
              <w:keepNext w:val="0"/>
              <w:keepLines w:val="0"/>
              <w:pageBreakBefore w:val="0"/>
              <w:kinsoku/>
              <w:wordWrap/>
              <w:topLinePunct w:val="0"/>
              <w:bidi w:val="0"/>
              <w:adjustRightInd w:val="0"/>
              <w:snapToGrid w:val="0"/>
              <w:spacing w:line="240" w:lineRule="auto"/>
              <w:ind w:left="2" w:right="0" w:righ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（3）起息日为项目的投标截止日，结息日为成交通知书中标明的日期；</w:t>
            </w:r>
          </w:p>
          <w:p>
            <w:pPr>
              <w:keepNext w:val="0"/>
              <w:keepLines w:val="0"/>
              <w:pageBreakBefore w:val="0"/>
              <w:kinsoku/>
              <w:wordWrap/>
              <w:topLinePunct w:val="0"/>
              <w:bidi w:val="0"/>
              <w:adjustRightInd w:val="0"/>
              <w:snapToGrid w:val="0"/>
              <w:spacing w:line="240" w:lineRule="auto"/>
              <w:ind w:left="2" w:right="0" w:righ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（4）在退还</w:t>
            </w:r>
            <w:r>
              <w:rPr>
                <w:rFonts w:hint="eastAsia" w:ascii="宋体" w:hAnsi="宋体" w:eastAsia="宋体" w:cs="宋体"/>
                <w:b w:val="0"/>
                <w:bCs w:val="0"/>
                <w:color w:val="auto"/>
                <w:sz w:val="21"/>
                <w:szCs w:val="21"/>
                <w:lang w:val="en-US" w:eastAsia="zh-CN"/>
              </w:rPr>
              <w:t>磋商</w:t>
            </w:r>
            <w:r>
              <w:rPr>
                <w:rFonts w:hint="eastAsia" w:ascii="宋体" w:hAnsi="宋体" w:eastAsia="宋体" w:cs="宋体"/>
                <w:b w:val="0"/>
                <w:bCs w:val="0"/>
                <w:color w:val="auto"/>
                <w:sz w:val="21"/>
                <w:szCs w:val="21"/>
              </w:rPr>
              <w:t>保证金利息前，应答单位应提供保证金利息发票；</w:t>
            </w:r>
          </w:p>
          <w:p>
            <w:pPr>
              <w:keepNext w:val="0"/>
              <w:keepLines w:val="0"/>
              <w:pageBreakBefore w:val="0"/>
              <w:kinsoku/>
              <w:wordWrap/>
              <w:topLinePunct w:val="0"/>
              <w:bidi w:val="0"/>
              <w:adjustRightInd w:val="0"/>
              <w:snapToGrid w:val="0"/>
              <w:spacing w:line="240" w:lineRule="auto"/>
              <w:ind w:left="2" w:leftChars="0" w:right="0" w:rightChars="0" w:firstLine="0" w:firstLine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（5）以保函或其他担保形式提交的</w:t>
            </w:r>
            <w:r>
              <w:rPr>
                <w:rFonts w:hint="eastAsia" w:ascii="宋体" w:hAnsi="宋体" w:eastAsia="宋体" w:cs="宋体"/>
                <w:b w:val="0"/>
                <w:bCs w:val="0"/>
                <w:color w:val="auto"/>
                <w:sz w:val="21"/>
                <w:szCs w:val="21"/>
                <w:lang w:val="en-US" w:eastAsia="zh-CN"/>
              </w:rPr>
              <w:t>磋商</w:t>
            </w:r>
            <w:r>
              <w:rPr>
                <w:rFonts w:hint="eastAsia" w:ascii="宋体" w:hAnsi="宋体" w:eastAsia="宋体" w:cs="宋体"/>
                <w:b w:val="0"/>
                <w:bCs w:val="0"/>
                <w:color w:val="auto"/>
                <w:sz w:val="21"/>
                <w:szCs w:val="21"/>
              </w:rPr>
              <w:t>保证金无利息。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keepNext w:val="0"/>
              <w:keepLines w:val="0"/>
              <w:pageBreakBefore w:val="0"/>
              <w:kinsoku/>
              <w:wordWrap/>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w:t>
            </w:r>
            <w:r>
              <w:rPr>
                <w:rFonts w:hint="eastAsia" w:ascii="宋体" w:hAnsi="宋体" w:cs="宋体"/>
                <w:b w:val="0"/>
                <w:bCs w:val="0"/>
                <w:color w:val="auto"/>
                <w:kern w:val="0"/>
                <w:sz w:val="21"/>
                <w:szCs w:val="21"/>
                <w:lang w:val="en-US" w:eastAsia="zh-CN"/>
              </w:rPr>
              <w:t>16</w:t>
            </w:r>
            <w:r>
              <w:rPr>
                <w:rFonts w:hint="eastAsia" w:ascii="宋体" w:hAnsi="宋体" w:cs="宋体"/>
                <w:b w:val="0"/>
                <w:bCs w:val="0"/>
                <w:color w:val="auto"/>
                <w:kern w:val="0"/>
                <w:sz w:val="21"/>
                <w:szCs w:val="21"/>
                <w:lang w:eastAsia="zh-CN"/>
              </w:rPr>
              <w:t>）</w:t>
            </w:r>
          </w:p>
        </w:tc>
        <w:tc>
          <w:tcPr>
            <w:tcW w:w="2523" w:type="dxa"/>
            <w:noWrap w:val="0"/>
            <w:vAlign w:val="center"/>
          </w:tcPr>
          <w:p>
            <w:pPr>
              <w:keepNext w:val="0"/>
              <w:keepLines w:val="0"/>
              <w:pageBreakBefore w:val="0"/>
              <w:kinsoku/>
              <w:wordWrap/>
              <w:overflowPunct w:val="0"/>
              <w:topLinePunct w:val="0"/>
              <w:bidi w:val="0"/>
              <w:adjustRightInd w:val="0"/>
              <w:snapToGrid w:val="0"/>
              <w:spacing w:line="240" w:lineRule="auto"/>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rPr>
              <w:t>重要事项</w:t>
            </w:r>
          </w:p>
        </w:tc>
        <w:tc>
          <w:tcPr>
            <w:tcW w:w="5667" w:type="dxa"/>
            <w:noWrap w:val="0"/>
            <w:vAlign w:val="center"/>
          </w:tcPr>
          <w:p>
            <w:pPr>
              <w:keepNext w:val="0"/>
              <w:keepLines w:val="0"/>
              <w:pageBreakBefore w:val="0"/>
              <w:kinsoku/>
              <w:wordWrap/>
              <w:topLinePunct w:val="0"/>
              <w:bidi w:val="0"/>
              <w:adjustRightInd w:val="0"/>
              <w:snapToGrid w:val="0"/>
              <w:spacing w:line="240" w:lineRule="auto"/>
              <w:ind w:left="2"/>
              <w:jc w:val="left"/>
              <w:textAlignment w:val="auto"/>
              <w:rPr>
                <w:rFonts w:ascii="宋体" w:hAnsi="宋体" w:eastAsia="宋体" w:cs="宋体"/>
                <w:b w:val="0"/>
                <w:bCs w:val="0"/>
                <w:color w:val="auto"/>
                <w:szCs w:val="21"/>
              </w:rPr>
            </w:pPr>
            <w:r>
              <w:rPr>
                <w:rFonts w:hint="eastAsia" w:ascii="宋体" w:hAnsi="宋体" w:eastAsia="宋体" w:cs="宋体"/>
                <w:b w:val="0"/>
                <w:bCs w:val="0"/>
                <w:color w:val="auto"/>
                <w:szCs w:val="21"/>
              </w:rPr>
              <w:t>（1）如发现恶意投诉、虚假投标，将参照不良供应商处罚条例进行处罚</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lang w:val="en-US" w:eastAsia="zh-CN"/>
              </w:rPr>
              <w:t>同时报省建设主管部门</w:t>
            </w:r>
            <w:r>
              <w:rPr>
                <w:rFonts w:hint="eastAsia" w:ascii="宋体" w:hAnsi="宋体" w:eastAsia="宋体" w:cs="宋体"/>
                <w:b w:val="0"/>
                <w:bCs w:val="0"/>
                <w:color w:val="auto"/>
                <w:szCs w:val="21"/>
              </w:rPr>
              <w:t>。</w:t>
            </w:r>
          </w:p>
          <w:p>
            <w:pPr>
              <w:keepNext w:val="0"/>
              <w:keepLines w:val="0"/>
              <w:pageBreakBefore w:val="0"/>
              <w:kinsoku/>
              <w:wordWrap/>
              <w:topLinePunct w:val="0"/>
              <w:bidi w:val="0"/>
              <w:adjustRightInd w:val="0"/>
              <w:snapToGrid w:val="0"/>
              <w:spacing w:line="240" w:lineRule="auto"/>
              <w:ind w:left="2"/>
              <w:jc w:val="left"/>
              <w:textAlignment w:val="auto"/>
              <w:rPr>
                <w:rFonts w:ascii="宋体" w:hAnsi="宋体" w:eastAsia="宋体" w:cs="宋体"/>
                <w:b w:val="0"/>
                <w:bCs w:val="0"/>
                <w:color w:val="auto"/>
                <w:szCs w:val="21"/>
              </w:rPr>
            </w:pPr>
            <w:r>
              <w:rPr>
                <w:rFonts w:hint="eastAsia" w:ascii="宋体" w:hAnsi="宋体" w:eastAsia="宋体" w:cs="宋体"/>
                <w:b w:val="0"/>
                <w:bCs w:val="0"/>
                <w:color w:val="auto"/>
                <w:szCs w:val="21"/>
              </w:rPr>
              <w:t>（2）如发现有围标、串标行为，将列入集团内部黑名单。</w:t>
            </w:r>
          </w:p>
          <w:p>
            <w:pPr>
              <w:keepNext w:val="0"/>
              <w:keepLines w:val="0"/>
              <w:pageBreakBefore w:val="0"/>
              <w:kinsoku/>
              <w:wordWrap/>
              <w:topLinePunct w:val="0"/>
              <w:bidi w:val="0"/>
              <w:adjustRightInd w:val="0"/>
              <w:snapToGrid w:val="0"/>
              <w:spacing w:line="240" w:lineRule="auto"/>
              <w:ind w:left="2"/>
              <w:jc w:val="left"/>
              <w:textAlignment w:val="auto"/>
              <w:rPr>
                <w:rFonts w:hint="eastAsia" w:ascii="宋体" w:hAnsi="宋体" w:cs="宋体"/>
                <w:b w:val="0"/>
                <w:bCs w:val="0"/>
                <w:color w:val="auto"/>
                <w:sz w:val="21"/>
                <w:szCs w:val="21"/>
              </w:rPr>
            </w:pPr>
            <w:r>
              <w:rPr>
                <w:rFonts w:hint="eastAsia" w:ascii="宋体" w:hAnsi="宋体" w:eastAsia="宋体" w:cs="宋体"/>
                <w:b w:val="0"/>
                <w:bCs w:val="0"/>
                <w:color w:val="auto"/>
                <w:szCs w:val="21"/>
              </w:rPr>
              <w:t>（3）中标人放弃中标的，除了按照招投标法处罚外，还要列入集团黑名单。</w:t>
            </w:r>
          </w:p>
        </w:tc>
      </w:tr>
    </w:tbl>
    <w:p>
      <w:pPr>
        <w:keepNext/>
        <w:keepLines/>
        <w:numPr>
          <w:ilvl w:val="0"/>
          <w:numId w:val="2"/>
        </w:numPr>
        <w:tabs>
          <w:tab w:val="left" w:pos="426"/>
        </w:tabs>
        <w:spacing w:line="360" w:lineRule="atLeast"/>
        <w:jc w:val="left"/>
        <w:outlineLvl w:val="2"/>
        <w:rPr>
          <w:rFonts w:hint="eastAsia" w:ascii="宋体" w:hAnsi="宋体" w:eastAsia="宋体" w:cs="宋体"/>
          <w:b w:val="0"/>
          <w:bCs w:val="0"/>
          <w:color w:val="auto"/>
          <w:kern w:val="44"/>
          <w:sz w:val="21"/>
          <w:szCs w:val="21"/>
        </w:rPr>
      </w:pPr>
      <w:r>
        <w:rPr>
          <w:rFonts w:hint="eastAsia" w:ascii="宋体" w:hAnsi="宋体" w:eastAsia="宋体" w:cs="宋体"/>
          <w:b w:val="0"/>
          <w:bCs w:val="0"/>
          <w:color w:val="auto"/>
          <w:kern w:val="44"/>
          <w:sz w:val="21"/>
          <w:szCs w:val="21"/>
        </w:rPr>
        <w:t>评标办法</w:t>
      </w:r>
      <w:bookmarkEnd w:id="11"/>
      <w:bookmarkEnd w:id="12"/>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评标办法前附表</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15"/>
        <w:gridCol w:w="1995"/>
        <w:gridCol w:w="4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2335" w:type="dxa"/>
            <w:gridSpan w:val="2"/>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r>
              <w:rPr>
                <w:rFonts w:hint="eastAsia" w:ascii="宋体" w:hAnsi="宋体" w:cs="宋体"/>
                <w:b w:val="0"/>
                <w:bCs w:val="0"/>
                <w:color w:val="auto"/>
                <w:sz w:val="21"/>
                <w:szCs w:val="21"/>
                <w:lang w:val="zh-CN"/>
              </w:rPr>
              <w:t>条款号</w:t>
            </w:r>
          </w:p>
        </w:tc>
        <w:tc>
          <w:tcPr>
            <w:tcW w:w="1995" w:type="dxa"/>
            <w:noWrap w:val="0"/>
            <w:vAlign w:val="center"/>
          </w:tcPr>
          <w:p>
            <w:pPr>
              <w:autoSpaceDE w:val="0"/>
              <w:autoSpaceDN w:val="0"/>
              <w:adjustRightInd w:val="0"/>
              <w:snapToGrid w:val="0"/>
              <w:spacing w:line="240" w:lineRule="auto"/>
              <w:ind w:firstLine="0" w:firstLineChars="0"/>
              <w:jc w:val="center"/>
              <w:rPr>
                <w:rFonts w:ascii="宋体" w:hAnsi="宋体" w:cs="宋体"/>
                <w:b w:val="0"/>
                <w:bCs w:val="0"/>
                <w:color w:val="auto"/>
                <w:sz w:val="21"/>
                <w:szCs w:val="21"/>
                <w:lang w:val="zh-CN"/>
              </w:rPr>
            </w:pPr>
            <w:r>
              <w:rPr>
                <w:rFonts w:hint="eastAsia" w:ascii="宋体" w:hAnsi="宋体" w:cs="宋体"/>
                <w:b w:val="0"/>
                <w:bCs w:val="0"/>
                <w:color w:val="auto"/>
                <w:sz w:val="21"/>
                <w:szCs w:val="21"/>
                <w:lang w:val="zh-CN"/>
              </w:rPr>
              <w:t>评审因素</w:t>
            </w:r>
          </w:p>
        </w:tc>
        <w:tc>
          <w:tcPr>
            <w:tcW w:w="4956" w:type="dxa"/>
            <w:noWrap w:val="0"/>
            <w:vAlign w:val="center"/>
          </w:tcPr>
          <w:p>
            <w:pPr>
              <w:autoSpaceDE w:val="0"/>
              <w:autoSpaceDN w:val="0"/>
              <w:adjustRightInd w:val="0"/>
              <w:snapToGrid w:val="0"/>
              <w:spacing w:line="240" w:lineRule="auto"/>
              <w:ind w:firstLine="0" w:firstLineChars="0"/>
              <w:jc w:val="center"/>
              <w:rPr>
                <w:rFonts w:ascii="宋体" w:hAnsi="宋体" w:cs="宋体"/>
                <w:b w:val="0"/>
                <w:bCs w:val="0"/>
                <w:color w:val="auto"/>
                <w:sz w:val="21"/>
                <w:szCs w:val="21"/>
                <w:lang w:val="zh-CN"/>
              </w:rPr>
            </w:pPr>
            <w:r>
              <w:rPr>
                <w:rFonts w:hint="eastAsia" w:ascii="宋体" w:hAnsi="宋体" w:cs="宋体"/>
                <w:b w:val="0"/>
                <w:bCs w:val="0"/>
                <w:color w:val="auto"/>
                <w:sz w:val="21"/>
                <w:szCs w:val="21"/>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1020" w:type="dxa"/>
            <w:vMerge w:val="restart"/>
            <w:noWrap w:val="0"/>
            <w:vAlign w:val="center"/>
          </w:tcPr>
          <w:p>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2.1.1</w:t>
            </w:r>
          </w:p>
        </w:tc>
        <w:tc>
          <w:tcPr>
            <w:tcW w:w="1315" w:type="dxa"/>
            <w:vMerge w:val="restart"/>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r>
              <w:rPr>
                <w:rFonts w:hint="eastAsia" w:ascii="宋体" w:hAnsi="宋体" w:cs="宋体"/>
                <w:b w:val="0"/>
                <w:bCs w:val="0"/>
                <w:color w:val="auto"/>
                <w:sz w:val="21"/>
                <w:szCs w:val="21"/>
                <w:lang w:val="zh-CN"/>
              </w:rPr>
              <w:t>资格审查</w:t>
            </w:r>
          </w:p>
        </w:tc>
        <w:tc>
          <w:tcPr>
            <w:tcW w:w="1995" w:type="dxa"/>
            <w:noWrap w:val="0"/>
            <w:vAlign w:val="center"/>
          </w:tcPr>
          <w:p>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2"/>
                <w:sz w:val="21"/>
                <w:szCs w:val="21"/>
                <w:lang w:val="zh-CN" w:eastAsia="zh-CN" w:bidi="ar-SA"/>
              </w:rPr>
            </w:pPr>
            <w:r>
              <w:rPr>
                <w:rFonts w:hint="eastAsia" w:ascii="宋体" w:hAnsi="宋体" w:cs="宋体"/>
                <w:b w:val="0"/>
                <w:bCs w:val="0"/>
                <w:color w:val="auto"/>
                <w:sz w:val="21"/>
                <w:szCs w:val="21"/>
                <w:lang w:val="zh-CN"/>
              </w:rPr>
              <w:t>营业执照</w:t>
            </w:r>
          </w:p>
        </w:tc>
        <w:tc>
          <w:tcPr>
            <w:tcW w:w="4956" w:type="dxa"/>
            <w:noWrap w:val="0"/>
            <w:vAlign w:val="center"/>
          </w:tcPr>
          <w:p>
            <w:pPr>
              <w:autoSpaceDE w:val="0"/>
              <w:autoSpaceDN w:val="0"/>
              <w:adjustRightInd w:val="0"/>
              <w:snapToGrid w:val="0"/>
              <w:spacing w:line="240" w:lineRule="auto"/>
              <w:ind w:firstLine="0" w:firstLineChars="0"/>
              <w:rPr>
                <w:rFonts w:ascii="宋体" w:hAnsi="宋体" w:cs="宋体"/>
                <w:b w:val="0"/>
                <w:bCs w:val="0"/>
                <w:color w:val="auto"/>
                <w:sz w:val="21"/>
                <w:szCs w:val="21"/>
                <w:lang w:val="zh-CN"/>
              </w:rPr>
            </w:pPr>
            <w:r>
              <w:rPr>
                <w:rFonts w:hint="eastAsia" w:ascii="宋体" w:hAnsi="宋体" w:cs="宋体"/>
                <w:b w:val="0"/>
                <w:bCs w:val="0"/>
                <w:color w:val="auto"/>
                <w:sz w:val="21"/>
                <w:szCs w:val="21"/>
                <w:lang w:val="zh-CN"/>
              </w:rPr>
              <w:t>具备有效的营业执照</w:t>
            </w:r>
          </w:p>
          <w:p>
            <w:pPr>
              <w:autoSpaceDE w:val="0"/>
              <w:autoSpaceDN w:val="0"/>
              <w:adjustRightInd w:val="0"/>
              <w:snapToGrid w:val="0"/>
              <w:spacing w:line="240" w:lineRule="auto"/>
              <w:ind w:firstLine="0" w:firstLineChars="0"/>
              <w:rPr>
                <w:rFonts w:hint="eastAsia" w:ascii="宋体" w:hAnsi="宋体" w:eastAsia="宋体" w:cs="宋体"/>
                <w:b w:val="0"/>
                <w:bCs w:val="0"/>
                <w:color w:val="auto"/>
                <w:kern w:val="2"/>
                <w:sz w:val="21"/>
                <w:szCs w:val="21"/>
                <w:lang w:val="zh-CN" w:eastAsia="zh-CN" w:bidi="ar-SA"/>
              </w:rPr>
            </w:pPr>
            <w:r>
              <w:rPr>
                <w:rFonts w:hint="eastAsia" w:ascii="宋体" w:hAnsi="宋体" w:cs="宋体"/>
                <w:b w:val="0"/>
                <w:bCs w:val="0"/>
                <w:color w:val="auto"/>
                <w:sz w:val="21"/>
                <w:szCs w:val="21"/>
                <w:lang w:val="zh-CN"/>
              </w:rPr>
              <w:t>【附营业执照复印件并加盖</w:t>
            </w:r>
            <w:r>
              <w:rPr>
                <w:rFonts w:hint="eastAsia"/>
                <w:b w:val="0"/>
                <w:bCs w:val="0"/>
                <w:color w:val="auto"/>
                <w:sz w:val="21"/>
                <w:szCs w:val="21"/>
              </w:rPr>
              <w:t>投标人</w:t>
            </w:r>
            <w:r>
              <w:rPr>
                <w:rFonts w:hint="eastAsia" w:ascii="宋体" w:hAnsi="宋体" w:cs="宋体"/>
                <w:b w:val="0"/>
                <w:bCs w:val="0"/>
                <w:color w:val="auto"/>
                <w:sz w:val="21"/>
                <w:szCs w:val="21"/>
                <w:lang w:val="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1020" w:type="dxa"/>
            <w:vMerge w:val="continue"/>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p>
        </w:tc>
        <w:tc>
          <w:tcPr>
            <w:tcW w:w="1315" w:type="dxa"/>
            <w:vMerge w:val="continue"/>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p>
        </w:tc>
        <w:tc>
          <w:tcPr>
            <w:tcW w:w="1995" w:type="dxa"/>
            <w:noWrap w:val="0"/>
            <w:vAlign w:val="center"/>
          </w:tcPr>
          <w:p>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2"/>
                <w:sz w:val="21"/>
                <w:szCs w:val="21"/>
                <w:lang w:val="zh-CN" w:eastAsia="zh-CN" w:bidi="ar-SA"/>
              </w:rPr>
            </w:pPr>
            <w:r>
              <w:rPr>
                <w:rFonts w:hint="eastAsia" w:ascii="宋体" w:hAnsi="宋体" w:cs="宋体"/>
                <w:b w:val="0"/>
                <w:bCs w:val="0"/>
                <w:color w:val="auto"/>
                <w:sz w:val="21"/>
                <w:szCs w:val="21"/>
                <w:lang w:val="zh-CN"/>
              </w:rPr>
              <w:t>资质条件</w:t>
            </w:r>
          </w:p>
        </w:tc>
        <w:tc>
          <w:tcPr>
            <w:tcW w:w="4956" w:type="dxa"/>
            <w:noWrap w:val="0"/>
            <w:vAlign w:val="center"/>
          </w:tcPr>
          <w:p>
            <w:pPr>
              <w:snapToGrid w:val="0"/>
              <w:spacing w:line="240" w:lineRule="auto"/>
              <w:ind w:firstLine="0" w:firstLineChars="0"/>
              <w:rPr>
                <w:b w:val="0"/>
                <w:bCs w:val="0"/>
                <w:color w:val="auto"/>
                <w:sz w:val="21"/>
                <w:szCs w:val="21"/>
              </w:rPr>
            </w:pPr>
            <w:r>
              <w:rPr>
                <w:rFonts w:hint="eastAsia"/>
                <w:b w:val="0"/>
                <w:bCs w:val="0"/>
                <w:color w:val="auto"/>
                <w:sz w:val="21"/>
                <w:szCs w:val="21"/>
              </w:rPr>
              <w:t>具备</w:t>
            </w:r>
            <w:r>
              <w:rPr>
                <w:rFonts w:hint="eastAsia" w:ascii="宋体" w:hAnsi="宋体" w:eastAsia="宋体" w:cs="宋体"/>
                <w:b w:val="0"/>
                <w:bCs w:val="0"/>
                <w:color w:val="auto"/>
                <w:sz w:val="21"/>
                <w:szCs w:val="21"/>
                <w:u w:val="none"/>
              </w:rPr>
              <w:t>建筑工程设计专业</w:t>
            </w:r>
            <w:r>
              <w:rPr>
                <w:rFonts w:hint="eastAsia" w:ascii="宋体" w:hAnsi="宋体" w:eastAsia="宋体" w:cs="宋体"/>
                <w:b w:val="0"/>
                <w:bCs w:val="0"/>
                <w:color w:val="auto"/>
                <w:sz w:val="21"/>
                <w:szCs w:val="21"/>
                <w:u w:val="none"/>
                <w:lang w:eastAsia="zh-CN"/>
              </w:rPr>
              <w:t>甲级</w:t>
            </w:r>
            <w:r>
              <w:rPr>
                <w:rFonts w:hint="eastAsia" w:ascii="宋体" w:hAnsi="宋体" w:eastAsia="宋体" w:cs="宋体"/>
                <w:b w:val="0"/>
                <w:bCs w:val="0"/>
                <w:color w:val="auto"/>
                <w:sz w:val="21"/>
                <w:szCs w:val="21"/>
                <w:u w:val="none"/>
              </w:rPr>
              <w:t>（含）及以上</w:t>
            </w:r>
            <w:r>
              <w:rPr>
                <w:rFonts w:hint="eastAsia" w:ascii="宋体" w:hAnsi="宋体" w:eastAsia="宋体" w:cs="宋体"/>
                <w:b w:val="0"/>
                <w:bCs w:val="0"/>
                <w:color w:val="auto"/>
                <w:sz w:val="21"/>
                <w:szCs w:val="21"/>
              </w:rPr>
              <w:t>资质</w:t>
            </w:r>
          </w:p>
          <w:p>
            <w:pPr>
              <w:pStyle w:val="36"/>
              <w:snapToGrid w:val="0"/>
              <w:spacing w:after="0" w:line="240" w:lineRule="auto"/>
              <w:ind w:firstLine="0" w:firstLineChars="0"/>
              <w:rPr>
                <w:rFonts w:hint="eastAsia" w:ascii="宋体" w:hAnsi="宋体" w:eastAsia="宋体" w:cs="宋体"/>
                <w:b w:val="0"/>
                <w:bCs w:val="0"/>
                <w:color w:val="auto"/>
                <w:kern w:val="2"/>
                <w:sz w:val="21"/>
                <w:szCs w:val="21"/>
                <w:lang w:val="zh-CN" w:eastAsia="zh-CN" w:bidi="ar-SA"/>
              </w:rPr>
            </w:pPr>
            <w:r>
              <w:rPr>
                <w:rFonts w:hint="eastAsia" w:ascii="宋体" w:hAnsi="宋体" w:cs="宋体"/>
                <w:b w:val="0"/>
                <w:bCs w:val="0"/>
                <w:color w:val="auto"/>
                <w:sz w:val="21"/>
                <w:szCs w:val="21"/>
                <w:lang w:val="zh-CN"/>
              </w:rPr>
              <w:t>【附资质证书复印件并加盖</w:t>
            </w:r>
            <w:r>
              <w:rPr>
                <w:rFonts w:hint="eastAsia"/>
                <w:b w:val="0"/>
                <w:bCs w:val="0"/>
                <w:color w:val="auto"/>
                <w:sz w:val="21"/>
                <w:szCs w:val="21"/>
              </w:rPr>
              <w:t>投标人</w:t>
            </w:r>
            <w:r>
              <w:rPr>
                <w:rFonts w:hint="eastAsia" w:ascii="宋体" w:hAnsi="宋体" w:cs="宋体"/>
                <w:b w:val="0"/>
                <w:bCs w:val="0"/>
                <w:color w:val="auto"/>
                <w:sz w:val="21"/>
                <w:szCs w:val="21"/>
                <w:lang w:val="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1020" w:type="dxa"/>
            <w:vMerge w:val="continue"/>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p>
        </w:tc>
        <w:tc>
          <w:tcPr>
            <w:tcW w:w="1315" w:type="dxa"/>
            <w:vMerge w:val="continue"/>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p>
        </w:tc>
        <w:tc>
          <w:tcPr>
            <w:tcW w:w="1995" w:type="dxa"/>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r>
              <w:rPr>
                <w:rFonts w:hint="eastAsia" w:ascii="宋体" w:hAnsi="宋体" w:cs="宋体"/>
                <w:b w:val="0"/>
                <w:bCs w:val="0"/>
                <w:color w:val="auto"/>
                <w:sz w:val="21"/>
                <w:szCs w:val="21"/>
                <w:lang w:val="zh-CN"/>
              </w:rPr>
              <w:t>拟派项目负责人</w:t>
            </w:r>
          </w:p>
        </w:tc>
        <w:tc>
          <w:tcPr>
            <w:tcW w:w="4956" w:type="dxa"/>
            <w:noWrap w:val="0"/>
            <w:vAlign w:val="center"/>
          </w:tcPr>
          <w:p>
            <w:pPr>
              <w:pStyle w:val="36"/>
              <w:snapToGrid w:val="0"/>
              <w:spacing w:after="0" w:line="240" w:lineRule="auto"/>
              <w:ind w:firstLine="0" w:firstLineChars="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具备工程类中级（含）及以上职称</w:t>
            </w:r>
          </w:p>
          <w:p>
            <w:pPr>
              <w:pStyle w:val="36"/>
              <w:snapToGrid w:val="0"/>
              <w:spacing w:after="0" w:line="240" w:lineRule="auto"/>
              <w:ind w:firstLine="0" w:firstLineChars="0"/>
              <w:rPr>
                <w:rFonts w:hint="eastAsia" w:ascii="宋体" w:hAnsi="宋体" w:eastAsia="宋体" w:cs="宋体"/>
                <w:b w:val="0"/>
                <w:bCs w:val="0"/>
                <w:color w:val="auto"/>
                <w:sz w:val="21"/>
                <w:szCs w:val="21"/>
                <w:lang w:val="zh-CN"/>
              </w:rPr>
            </w:pPr>
            <w:r>
              <w:rPr>
                <w:rFonts w:hint="eastAsia" w:ascii="宋体" w:hAnsi="宋体" w:cs="宋体"/>
                <w:b w:val="0"/>
                <w:bCs w:val="0"/>
                <w:color w:val="auto"/>
                <w:sz w:val="21"/>
                <w:szCs w:val="21"/>
                <w:lang w:val="zh-CN"/>
              </w:rPr>
              <w:t>【附相关证书复印件并加盖</w:t>
            </w:r>
            <w:r>
              <w:rPr>
                <w:rFonts w:hint="eastAsia"/>
                <w:b w:val="0"/>
                <w:bCs w:val="0"/>
                <w:color w:val="auto"/>
                <w:sz w:val="21"/>
                <w:szCs w:val="21"/>
              </w:rPr>
              <w:t>投标人</w:t>
            </w:r>
            <w:r>
              <w:rPr>
                <w:rFonts w:hint="eastAsia" w:ascii="宋体" w:hAnsi="宋体" w:cs="宋体"/>
                <w:b w:val="0"/>
                <w:bCs w:val="0"/>
                <w:color w:val="auto"/>
                <w:sz w:val="21"/>
                <w:szCs w:val="21"/>
                <w:lang w:val="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1020" w:type="dxa"/>
            <w:vMerge w:val="continue"/>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p>
        </w:tc>
        <w:tc>
          <w:tcPr>
            <w:tcW w:w="1315" w:type="dxa"/>
            <w:vMerge w:val="continue"/>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p>
        </w:tc>
        <w:tc>
          <w:tcPr>
            <w:tcW w:w="1995" w:type="dxa"/>
            <w:noWrap w:val="0"/>
            <w:vAlign w:val="center"/>
          </w:tcPr>
          <w:p>
            <w:pPr>
              <w:snapToGrid w:val="0"/>
              <w:jc w:val="center"/>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sz w:val="21"/>
                <w:szCs w:val="21"/>
              </w:rPr>
              <w:t>财务</w:t>
            </w:r>
            <w:r>
              <w:rPr>
                <w:rFonts w:hint="eastAsia" w:ascii="宋体" w:hAnsi="宋体" w:eastAsia="宋体" w:cs="宋体"/>
                <w:b w:val="0"/>
                <w:bCs w:val="0"/>
                <w:color w:val="auto"/>
                <w:sz w:val="21"/>
                <w:szCs w:val="21"/>
                <w:lang w:eastAsia="zh-CN"/>
              </w:rPr>
              <w:t>要求</w:t>
            </w:r>
          </w:p>
        </w:tc>
        <w:tc>
          <w:tcPr>
            <w:tcW w:w="4956" w:type="dxa"/>
            <w:noWrap w:val="0"/>
            <w:vAlign w:val="top"/>
          </w:tcPr>
          <w:p>
            <w:pPr>
              <w:snapToGrid w:val="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提供了满足磋商文件要求的</w:t>
            </w:r>
            <w:r>
              <w:rPr>
                <w:rFonts w:hint="eastAsia" w:ascii="宋体" w:hAnsi="宋体" w:cs="宋体"/>
                <w:b w:val="0"/>
                <w:bCs w:val="0"/>
                <w:color w:val="auto"/>
                <w:sz w:val="21"/>
                <w:szCs w:val="21"/>
              </w:rPr>
              <w:t>2018</w:t>
            </w:r>
            <w:r>
              <w:rPr>
                <w:rFonts w:ascii="宋体" w:hAnsi="宋体" w:cs="宋体"/>
                <w:b w:val="0"/>
                <w:bCs w:val="0"/>
                <w:color w:val="auto"/>
                <w:sz w:val="21"/>
                <w:szCs w:val="21"/>
                <w:lang w:val="zh-CN"/>
              </w:rPr>
              <w:t>年</w:t>
            </w:r>
            <w:r>
              <w:rPr>
                <w:rFonts w:hint="eastAsia" w:ascii="宋体" w:hAnsi="宋体" w:cs="宋体"/>
                <w:b w:val="0"/>
                <w:bCs w:val="0"/>
                <w:color w:val="auto"/>
                <w:sz w:val="21"/>
                <w:szCs w:val="21"/>
                <w:lang w:val="en-US" w:eastAsia="zh-CN"/>
              </w:rPr>
              <w:t>或2019年</w:t>
            </w:r>
            <w:r>
              <w:rPr>
                <w:rFonts w:hint="eastAsia" w:ascii="宋体" w:hAnsi="宋体" w:eastAsia="宋体" w:cs="宋体"/>
                <w:b w:val="0"/>
                <w:bCs w:val="0"/>
                <w:color w:val="auto"/>
                <w:sz w:val="21"/>
                <w:szCs w:val="21"/>
              </w:rPr>
              <w:t>经审计的财务报表或本年度基本开户银行出具的资信证明</w:t>
            </w:r>
          </w:p>
          <w:p>
            <w:pPr>
              <w:snapToGrid w:val="0"/>
              <w:jc w:val="left"/>
              <w:rPr>
                <w:rFonts w:hint="eastAsia" w:ascii="宋体" w:hAnsi="宋体" w:eastAsia="宋体" w:cs="宋体"/>
                <w:b w:val="0"/>
                <w:bCs w:val="0"/>
                <w:color w:val="auto"/>
                <w:kern w:val="2"/>
                <w:sz w:val="21"/>
                <w:szCs w:val="21"/>
                <w:lang w:val="zh-CN" w:eastAsia="zh-CN" w:bidi="ar-SA"/>
              </w:rPr>
            </w:pPr>
            <w:r>
              <w:rPr>
                <w:rFonts w:hint="eastAsia" w:ascii="宋体" w:hAnsi="宋体" w:cs="宋体"/>
                <w:b w:val="0"/>
                <w:bCs w:val="0"/>
                <w:color w:val="auto"/>
                <w:sz w:val="21"/>
                <w:szCs w:val="21"/>
                <w:lang w:val="zh-CN"/>
              </w:rPr>
              <w:t>【附</w:t>
            </w:r>
            <w:r>
              <w:rPr>
                <w:rFonts w:hint="eastAsia" w:ascii="宋体" w:hAnsi="宋体" w:cs="宋体"/>
                <w:b w:val="0"/>
                <w:bCs w:val="0"/>
                <w:color w:val="auto"/>
                <w:sz w:val="21"/>
                <w:szCs w:val="21"/>
                <w:lang w:val="en-US" w:eastAsia="zh-CN"/>
              </w:rPr>
              <w:t>相关证明资料</w:t>
            </w:r>
            <w:r>
              <w:rPr>
                <w:rFonts w:hint="eastAsia" w:ascii="宋体" w:hAnsi="宋体" w:cs="宋体"/>
                <w:b w:val="0"/>
                <w:bCs w:val="0"/>
                <w:color w:val="auto"/>
                <w:sz w:val="21"/>
                <w:szCs w:val="21"/>
                <w:lang w:val="zh-CN"/>
              </w:rPr>
              <w:t>并加盖</w:t>
            </w:r>
            <w:r>
              <w:rPr>
                <w:rFonts w:hint="eastAsia"/>
                <w:b w:val="0"/>
                <w:bCs w:val="0"/>
                <w:color w:val="auto"/>
                <w:sz w:val="21"/>
                <w:szCs w:val="21"/>
              </w:rPr>
              <w:t>投标人</w:t>
            </w:r>
            <w:r>
              <w:rPr>
                <w:rFonts w:hint="eastAsia" w:ascii="宋体" w:hAnsi="宋体" w:cs="宋体"/>
                <w:b w:val="0"/>
                <w:bCs w:val="0"/>
                <w:color w:val="auto"/>
                <w:sz w:val="21"/>
                <w:szCs w:val="21"/>
                <w:lang w:val="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1020" w:type="dxa"/>
            <w:vMerge w:val="continue"/>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p>
        </w:tc>
        <w:tc>
          <w:tcPr>
            <w:tcW w:w="1315" w:type="dxa"/>
            <w:vMerge w:val="continue"/>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p>
        </w:tc>
        <w:tc>
          <w:tcPr>
            <w:tcW w:w="1995" w:type="dxa"/>
            <w:noWrap w:val="0"/>
            <w:vAlign w:val="center"/>
          </w:tcPr>
          <w:p>
            <w:pPr>
              <w:snapToGrid w:val="0"/>
              <w:jc w:val="center"/>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信誉要求</w:t>
            </w:r>
          </w:p>
        </w:tc>
        <w:tc>
          <w:tcPr>
            <w:tcW w:w="4956" w:type="dxa"/>
            <w:noWrap w:val="0"/>
            <w:vAlign w:val="top"/>
          </w:tcPr>
          <w:p>
            <w:pPr>
              <w:autoSpaceDE w:val="0"/>
              <w:autoSpaceDN w:val="0"/>
              <w:adjustRightInd w:val="0"/>
              <w:snapToGrid w:val="0"/>
              <w:spacing w:line="240" w:lineRule="auto"/>
              <w:ind w:firstLine="0" w:firstLineChars="0"/>
              <w:rPr>
                <w:b w:val="0"/>
                <w:bCs w:val="0"/>
                <w:color w:val="auto"/>
                <w:sz w:val="21"/>
                <w:szCs w:val="21"/>
                <w:lang w:val="zh-CN"/>
              </w:rPr>
            </w:pPr>
            <w:r>
              <w:rPr>
                <w:rFonts w:hint="eastAsia"/>
                <w:b w:val="0"/>
                <w:bCs w:val="0"/>
                <w:color w:val="auto"/>
                <w:sz w:val="21"/>
                <w:szCs w:val="21"/>
              </w:rPr>
              <w:t>1、</w:t>
            </w:r>
            <w:r>
              <w:rPr>
                <w:rFonts w:hint="eastAsia"/>
                <w:b w:val="0"/>
                <w:bCs w:val="0"/>
                <w:color w:val="auto"/>
                <w:sz w:val="21"/>
                <w:szCs w:val="21"/>
                <w:lang w:val="zh-CN"/>
              </w:rPr>
              <w:t>投标人须书面承诺：</w:t>
            </w:r>
          </w:p>
          <w:p>
            <w:pPr>
              <w:autoSpaceDE w:val="0"/>
              <w:autoSpaceDN w:val="0"/>
              <w:adjustRightInd w:val="0"/>
              <w:snapToGrid w:val="0"/>
              <w:spacing w:line="240" w:lineRule="auto"/>
              <w:ind w:firstLine="0" w:firstLineChars="0"/>
              <w:rPr>
                <w:b w:val="0"/>
                <w:bCs w:val="0"/>
                <w:color w:val="auto"/>
                <w:sz w:val="21"/>
                <w:szCs w:val="21"/>
                <w:lang w:val="zh-CN"/>
              </w:rPr>
            </w:pPr>
            <w:r>
              <w:rPr>
                <w:rFonts w:hint="eastAsia"/>
                <w:b w:val="0"/>
                <w:bCs w:val="0"/>
                <w:color w:val="auto"/>
                <w:sz w:val="21"/>
                <w:szCs w:val="21"/>
                <w:lang w:val="zh-CN"/>
              </w:rPr>
              <w:t>（</w:t>
            </w:r>
            <w:r>
              <w:rPr>
                <w:rFonts w:hint="eastAsia"/>
                <w:b w:val="0"/>
                <w:bCs w:val="0"/>
                <w:color w:val="auto"/>
                <w:sz w:val="21"/>
                <w:szCs w:val="21"/>
              </w:rPr>
              <w:t>1</w:t>
            </w:r>
            <w:r>
              <w:rPr>
                <w:rFonts w:hint="eastAsia"/>
                <w:b w:val="0"/>
                <w:bCs w:val="0"/>
                <w:color w:val="auto"/>
                <w:sz w:val="21"/>
                <w:szCs w:val="21"/>
                <w:lang w:val="zh-CN"/>
              </w:rPr>
              <w:t>）负责人为同一人或者存在控股、管理关系的不同供应商，不得同时参加同一项目/包件采购；</w:t>
            </w:r>
          </w:p>
          <w:p>
            <w:pPr>
              <w:autoSpaceDE w:val="0"/>
              <w:autoSpaceDN w:val="0"/>
              <w:adjustRightInd w:val="0"/>
              <w:snapToGrid w:val="0"/>
              <w:spacing w:line="240" w:lineRule="auto"/>
              <w:ind w:firstLine="0" w:firstLineChars="0"/>
              <w:rPr>
                <w:b w:val="0"/>
                <w:bCs w:val="0"/>
                <w:color w:val="auto"/>
                <w:sz w:val="21"/>
                <w:szCs w:val="21"/>
                <w:lang w:val="zh-CN"/>
              </w:rPr>
            </w:pPr>
            <w:r>
              <w:rPr>
                <w:rFonts w:hint="eastAsia"/>
                <w:b w:val="0"/>
                <w:bCs w:val="0"/>
                <w:color w:val="auto"/>
                <w:sz w:val="21"/>
                <w:szCs w:val="21"/>
                <w:lang w:val="zh-CN"/>
              </w:rPr>
              <w:t>（</w:t>
            </w:r>
            <w:r>
              <w:rPr>
                <w:rFonts w:hint="eastAsia"/>
                <w:b w:val="0"/>
                <w:bCs w:val="0"/>
                <w:color w:val="auto"/>
                <w:sz w:val="21"/>
                <w:szCs w:val="21"/>
              </w:rPr>
              <w:t>2</w:t>
            </w:r>
            <w:r>
              <w:rPr>
                <w:rFonts w:hint="eastAsia"/>
                <w:b w:val="0"/>
                <w:bCs w:val="0"/>
                <w:color w:val="auto"/>
                <w:sz w:val="21"/>
                <w:szCs w:val="21"/>
                <w:lang w:val="zh-CN"/>
              </w:rPr>
              <w:t>）</w:t>
            </w:r>
            <w:r>
              <w:rPr>
                <w:rFonts w:hint="eastAsia"/>
                <w:b w:val="0"/>
                <w:bCs w:val="0"/>
                <w:color w:val="auto"/>
                <w:sz w:val="21"/>
                <w:szCs w:val="21"/>
              </w:rPr>
              <w:t>我单位未</w:t>
            </w:r>
            <w:r>
              <w:rPr>
                <w:rFonts w:hint="eastAsia"/>
                <w:b w:val="0"/>
                <w:bCs w:val="0"/>
                <w:color w:val="auto"/>
                <w:sz w:val="21"/>
                <w:szCs w:val="21"/>
                <w:lang w:val="zh-CN"/>
              </w:rPr>
              <w:t>列入政府取消投标资格记录。</w:t>
            </w:r>
          </w:p>
          <w:p>
            <w:pPr>
              <w:autoSpaceDE w:val="0"/>
              <w:autoSpaceDN w:val="0"/>
              <w:adjustRightInd w:val="0"/>
              <w:snapToGrid w:val="0"/>
              <w:spacing w:line="240" w:lineRule="auto"/>
              <w:ind w:firstLine="0" w:firstLineChars="0"/>
              <w:rPr>
                <w:b w:val="0"/>
                <w:bCs w:val="0"/>
                <w:color w:val="auto"/>
                <w:sz w:val="21"/>
                <w:szCs w:val="21"/>
                <w:lang w:val="zh-CN"/>
              </w:rPr>
            </w:pPr>
            <w:r>
              <w:rPr>
                <w:rFonts w:hint="eastAsia"/>
                <w:b w:val="0"/>
                <w:bCs w:val="0"/>
                <w:color w:val="auto"/>
                <w:sz w:val="21"/>
                <w:szCs w:val="21"/>
                <w:lang w:val="zh-CN"/>
              </w:rPr>
              <w:t>【附承诺书原件并加盖投标人公章】</w:t>
            </w:r>
          </w:p>
          <w:p>
            <w:pPr>
              <w:autoSpaceDE w:val="0"/>
              <w:autoSpaceDN w:val="0"/>
              <w:adjustRightInd w:val="0"/>
              <w:snapToGrid w:val="0"/>
              <w:spacing w:line="240" w:lineRule="auto"/>
              <w:ind w:firstLine="0" w:firstLineChars="0"/>
              <w:rPr>
                <w:b w:val="0"/>
                <w:bCs w:val="0"/>
                <w:color w:val="auto"/>
                <w:sz w:val="21"/>
                <w:szCs w:val="21"/>
                <w:lang w:val="zh-CN"/>
              </w:rPr>
            </w:pPr>
            <w:r>
              <w:rPr>
                <w:rFonts w:hint="eastAsia"/>
                <w:b w:val="0"/>
                <w:bCs w:val="0"/>
                <w:color w:val="auto"/>
                <w:sz w:val="21"/>
                <w:szCs w:val="21"/>
                <w:lang w:val="zh-CN"/>
              </w:rPr>
              <w:t>未被“信用中国”网站列入失信被执行人，附网站截图并加盖投标人公章</w:t>
            </w:r>
            <w:r>
              <w:rPr>
                <w:rFonts w:hint="eastAsia"/>
                <w:b w:val="0"/>
                <w:bCs w:val="0"/>
                <w:color w:val="auto"/>
                <w:sz w:val="21"/>
                <w:szCs w:val="21"/>
              </w:rPr>
              <w:t>。</w:t>
            </w:r>
          </w:p>
          <w:p>
            <w:pPr>
              <w:snapToGrid w:val="0"/>
              <w:jc w:val="left"/>
              <w:rPr>
                <w:rFonts w:hint="eastAsia" w:ascii="宋体" w:hAnsi="宋体" w:eastAsia="宋体" w:cs="宋体"/>
                <w:b w:val="0"/>
                <w:bCs w:val="0"/>
                <w:color w:val="auto"/>
                <w:kern w:val="2"/>
                <w:sz w:val="21"/>
                <w:szCs w:val="21"/>
                <w:lang w:val="zh-CN" w:eastAsia="zh-CN" w:bidi="ar-SA"/>
              </w:rPr>
            </w:pPr>
            <w:r>
              <w:rPr>
                <w:rFonts w:hint="eastAsia"/>
                <w:b w:val="0"/>
                <w:bCs w:val="0"/>
                <w:color w:val="auto"/>
                <w:sz w:val="21"/>
                <w:szCs w:val="21"/>
                <w:lang w:val="zh-CN"/>
              </w:rPr>
              <w:t>【附网站截图并加盖投标人公章】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1020" w:type="dxa"/>
            <w:vMerge w:val="restart"/>
            <w:noWrap w:val="0"/>
            <w:vAlign w:val="center"/>
          </w:tcPr>
          <w:p>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2.1.2</w:t>
            </w:r>
          </w:p>
        </w:tc>
        <w:tc>
          <w:tcPr>
            <w:tcW w:w="1315" w:type="dxa"/>
            <w:vMerge w:val="restart"/>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r>
              <w:rPr>
                <w:rFonts w:hint="eastAsia" w:ascii="宋体" w:hAnsi="宋体" w:cs="宋体"/>
                <w:b w:val="0"/>
                <w:bCs w:val="0"/>
                <w:color w:val="auto"/>
                <w:kern w:val="0"/>
                <w:sz w:val="21"/>
                <w:szCs w:val="21"/>
              </w:rPr>
              <w:t>符合性评审</w:t>
            </w:r>
          </w:p>
        </w:tc>
        <w:tc>
          <w:tcPr>
            <w:tcW w:w="1995" w:type="dxa"/>
            <w:noWrap w:val="0"/>
            <w:vAlign w:val="center"/>
          </w:tcPr>
          <w:p>
            <w:pPr>
              <w:tabs>
                <w:tab w:val="left" w:pos="1260"/>
                <w:tab w:val="left" w:pos="1620"/>
              </w:tabs>
              <w:adjustRightInd w:val="0"/>
              <w:snapToGrid w:val="0"/>
              <w:jc w:val="center"/>
              <w:textAlignment w:val="baseline"/>
              <w:rPr>
                <w:rFonts w:hint="eastAsia" w:ascii="宋体" w:hAnsi="宋体"/>
                <w:b w:val="0"/>
                <w:bCs w:val="0"/>
                <w:color w:val="auto"/>
                <w:kern w:val="2"/>
                <w:sz w:val="21"/>
                <w:szCs w:val="21"/>
                <w:lang w:val="zh-CN" w:eastAsia="zh-CN" w:bidi="ar-SA"/>
              </w:rPr>
            </w:pPr>
            <w:r>
              <w:rPr>
                <w:rFonts w:hint="eastAsia" w:ascii="宋体" w:hAnsi="宋体"/>
                <w:b w:val="0"/>
                <w:bCs w:val="0"/>
                <w:color w:val="auto"/>
                <w:sz w:val="21"/>
                <w:szCs w:val="21"/>
              </w:rPr>
              <w:t>响应文件签署盖章</w:t>
            </w:r>
          </w:p>
        </w:tc>
        <w:tc>
          <w:tcPr>
            <w:tcW w:w="4956" w:type="dxa"/>
            <w:noWrap w:val="0"/>
            <w:vAlign w:val="center"/>
          </w:tcPr>
          <w:p>
            <w:pPr>
              <w:tabs>
                <w:tab w:val="left" w:pos="1260"/>
                <w:tab w:val="left" w:pos="1620"/>
              </w:tabs>
              <w:adjustRightInd w:val="0"/>
              <w:snapToGrid w:val="0"/>
              <w:textAlignment w:val="baseline"/>
              <w:rPr>
                <w:rFonts w:hint="eastAsia" w:ascii="宋体" w:hAnsi="宋体"/>
                <w:b w:val="0"/>
                <w:bCs w:val="0"/>
                <w:color w:val="auto"/>
                <w:kern w:val="2"/>
                <w:sz w:val="21"/>
                <w:szCs w:val="21"/>
                <w:lang w:val="zh-CN" w:eastAsia="zh-CN" w:bidi="ar-SA"/>
              </w:rPr>
            </w:pPr>
            <w:r>
              <w:rPr>
                <w:rFonts w:hint="eastAsia" w:ascii="宋体" w:hAnsi="宋体"/>
                <w:b w:val="0"/>
                <w:bCs w:val="0"/>
                <w:color w:val="auto"/>
                <w:sz w:val="21"/>
                <w:szCs w:val="21"/>
              </w:rPr>
              <w:t>按磋商文件格式要求加</w:t>
            </w:r>
            <w:r>
              <w:rPr>
                <w:rFonts w:ascii="宋体" w:hAnsi="宋体"/>
                <w:b w:val="0"/>
                <w:bCs w:val="0"/>
                <w:color w:val="auto"/>
                <w:sz w:val="21"/>
                <w:szCs w:val="21"/>
              </w:rPr>
              <w:t>盖了</w:t>
            </w:r>
            <w:r>
              <w:rPr>
                <w:rFonts w:hint="eastAsia" w:ascii="宋体" w:hAnsi="宋体"/>
                <w:b w:val="0"/>
                <w:bCs w:val="0"/>
                <w:color w:val="auto"/>
                <w:sz w:val="21"/>
                <w:szCs w:val="21"/>
              </w:rPr>
              <w:t>供应商公</w:t>
            </w:r>
            <w:r>
              <w:rPr>
                <w:rFonts w:ascii="宋体" w:hAnsi="宋体"/>
                <w:b w:val="0"/>
                <w:bCs w:val="0"/>
                <w:color w:val="auto"/>
                <w:sz w:val="21"/>
                <w:szCs w:val="21"/>
              </w:rPr>
              <w:t>章</w:t>
            </w:r>
            <w:r>
              <w:rPr>
                <w:rFonts w:hint="eastAsia" w:ascii="宋体" w:hAnsi="宋体"/>
                <w:b w:val="0"/>
                <w:bCs w:val="0"/>
                <w:color w:val="auto"/>
                <w:sz w:val="21"/>
                <w:szCs w:val="21"/>
              </w:rPr>
              <w:t>和</w:t>
            </w:r>
            <w:r>
              <w:rPr>
                <w:rFonts w:ascii="宋体" w:hAnsi="宋体"/>
                <w:b w:val="0"/>
                <w:bCs w:val="0"/>
                <w:color w:val="auto"/>
                <w:sz w:val="21"/>
                <w:szCs w:val="21"/>
              </w:rPr>
              <w:t>法定代表人或</w:t>
            </w:r>
            <w:r>
              <w:rPr>
                <w:rFonts w:hint="eastAsia" w:ascii="宋体" w:hAnsi="宋体"/>
                <w:b w:val="0"/>
                <w:bCs w:val="0"/>
                <w:color w:val="auto"/>
                <w:sz w:val="21"/>
                <w:szCs w:val="21"/>
              </w:rPr>
              <w:t>其授权代表</w:t>
            </w:r>
            <w:r>
              <w:rPr>
                <w:rFonts w:ascii="宋体" w:hAnsi="宋体"/>
                <w:b w:val="0"/>
                <w:bCs w:val="0"/>
                <w:color w:val="auto"/>
                <w:sz w:val="21"/>
                <w:szCs w:val="21"/>
              </w:rPr>
              <w:t>签字或</w:t>
            </w:r>
            <w:r>
              <w:rPr>
                <w:rFonts w:hint="eastAsia" w:ascii="宋体" w:hAnsi="宋体"/>
                <w:b w:val="0"/>
                <w:bCs w:val="0"/>
                <w:color w:val="auto"/>
                <w:sz w:val="21"/>
                <w:szCs w:val="21"/>
              </w:rPr>
              <w:t>加盖人名章</w:t>
            </w:r>
            <w:r>
              <w:rPr>
                <w:rFonts w:ascii="宋体" w:hAnsi="宋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1020" w:type="dxa"/>
            <w:vMerge w:val="continue"/>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en-US" w:eastAsia="zh-CN"/>
              </w:rPr>
            </w:pPr>
          </w:p>
        </w:tc>
        <w:tc>
          <w:tcPr>
            <w:tcW w:w="1315" w:type="dxa"/>
            <w:vMerge w:val="continue"/>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kern w:val="0"/>
                <w:sz w:val="21"/>
                <w:szCs w:val="21"/>
              </w:rPr>
            </w:pPr>
          </w:p>
        </w:tc>
        <w:tc>
          <w:tcPr>
            <w:tcW w:w="1995" w:type="dxa"/>
            <w:noWrap w:val="0"/>
            <w:vAlign w:val="center"/>
          </w:tcPr>
          <w:p>
            <w:pPr>
              <w:tabs>
                <w:tab w:val="left" w:pos="1260"/>
                <w:tab w:val="left" w:pos="1620"/>
              </w:tabs>
              <w:adjustRightInd w:val="0"/>
              <w:snapToGrid w:val="0"/>
              <w:jc w:val="center"/>
              <w:textAlignment w:val="baseline"/>
              <w:rPr>
                <w:rFonts w:hint="eastAsia" w:ascii="宋体" w:hAnsi="宋体"/>
                <w:b w:val="0"/>
                <w:bCs w:val="0"/>
                <w:color w:val="auto"/>
                <w:kern w:val="2"/>
                <w:sz w:val="21"/>
                <w:szCs w:val="21"/>
                <w:lang w:val="en-US" w:eastAsia="zh-CN" w:bidi="ar-SA"/>
              </w:rPr>
            </w:pPr>
            <w:r>
              <w:rPr>
                <w:rFonts w:hint="eastAsia" w:ascii="宋体" w:hAnsi="宋体"/>
                <w:b w:val="0"/>
                <w:bCs w:val="0"/>
                <w:color w:val="auto"/>
                <w:sz w:val="21"/>
                <w:szCs w:val="21"/>
              </w:rPr>
              <w:t>报价</w:t>
            </w:r>
          </w:p>
        </w:tc>
        <w:tc>
          <w:tcPr>
            <w:tcW w:w="4956" w:type="dxa"/>
            <w:noWrap w:val="0"/>
            <w:vAlign w:val="center"/>
          </w:tcPr>
          <w:p>
            <w:pPr>
              <w:tabs>
                <w:tab w:val="left" w:pos="1260"/>
                <w:tab w:val="left" w:pos="1620"/>
              </w:tabs>
              <w:adjustRightInd w:val="0"/>
              <w:snapToGrid w:val="0"/>
              <w:textAlignment w:val="baseline"/>
              <w:rPr>
                <w:rFonts w:hint="eastAsia" w:ascii="宋体" w:hAnsi="宋体"/>
                <w:b w:val="0"/>
                <w:bCs w:val="0"/>
                <w:color w:val="auto"/>
                <w:kern w:val="2"/>
                <w:sz w:val="21"/>
                <w:szCs w:val="21"/>
                <w:lang w:val="en-US" w:eastAsia="zh-CN" w:bidi="ar-SA"/>
              </w:rPr>
            </w:pPr>
            <w:r>
              <w:rPr>
                <w:rFonts w:hint="eastAsia" w:ascii="宋体" w:hAnsi="宋体"/>
                <w:b w:val="0"/>
                <w:bCs w:val="0"/>
                <w:color w:val="auto"/>
                <w:sz w:val="21"/>
                <w:szCs w:val="21"/>
              </w:rPr>
              <w:t>报价是固定价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1020" w:type="dxa"/>
            <w:vMerge w:val="continue"/>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en-US" w:eastAsia="zh-CN"/>
              </w:rPr>
            </w:pPr>
          </w:p>
        </w:tc>
        <w:tc>
          <w:tcPr>
            <w:tcW w:w="1315" w:type="dxa"/>
            <w:vMerge w:val="continue"/>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kern w:val="0"/>
                <w:sz w:val="21"/>
                <w:szCs w:val="21"/>
              </w:rPr>
            </w:pPr>
          </w:p>
        </w:tc>
        <w:tc>
          <w:tcPr>
            <w:tcW w:w="1995" w:type="dxa"/>
            <w:noWrap w:val="0"/>
            <w:vAlign w:val="center"/>
          </w:tcPr>
          <w:p>
            <w:pPr>
              <w:tabs>
                <w:tab w:val="left" w:pos="1260"/>
                <w:tab w:val="left" w:pos="1620"/>
              </w:tabs>
              <w:adjustRightInd w:val="0"/>
              <w:snapToGrid w:val="0"/>
              <w:jc w:val="center"/>
              <w:textAlignment w:val="baseline"/>
              <w:rPr>
                <w:rFonts w:hint="eastAsia" w:ascii="宋体" w:hAnsi="宋体"/>
                <w:b w:val="0"/>
                <w:bCs w:val="0"/>
                <w:color w:val="auto"/>
                <w:kern w:val="2"/>
                <w:sz w:val="21"/>
                <w:szCs w:val="21"/>
                <w:lang w:val="en-US" w:eastAsia="zh-CN" w:bidi="ar-SA"/>
              </w:rPr>
            </w:pPr>
            <w:r>
              <w:rPr>
                <w:rFonts w:hint="eastAsia" w:ascii="宋体" w:hAnsi="宋体"/>
                <w:b w:val="0"/>
                <w:bCs w:val="0"/>
                <w:color w:val="auto"/>
                <w:sz w:val="21"/>
                <w:szCs w:val="21"/>
              </w:rPr>
              <w:t>附加条件</w:t>
            </w:r>
          </w:p>
        </w:tc>
        <w:tc>
          <w:tcPr>
            <w:tcW w:w="4956" w:type="dxa"/>
            <w:noWrap w:val="0"/>
            <w:vAlign w:val="center"/>
          </w:tcPr>
          <w:p>
            <w:pPr>
              <w:tabs>
                <w:tab w:val="left" w:pos="1260"/>
                <w:tab w:val="left" w:pos="1620"/>
              </w:tabs>
              <w:adjustRightInd w:val="0"/>
              <w:snapToGrid w:val="0"/>
              <w:textAlignment w:val="baseline"/>
              <w:rPr>
                <w:rFonts w:hint="eastAsia" w:ascii="宋体" w:hAnsi="宋体"/>
                <w:b w:val="0"/>
                <w:bCs w:val="0"/>
                <w:color w:val="auto"/>
                <w:kern w:val="2"/>
                <w:sz w:val="21"/>
                <w:szCs w:val="21"/>
                <w:lang w:val="en-US" w:eastAsia="zh-CN" w:bidi="ar-SA"/>
              </w:rPr>
            </w:pPr>
            <w:r>
              <w:rPr>
                <w:rFonts w:hint="eastAsia" w:ascii="宋体" w:hAnsi="宋体"/>
                <w:b w:val="0"/>
                <w:bCs w:val="0"/>
                <w:color w:val="auto"/>
                <w:sz w:val="21"/>
                <w:szCs w:val="21"/>
              </w:rPr>
              <w:t>响应文件不含有采购人不能接受的附加条件；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1020" w:type="dxa"/>
            <w:vMerge w:val="continue"/>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en-US" w:eastAsia="zh-CN"/>
              </w:rPr>
            </w:pPr>
          </w:p>
        </w:tc>
        <w:tc>
          <w:tcPr>
            <w:tcW w:w="1315" w:type="dxa"/>
            <w:vMerge w:val="continue"/>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kern w:val="0"/>
                <w:sz w:val="21"/>
                <w:szCs w:val="21"/>
              </w:rPr>
            </w:pPr>
          </w:p>
        </w:tc>
        <w:tc>
          <w:tcPr>
            <w:tcW w:w="1995" w:type="dxa"/>
            <w:noWrap w:val="0"/>
            <w:vAlign w:val="center"/>
          </w:tcPr>
          <w:p>
            <w:pPr>
              <w:tabs>
                <w:tab w:val="left" w:pos="1260"/>
                <w:tab w:val="left" w:pos="1620"/>
              </w:tabs>
              <w:adjustRightInd w:val="0"/>
              <w:snapToGrid w:val="0"/>
              <w:jc w:val="center"/>
              <w:textAlignment w:val="baseline"/>
              <w:rPr>
                <w:rFonts w:hint="eastAsia" w:ascii="宋体" w:hAnsi="宋体"/>
                <w:b w:val="0"/>
                <w:bCs w:val="0"/>
                <w:color w:val="auto"/>
                <w:kern w:val="2"/>
                <w:sz w:val="21"/>
                <w:szCs w:val="21"/>
                <w:lang w:val="en-US" w:eastAsia="zh-CN" w:bidi="ar-SA"/>
              </w:rPr>
            </w:pPr>
            <w:r>
              <w:rPr>
                <w:rFonts w:hint="eastAsia" w:ascii="宋体" w:hAnsi="宋体"/>
                <w:b w:val="0"/>
                <w:bCs w:val="0"/>
                <w:color w:val="auto"/>
                <w:sz w:val="21"/>
                <w:szCs w:val="21"/>
              </w:rPr>
              <w:t>响应文件有效期</w:t>
            </w:r>
          </w:p>
        </w:tc>
        <w:tc>
          <w:tcPr>
            <w:tcW w:w="4956" w:type="dxa"/>
            <w:noWrap w:val="0"/>
            <w:vAlign w:val="center"/>
          </w:tcPr>
          <w:p>
            <w:pPr>
              <w:tabs>
                <w:tab w:val="left" w:pos="1260"/>
                <w:tab w:val="left" w:pos="1620"/>
              </w:tabs>
              <w:adjustRightInd w:val="0"/>
              <w:snapToGrid w:val="0"/>
              <w:textAlignment w:val="baseline"/>
              <w:rPr>
                <w:rFonts w:hint="eastAsia" w:ascii="宋体" w:hAnsi="宋体"/>
                <w:b w:val="0"/>
                <w:bCs w:val="0"/>
                <w:color w:val="auto"/>
                <w:kern w:val="2"/>
                <w:sz w:val="21"/>
                <w:szCs w:val="21"/>
                <w:lang w:val="en-US" w:eastAsia="zh-CN" w:bidi="ar-SA"/>
              </w:rPr>
            </w:pPr>
            <w:r>
              <w:rPr>
                <w:rFonts w:ascii="宋体" w:hAnsi="宋体"/>
                <w:b w:val="0"/>
                <w:bCs w:val="0"/>
                <w:color w:val="auto"/>
                <w:sz w:val="21"/>
                <w:szCs w:val="21"/>
              </w:rPr>
              <w:t>有效期满足磋商文件要求的</w:t>
            </w:r>
            <w:r>
              <w:rPr>
                <w:rFonts w:hint="eastAsia" w:ascii="宋体" w:hAnsi="宋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1020" w:type="dxa"/>
            <w:vMerge w:val="continue"/>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en-US" w:eastAsia="zh-CN"/>
              </w:rPr>
            </w:pPr>
          </w:p>
        </w:tc>
        <w:tc>
          <w:tcPr>
            <w:tcW w:w="1315" w:type="dxa"/>
            <w:vMerge w:val="continue"/>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kern w:val="0"/>
                <w:sz w:val="21"/>
                <w:szCs w:val="21"/>
              </w:rPr>
            </w:pPr>
          </w:p>
        </w:tc>
        <w:tc>
          <w:tcPr>
            <w:tcW w:w="1995" w:type="dxa"/>
            <w:noWrap w:val="0"/>
            <w:vAlign w:val="center"/>
          </w:tcPr>
          <w:p>
            <w:pPr>
              <w:tabs>
                <w:tab w:val="left" w:pos="1260"/>
                <w:tab w:val="left" w:pos="1620"/>
              </w:tabs>
              <w:adjustRightInd w:val="0"/>
              <w:snapToGrid w:val="0"/>
              <w:jc w:val="center"/>
              <w:textAlignment w:val="baseline"/>
              <w:rPr>
                <w:rFonts w:hint="eastAsia" w:ascii="宋体" w:hAnsi="宋体"/>
                <w:b w:val="0"/>
                <w:bCs w:val="0"/>
                <w:color w:val="auto"/>
                <w:kern w:val="2"/>
                <w:sz w:val="21"/>
                <w:szCs w:val="21"/>
                <w:lang w:val="en-US" w:eastAsia="zh-CN" w:bidi="ar-SA"/>
              </w:rPr>
            </w:pPr>
            <w:r>
              <w:rPr>
                <w:rFonts w:hint="eastAsia" w:ascii="宋体" w:hAnsi="宋体"/>
                <w:b w:val="0"/>
                <w:bCs w:val="0"/>
                <w:color w:val="auto"/>
                <w:sz w:val="21"/>
                <w:szCs w:val="21"/>
              </w:rPr>
              <w:t>响应文件装订方式</w:t>
            </w:r>
          </w:p>
        </w:tc>
        <w:tc>
          <w:tcPr>
            <w:tcW w:w="4956" w:type="dxa"/>
            <w:noWrap w:val="0"/>
            <w:vAlign w:val="center"/>
          </w:tcPr>
          <w:p>
            <w:pPr>
              <w:tabs>
                <w:tab w:val="left" w:pos="1260"/>
                <w:tab w:val="left" w:pos="1620"/>
              </w:tabs>
              <w:adjustRightInd w:val="0"/>
              <w:snapToGrid w:val="0"/>
              <w:textAlignment w:val="baseline"/>
              <w:rPr>
                <w:rFonts w:ascii="宋体" w:hAnsi="宋体"/>
                <w:b w:val="0"/>
                <w:bCs w:val="0"/>
                <w:color w:val="auto"/>
                <w:kern w:val="2"/>
                <w:sz w:val="21"/>
                <w:szCs w:val="21"/>
                <w:lang w:val="en-US" w:eastAsia="zh-CN" w:bidi="ar-SA"/>
              </w:rPr>
            </w:pPr>
            <w:r>
              <w:rPr>
                <w:rFonts w:hint="eastAsia" w:ascii="宋体" w:hAnsi="宋体"/>
                <w:b w:val="0"/>
                <w:bCs w:val="0"/>
                <w:color w:val="auto"/>
                <w:sz w:val="21"/>
                <w:szCs w:val="21"/>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1020" w:type="dxa"/>
            <w:vMerge w:val="continue"/>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en-US" w:eastAsia="zh-CN"/>
              </w:rPr>
            </w:pPr>
          </w:p>
        </w:tc>
        <w:tc>
          <w:tcPr>
            <w:tcW w:w="1315" w:type="dxa"/>
            <w:vMerge w:val="continue"/>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kern w:val="0"/>
                <w:sz w:val="21"/>
                <w:szCs w:val="21"/>
              </w:rPr>
            </w:pPr>
          </w:p>
        </w:tc>
        <w:tc>
          <w:tcPr>
            <w:tcW w:w="1995" w:type="dxa"/>
            <w:noWrap w:val="0"/>
            <w:vAlign w:val="center"/>
          </w:tcPr>
          <w:p>
            <w:pPr>
              <w:tabs>
                <w:tab w:val="left" w:pos="1260"/>
                <w:tab w:val="left" w:pos="1620"/>
              </w:tabs>
              <w:adjustRightInd w:val="0"/>
              <w:snapToGrid w:val="0"/>
              <w:jc w:val="center"/>
              <w:textAlignment w:val="baseline"/>
              <w:rPr>
                <w:rFonts w:hint="eastAsia" w:ascii="宋体" w:hAnsi="宋体"/>
                <w:b w:val="0"/>
                <w:bCs w:val="0"/>
                <w:color w:val="auto"/>
                <w:kern w:val="2"/>
                <w:sz w:val="21"/>
                <w:szCs w:val="21"/>
                <w:lang w:val="en-US" w:eastAsia="zh-CN" w:bidi="ar-SA"/>
              </w:rPr>
            </w:pPr>
            <w:r>
              <w:rPr>
                <w:rFonts w:hint="eastAsia" w:ascii="宋体" w:hAnsi="宋体"/>
                <w:b w:val="0"/>
                <w:bCs w:val="0"/>
                <w:color w:val="auto"/>
                <w:sz w:val="21"/>
                <w:szCs w:val="21"/>
              </w:rPr>
              <w:t>响应文件格式</w:t>
            </w:r>
          </w:p>
        </w:tc>
        <w:tc>
          <w:tcPr>
            <w:tcW w:w="4956" w:type="dxa"/>
            <w:noWrap w:val="0"/>
            <w:vAlign w:val="center"/>
          </w:tcPr>
          <w:p>
            <w:pPr>
              <w:tabs>
                <w:tab w:val="left" w:pos="1260"/>
                <w:tab w:val="left" w:pos="1620"/>
              </w:tabs>
              <w:adjustRightInd w:val="0"/>
              <w:snapToGrid w:val="0"/>
              <w:textAlignment w:val="baseline"/>
              <w:rPr>
                <w:rFonts w:hint="eastAsia" w:ascii="宋体" w:hAnsi="宋体"/>
                <w:b w:val="0"/>
                <w:bCs w:val="0"/>
                <w:color w:val="auto"/>
                <w:kern w:val="2"/>
                <w:sz w:val="21"/>
                <w:szCs w:val="21"/>
                <w:lang w:val="en-US" w:eastAsia="zh-CN" w:bidi="ar-SA"/>
              </w:rPr>
            </w:pPr>
            <w:r>
              <w:rPr>
                <w:rFonts w:hint="eastAsia" w:ascii="宋体" w:hAnsi="宋体"/>
                <w:b w:val="0"/>
                <w:bCs w:val="0"/>
                <w:color w:val="auto"/>
                <w:sz w:val="21"/>
                <w:szCs w:val="21"/>
              </w:rPr>
              <w:t>响应文件</w:t>
            </w:r>
            <w:r>
              <w:rPr>
                <w:rFonts w:ascii="宋体" w:hAnsi="宋体"/>
                <w:b w:val="0"/>
                <w:bCs w:val="0"/>
                <w:color w:val="auto"/>
                <w:sz w:val="21"/>
                <w:szCs w:val="21"/>
              </w:rPr>
              <w:t>按规定的格式填写，内容</w:t>
            </w:r>
            <w:r>
              <w:rPr>
                <w:rFonts w:hint="eastAsia" w:ascii="宋体" w:hAnsi="宋体"/>
                <w:b w:val="0"/>
                <w:bCs w:val="0"/>
                <w:color w:val="auto"/>
                <w:sz w:val="21"/>
                <w:szCs w:val="21"/>
              </w:rPr>
              <w:t>完整且</w:t>
            </w:r>
            <w:r>
              <w:rPr>
                <w:rFonts w:ascii="宋体" w:hAnsi="宋体"/>
                <w:b w:val="0"/>
                <w:bCs w:val="0"/>
                <w:color w:val="auto"/>
                <w:sz w:val="21"/>
                <w:szCs w:val="21"/>
              </w:rPr>
              <w:t>关键字迹</w:t>
            </w:r>
            <w:r>
              <w:rPr>
                <w:rFonts w:hint="eastAsia" w:ascii="宋体" w:hAnsi="宋体"/>
                <w:b w:val="0"/>
                <w:bCs w:val="0"/>
                <w:color w:val="auto"/>
                <w:sz w:val="21"/>
                <w:szCs w:val="21"/>
              </w:rPr>
              <w:t>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1020" w:type="dxa"/>
            <w:vMerge w:val="continue"/>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en-US" w:eastAsia="zh-CN"/>
              </w:rPr>
            </w:pPr>
          </w:p>
        </w:tc>
        <w:tc>
          <w:tcPr>
            <w:tcW w:w="1315" w:type="dxa"/>
            <w:vMerge w:val="continue"/>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kern w:val="0"/>
                <w:sz w:val="21"/>
                <w:szCs w:val="21"/>
              </w:rPr>
            </w:pPr>
          </w:p>
        </w:tc>
        <w:tc>
          <w:tcPr>
            <w:tcW w:w="1995" w:type="dxa"/>
            <w:noWrap w:val="0"/>
            <w:vAlign w:val="center"/>
          </w:tcPr>
          <w:p>
            <w:pPr>
              <w:tabs>
                <w:tab w:val="left" w:pos="1260"/>
                <w:tab w:val="left" w:pos="1620"/>
              </w:tabs>
              <w:adjustRightInd w:val="0"/>
              <w:snapToGrid w:val="0"/>
              <w:jc w:val="center"/>
              <w:textAlignment w:val="baseline"/>
              <w:rPr>
                <w:rFonts w:hint="eastAsia" w:ascii="宋体" w:hAnsi="宋体"/>
                <w:b w:val="0"/>
                <w:bCs w:val="0"/>
                <w:color w:val="auto"/>
                <w:kern w:val="2"/>
                <w:sz w:val="21"/>
                <w:szCs w:val="21"/>
                <w:lang w:val="en-US" w:eastAsia="zh-CN" w:bidi="ar-SA"/>
              </w:rPr>
            </w:pPr>
            <w:r>
              <w:rPr>
                <w:rFonts w:hint="eastAsia" w:ascii="宋体" w:hAnsi="宋体"/>
                <w:b w:val="0"/>
                <w:bCs w:val="0"/>
                <w:color w:val="auto"/>
                <w:sz w:val="21"/>
                <w:szCs w:val="21"/>
              </w:rPr>
              <w:t>备选方案</w:t>
            </w:r>
          </w:p>
        </w:tc>
        <w:tc>
          <w:tcPr>
            <w:tcW w:w="4956" w:type="dxa"/>
            <w:noWrap w:val="0"/>
            <w:vAlign w:val="center"/>
          </w:tcPr>
          <w:p>
            <w:pPr>
              <w:tabs>
                <w:tab w:val="left" w:pos="1260"/>
                <w:tab w:val="left" w:pos="1620"/>
              </w:tabs>
              <w:adjustRightInd w:val="0"/>
              <w:snapToGrid w:val="0"/>
              <w:textAlignment w:val="baseline"/>
              <w:rPr>
                <w:rFonts w:hint="eastAsia" w:ascii="宋体" w:hAnsi="宋体"/>
                <w:b w:val="0"/>
                <w:bCs w:val="0"/>
                <w:strike/>
                <w:color w:val="auto"/>
                <w:kern w:val="2"/>
                <w:sz w:val="21"/>
                <w:szCs w:val="21"/>
                <w:lang w:val="en-US" w:eastAsia="zh-CN" w:bidi="ar-SA"/>
              </w:rPr>
            </w:pPr>
            <w:r>
              <w:rPr>
                <w:rFonts w:hint="eastAsia" w:ascii="宋体" w:hAnsi="宋体"/>
                <w:b w:val="0"/>
                <w:bCs w:val="0"/>
                <w:color w:val="auto"/>
                <w:sz w:val="21"/>
                <w:szCs w:val="21"/>
              </w:rPr>
              <w:t>供应商不得提交两份或者多份内容不同的响应文件，或者在同一份响应文件中对同一磋商项目有两个或者多个报价；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1020" w:type="dxa"/>
            <w:vMerge w:val="continue"/>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en-US" w:eastAsia="zh-CN"/>
              </w:rPr>
            </w:pPr>
          </w:p>
        </w:tc>
        <w:tc>
          <w:tcPr>
            <w:tcW w:w="1315" w:type="dxa"/>
            <w:vMerge w:val="continue"/>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kern w:val="0"/>
                <w:sz w:val="21"/>
                <w:szCs w:val="21"/>
              </w:rPr>
            </w:pPr>
          </w:p>
        </w:tc>
        <w:tc>
          <w:tcPr>
            <w:tcW w:w="1995" w:type="dxa"/>
            <w:noWrap w:val="0"/>
            <w:vAlign w:val="center"/>
          </w:tcPr>
          <w:p>
            <w:pPr>
              <w:tabs>
                <w:tab w:val="left" w:pos="1260"/>
                <w:tab w:val="left" w:pos="1620"/>
              </w:tabs>
              <w:adjustRightInd w:val="0"/>
              <w:snapToGrid w:val="0"/>
              <w:jc w:val="center"/>
              <w:textAlignment w:val="baseline"/>
              <w:rPr>
                <w:rFonts w:hint="eastAsia" w:ascii="宋体" w:hAnsi="宋体"/>
                <w:b w:val="0"/>
                <w:bCs w:val="0"/>
                <w:color w:val="auto"/>
                <w:kern w:val="2"/>
                <w:sz w:val="21"/>
                <w:szCs w:val="21"/>
                <w:lang w:val="en-US" w:eastAsia="zh-CN" w:bidi="ar-SA"/>
              </w:rPr>
            </w:pPr>
            <w:r>
              <w:rPr>
                <w:rFonts w:hint="eastAsia" w:ascii="宋体" w:hAnsi="宋体"/>
                <w:b w:val="0"/>
                <w:bCs w:val="0"/>
                <w:color w:val="auto"/>
                <w:sz w:val="21"/>
                <w:szCs w:val="21"/>
              </w:rPr>
              <w:t>响应文件内容</w:t>
            </w:r>
          </w:p>
        </w:tc>
        <w:tc>
          <w:tcPr>
            <w:tcW w:w="4956" w:type="dxa"/>
            <w:noWrap w:val="0"/>
            <w:vAlign w:val="center"/>
          </w:tcPr>
          <w:p>
            <w:pPr>
              <w:tabs>
                <w:tab w:val="left" w:pos="1260"/>
                <w:tab w:val="left" w:pos="1620"/>
              </w:tabs>
              <w:adjustRightInd w:val="0"/>
              <w:snapToGrid w:val="0"/>
              <w:textAlignment w:val="baseline"/>
              <w:rPr>
                <w:rFonts w:hint="eastAsia" w:ascii="宋体" w:hAnsi="宋体"/>
                <w:b w:val="0"/>
                <w:bCs w:val="0"/>
                <w:color w:val="auto"/>
                <w:kern w:val="2"/>
                <w:sz w:val="21"/>
                <w:szCs w:val="21"/>
                <w:lang w:val="en-US" w:eastAsia="zh-CN" w:bidi="ar-SA"/>
              </w:rPr>
            </w:pPr>
            <w:r>
              <w:rPr>
                <w:rFonts w:hint="eastAsia" w:ascii="宋体" w:hAnsi="宋体"/>
                <w:b w:val="0"/>
                <w:bCs w:val="0"/>
                <w:color w:val="auto"/>
                <w:sz w:val="21"/>
                <w:szCs w:val="21"/>
              </w:rPr>
              <w:t>供应商提供的服务无实质性遗漏</w:t>
            </w:r>
          </w:p>
        </w:tc>
      </w:tr>
    </w:tbl>
    <w:p>
      <w:pPr>
        <w:tabs>
          <w:tab w:val="left" w:pos="-94"/>
          <w:tab w:val="left" w:pos="428"/>
        </w:tabs>
        <w:adjustRightInd w:val="0"/>
        <w:spacing w:line="0" w:lineRule="atLeast"/>
        <w:ind w:left="23" w:leftChars="11"/>
        <w:jc w:val="center"/>
        <w:textAlignment w:val="baseline"/>
        <w:outlineLvl w:val="1"/>
        <w:rPr>
          <w:rFonts w:ascii="宋体" w:hAnsi="宋体"/>
          <w:b w:val="0"/>
          <w:bCs w:val="0"/>
          <w:color w:val="auto"/>
          <w:sz w:val="28"/>
          <w:szCs w:val="28"/>
        </w:rPr>
      </w:pPr>
      <w:bookmarkStart w:id="26" w:name="_Toc414446034"/>
      <w:bookmarkStart w:id="27" w:name="_Toc410631198"/>
    </w:p>
    <w:bookmarkEnd w:id="26"/>
    <w:bookmarkEnd w:id="27"/>
    <w:tbl>
      <w:tblPr>
        <w:tblStyle w:val="42"/>
        <w:tblW w:w="0" w:type="auto"/>
        <w:tblInd w:w="-122" w:type="dxa"/>
        <w:tblLayout w:type="fixed"/>
        <w:tblCellMar>
          <w:top w:w="0" w:type="dxa"/>
          <w:left w:w="0" w:type="dxa"/>
          <w:bottom w:w="0" w:type="dxa"/>
          <w:right w:w="0" w:type="dxa"/>
        </w:tblCellMar>
      </w:tblPr>
      <w:tblGrid>
        <w:gridCol w:w="1050"/>
        <w:gridCol w:w="825"/>
        <w:gridCol w:w="612"/>
        <w:gridCol w:w="1665"/>
        <w:gridCol w:w="825"/>
        <w:gridCol w:w="4259"/>
      </w:tblGrid>
      <w:tr>
        <w:tblPrEx>
          <w:tblCellMar>
            <w:top w:w="0" w:type="dxa"/>
            <w:left w:w="0" w:type="dxa"/>
            <w:bottom w:w="0" w:type="dxa"/>
            <w:right w:w="0" w:type="dxa"/>
          </w:tblCellMar>
        </w:tblPrEx>
        <w:trPr>
          <w:trHeight w:val="91" w:hRule="atLeast"/>
          <w:tblHeader/>
        </w:trPr>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kern w:val="2"/>
                <w:sz w:val="21"/>
                <w:szCs w:val="21"/>
                <w:lang w:val="zh-CN" w:eastAsia="zh-CN" w:bidi="ar-SA"/>
              </w:rPr>
            </w:pPr>
            <w:r>
              <w:rPr>
                <w:rFonts w:hint="eastAsia" w:ascii="宋体" w:hAnsi="宋体" w:cs="宋体"/>
                <w:b w:val="0"/>
                <w:bCs w:val="0"/>
                <w:color w:val="auto"/>
                <w:sz w:val="21"/>
                <w:szCs w:val="21"/>
                <w:lang w:val="zh-CN"/>
              </w:rPr>
              <w:t>条款号</w:t>
            </w:r>
          </w:p>
        </w:tc>
        <w:tc>
          <w:tcPr>
            <w:tcW w:w="2277"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kern w:val="2"/>
                <w:sz w:val="21"/>
                <w:szCs w:val="21"/>
                <w:lang w:val="zh-CN" w:eastAsia="zh-CN" w:bidi="ar-SA"/>
              </w:rPr>
            </w:pPr>
            <w:r>
              <w:rPr>
                <w:rFonts w:hint="eastAsia" w:ascii="宋体" w:hAnsi="宋体" w:cs="宋体"/>
                <w:b w:val="0"/>
                <w:bCs w:val="0"/>
                <w:color w:val="auto"/>
                <w:sz w:val="21"/>
                <w:szCs w:val="21"/>
                <w:lang w:val="zh-CN"/>
              </w:rPr>
              <w:t>评审因素</w:t>
            </w:r>
          </w:p>
        </w:tc>
        <w:tc>
          <w:tcPr>
            <w:tcW w:w="825" w:type="dxa"/>
            <w:tcBorders>
              <w:top w:val="single" w:color="auto" w:sz="4" w:space="0"/>
              <w:left w:val="nil"/>
              <w:bottom w:val="single" w:color="auto" w:sz="4" w:space="0"/>
              <w:right w:val="single" w:color="auto" w:sz="4" w:space="0"/>
            </w:tcBorders>
            <w:noWrap w:val="0"/>
            <w:vAlign w:val="center"/>
          </w:tcPr>
          <w:p>
            <w:pPr>
              <w:snapToGrid w:val="0"/>
              <w:spacing w:line="0" w:lineRule="atLeast"/>
              <w:jc w:val="center"/>
              <w:rPr>
                <w:rFonts w:hint="eastAsia" w:ascii="宋体" w:hAnsi="宋体" w:cs="宋体"/>
                <w:b w:val="0"/>
                <w:bCs w:val="0"/>
                <w:color w:val="auto"/>
                <w:sz w:val="21"/>
                <w:szCs w:val="21"/>
              </w:rPr>
            </w:pPr>
            <w:r>
              <w:rPr>
                <w:rFonts w:hint="eastAsia" w:ascii="宋体" w:hAnsi="宋体" w:cs="宋体"/>
                <w:b w:val="0"/>
                <w:bCs w:val="0"/>
                <w:color w:val="auto"/>
                <w:sz w:val="21"/>
                <w:szCs w:val="21"/>
              </w:rPr>
              <w:t>基准</w:t>
            </w:r>
          </w:p>
          <w:p>
            <w:pPr>
              <w:snapToGrid w:val="0"/>
              <w:spacing w:line="0" w:lineRule="atLeast"/>
              <w:jc w:val="center"/>
              <w:rPr>
                <w:rFonts w:hint="eastAsia" w:ascii="宋体" w:hAnsi="宋体" w:cs="宋体"/>
                <w:b w:val="0"/>
                <w:bCs w:val="0"/>
                <w:color w:val="auto"/>
                <w:sz w:val="21"/>
                <w:szCs w:val="21"/>
              </w:rPr>
            </w:pPr>
            <w:r>
              <w:rPr>
                <w:rFonts w:hint="eastAsia" w:ascii="宋体" w:hAnsi="宋体" w:cs="宋体"/>
                <w:b w:val="0"/>
                <w:bCs w:val="0"/>
                <w:color w:val="auto"/>
                <w:sz w:val="21"/>
                <w:szCs w:val="21"/>
              </w:rPr>
              <w:t>分值</w:t>
            </w:r>
          </w:p>
        </w:tc>
        <w:tc>
          <w:tcPr>
            <w:tcW w:w="4259" w:type="dxa"/>
            <w:tcBorders>
              <w:top w:val="single" w:color="auto" w:sz="4" w:space="0"/>
              <w:left w:val="nil"/>
              <w:bottom w:val="single" w:color="auto" w:sz="4" w:space="0"/>
              <w:right w:val="single" w:color="auto" w:sz="4" w:space="0"/>
            </w:tcBorders>
            <w:noWrap w:val="0"/>
            <w:vAlign w:val="center"/>
          </w:tcPr>
          <w:p>
            <w:pPr>
              <w:snapToGrid w:val="0"/>
              <w:spacing w:line="0" w:lineRule="atLeast"/>
              <w:jc w:val="center"/>
              <w:rPr>
                <w:rFonts w:hint="eastAsia" w:ascii="宋体" w:hAnsi="宋体" w:cs="宋体"/>
                <w:b w:val="0"/>
                <w:bCs w:val="0"/>
                <w:color w:val="auto"/>
                <w:sz w:val="21"/>
                <w:szCs w:val="21"/>
              </w:rPr>
            </w:pPr>
            <w:r>
              <w:rPr>
                <w:rFonts w:hint="eastAsia" w:ascii="宋体" w:hAnsi="宋体" w:cs="宋体"/>
                <w:b w:val="0"/>
                <w:bCs w:val="0"/>
                <w:color w:val="auto"/>
                <w:sz w:val="21"/>
                <w:szCs w:val="21"/>
                <w:lang w:val="zh-CN"/>
              </w:rPr>
              <w:t>评审标准</w:t>
            </w:r>
          </w:p>
        </w:tc>
      </w:tr>
      <w:tr>
        <w:tblPrEx>
          <w:tblCellMar>
            <w:top w:w="0" w:type="dxa"/>
            <w:left w:w="0" w:type="dxa"/>
            <w:bottom w:w="0" w:type="dxa"/>
            <w:right w:w="0" w:type="dxa"/>
          </w:tblCellMar>
        </w:tblPrEx>
        <w:trPr>
          <w:trHeight w:val="91" w:hRule="atLeast"/>
          <w:tblHeader/>
        </w:trPr>
        <w:tc>
          <w:tcPr>
            <w:tcW w:w="1050"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2.3.1</w:t>
            </w:r>
          </w:p>
        </w:tc>
        <w:tc>
          <w:tcPr>
            <w:tcW w:w="825" w:type="dxa"/>
            <w:vMerge w:val="restart"/>
            <w:tcBorders>
              <w:top w:val="single" w:color="auto" w:sz="4" w:space="0"/>
              <w:left w:val="single" w:color="auto" w:sz="4" w:space="0"/>
              <w:right w:val="single" w:color="auto" w:sz="4" w:space="0"/>
            </w:tcBorders>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商务部分</w:t>
            </w:r>
            <w:r>
              <w:rPr>
                <w:rFonts w:hint="eastAsia" w:ascii="宋体" w:hAnsi="宋体" w:eastAsia="宋体" w:cs="宋体"/>
                <w:b w:val="0"/>
                <w:bCs w:val="0"/>
                <w:color w:val="auto"/>
                <w:sz w:val="21"/>
                <w:szCs w:val="21"/>
                <w:lang w:eastAsia="zh-CN"/>
              </w:rPr>
              <w:t>标准</w:t>
            </w:r>
          </w:p>
          <w:p>
            <w:pPr>
              <w:pStyle w:val="2"/>
              <w:pageBreakBefore w:val="0"/>
              <w:widowControl w:val="0"/>
              <w:kinsoku/>
              <w:wordWrap/>
              <w:overflowPunct/>
              <w:topLinePunct w:val="0"/>
              <w:bidi w:val="0"/>
              <w:snapToGrid w:val="0"/>
              <w:spacing w:before="0" w:after="0" w:line="240" w:lineRule="auto"/>
              <w:textAlignment w:val="auto"/>
              <w:rPr>
                <w:rFonts w:hint="eastAsia"/>
                <w:b w:val="0"/>
                <w:bCs w:val="0"/>
                <w:color w:val="auto"/>
                <w:lang w:val="zh-CN" w:eastAsia="zh-CN"/>
              </w:rPr>
            </w:pPr>
            <w:r>
              <w:rPr>
                <w:rFonts w:hint="eastAsia" w:ascii="宋体" w:hAnsi="宋体" w:eastAsia="宋体" w:cs="宋体"/>
                <w:b w:val="0"/>
                <w:bCs w:val="0"/>
                <w:color w:val="auto"/>
                <w:sz w:val="21"/>
                <w:szCs w:val="21"/>
                <w:lang w:val="zh-CN" w:eastAsia="zh-CN"/>
              </w:rPr>
              <w:t>（</w:t>
            </w:r>
            <w:r>
              <w:rPr>
                <w:rFonts w:hint="eastAsia" w:ascii="宋体" w:hAnsi="宋体" w:eastAsia="宋体" w:cs="宋体"/>
                <w:b w:val="0"/>
                <w:bCs w:val="0"/>
                <w:color w:val="auto"/>
                <w:sz w:val="21"/>
                <w:szCs w:val="21"/>
                <w:lang w:val="en-US" w:eastAsia="zh-CN"/>
              </w:rPr>
              <w:t>15分</w:t>
            </w:r>
            <w:r>
              <w:rPr>
                <w:rFonts w:hint="eastAsia" w:ascii="宋体" w:hAnsi="宋体" w:eastAsia="宋体" w:cs="宋体"/>
                <w:b w:val="0"/>
                <w:bCs w:val="0"/>
                <w:color w:val="auto"/>
                <w:sz w:val="21"/>
                <w:szCs w:val="21"/>
                <w:lang w:val="zh-CN" w:eastAsia="zh-CN"/>
              </w:rPr>
              <w:t>）</w:t>
            </w:r>
          </w:p>
        </w:tc>
        <w:tc>
          <w:tcPr>
            <w:tcW w:w="2277"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cs="宋体"/>
                <w:b w:val="0"/>
                <w:bCs w:val="0"/>
                <w:color w:val="auto"/>
                <w:sz w:val="21"/>
                <w:szCs w:val="21"/>
                <w:lang w:val="zh-CN"/>
              </w:rPr>
            </w:pPr>
            <w:r>
              <w:rPr>
                <w:rFonts w:hint="eastAsia" w:ascii="宋体" w:hAnsi="宋体" w:eastAsia="宋体" w:cs="宋体"/>
                <w:b w:val="0"/>
                <w:bCs w:val="0"/>
                <w:color w:val="auto"/>
                <w:spacing w:val="-6"/>
                <w:sz w:val="21"/>
                <w:szCs w:val="21"/>
              </w:rPr>
              <w:t>类似</w:t>
            </w:r>
            <w:r>
              <w:rPr>
                <w:rFonts w:hint="eastAsia" w:ascii="宋体" w:hAnsi="宋体" w:eastAsia="宋体" w:cs="宋体"/>
                <w:b w:val="0"/>
                <w:bCs w:val="0"/>
                <w:color w:val="auto"/>
                <w:spacing w:val="-6"/>
                <w:sz w:val="21"/>
                <w:szCs w:val="21"/>
                <w:lang w:eastAsia="zh-CN"/>
              </w:rPr>
              <w:t>业绩</w:t>
            </w:r>
          </w:p>
        </w:tc>
        <w:tc>
          <w:tcPr>
            <w:tcW w:w="82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pacing w:val="-6"/>
                <w:sz w:val="21"/>
                <w:szCs w:val="21"/>
                <w:lang w:val="en-US" w:eastAsia="zh-CN"/>
              </w:rPr>
              <w:t>10</w:t>
            </w:r>
            <w:r>
              <w:rPr>
                <w:rFonts w:hint="eastAsia" w:ascii="宋体" w:hAnsi="宋体" w:eastAsia="宋体" w:cs="宋体"/>
                <w:b w:val="0"/>
                <w:bCs w:val="0"/>
                <w:color w:val="auto"/>
                <w:spacing w:val="-6"/>
                <w:sz w:val="21"/>
                <w:szCs w:val="21"/>
              </w:rPr>
              <w:t>分</w:t>
            </w:r>
          </w:p>
        </w:tc>
        <w:tc>
          <w:tcPr>
            <w:tcW w:w="4259"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宋体" w:hAnsi="宋体" w:eastAsia="宋体" w:cs="宋体"/>
                <w:b w:val="0"/>
                <w:bCs w:val="0"/>
                <w:color w:val="auto"/>
                <w:sz w:val="21"/>
                <w:szCs w:val="21"/>
                <w:highlight w:val="none"/>
              </w:rPr>
            </w:pPr>
            <w:r>
              <w:rPr>
                <w:rFonts w:hint="eastAsia" w:ascii="宋体" w:hAnsi="宋体" w:cs="宋体"/>
                <w:b w:val="0"/>
                <w:bCs w:val="0"/>
                <w:color w:val="auto"/>
                <w:szCs w:val="21"/>
                <w:highlight w:val="none"/>
                <w:lang w:val="zh-CN"/>
              </w:rPr>
              <w:t>近三年</w:t>
            </w:r>
            <w:r>
              <w:rPr>
                <w:rFonts w:hint="eastAsia" w:ascii="宋体" w:hAnsi="宋体" w:cs="宋体"/>
                <w:b w:val="0"/>
                <w:bCs w:val="0"/>
                <w:color w:val="auto"/>
                <w:szCs w:val="21"/>
                <w:highlight w:val="none"/>
              </w:rPr>
              <w:t>（</w:t>
            </w:r>
            <w:r>
              <w:rPr>
                <w:rFonts w:ascii="宋体" w:hAnsi="宋体" w:cs="宋体"/>
                <w:b w:val="0"/>
                <w:bCs w:val="0"/>
                <w:color w:val="auto"/>
                <w:szCs w:val="21"/>
                <w:highlight w:val="none"/>
              </w:rPr>
              <w:t>20</w:t>
            </w:r>
            <w:r>
              <w:rPr>
                <w:rFonts w:hint="eastAsia" w:ascii="宋体" w:hAnsi="宋体" w:cs="宋体"/>
                <w:b w:val="0"/>
                <w:bCs w:val="0"/>
                <w:color w:val="auto"/>
                <w:szCs w:val="21"/>
                <w:highlight w:val="none"/>
              </w:rPr>
              <w:t>17年1月1日至今</w:t>
            </w:r>
            <w:r>
              <w:rPr>
                <w:rFonts w:hint="eastAsia" w:ascii="宋体" w:hAnsi="宋体"/>
                <w:b w:val="0"/>
                <w:bCs w:val="0"/>
                <w:color w:val="auto"/>
                <w:szCs w:val="21"/>
                <w:highlight w:val="none"/>
                <w:lang w:val="en-US" w:eastAsia="zh-CN"/>
              </w:rPr>
              <w:t>，</w:t>
            </w:r>
            <w:r>
              <w:rPr>
                <w:rFonts w:hint="eastAsia" w:ascii="宋体" w:hAnsi="宋体"/>
                <w:b w:val="0"/>
                <w:bCs w:val="0"/>
                <w:color w:val="auto"/>
                <w:szCs w:val="21"/>
                <w:highlight w:val="none"/>
              </w:rPr>
              <w:t>以合同签订时间为准</w:t>
            </w:r>
            <w:r>
              <w:rPr>
                <w:rFonts w:hint="eastAsia" w:ascii="宋体" w:hAnsi="宋体" w:cs="宋体"/>
                <w:b w:val="0"/>
                <w:bCs w:val="0"/>
                <w:color w:val="auto"/>
                <w:szCs w:val="21"/>
                <w:highlight w:val="none"/>
                <w:lang w:eastAsia="zh-CN"/>
              </w:rPr>
              <w:t>）</w:t>
            </w:r>
            <w:r>
              <w:rPr>
                <w:rFonts w:hint="eastAsia" w:ascii="宋体" w:hAnsi="宋体"/>
                <w:b w:val="0"/>
                <w:bCs w:val="0"/>
                <w:color w:val="auto"/>
                <w:szCs w:val="21"/>
                <w:highlight w:val="none"/>
              </w:rPr>
              <w:t>房屋建筑工程设计业绩</w:t>
            </w:r>
            <w:r>
              <w:rPr>
                <w:rFonts w:hint="eastAsia" w:ascii="宋体" w:hAnsi="宋体"/>
                <w:b w:val="0"/>
                <w:bCs w:val="0"/>
                <w:color w:val="auto"/>
                <w:szCs w:val="21"/>
                <w:highlight w:val="none"/>
                <w:lang w:val="en-US" w:eastAsia="zh-CN"/>
              </w:rPr>
              <w:t>或建筑工程维修改造设计业绩</w:t>
            </w:r>
            <w:r>
              <w:rPr>
                <w:rFonts w:hint="eastAsia" w:ascii="宋体" w:hAnsi="宋体" w:eastAsia="宋体" w:cs="宋体"/>
                <w:b w:val="0"/>
                <w:bCs w:val="0"/>
                <w:color w:val="auto"/>
                <w:sz w:val="21"/>
                <w:szCs w:val="21"/>
                <w:highlight w:val="none"/>
              </w:rPr>
              <w:t>每有1项得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分，最多得</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adjustRightInd w:val="0"/>
              <w:snapToGrid w:val="0"/>
              <w:jc w:val="left"/>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spacing w:val="-6"/>
                <w:sz w:val="21"/>
                <w:szCs w:val="21"/>
                <w:highlight w:val="none"/>
              </w:rPr>
              <w:t>【附</w:t>
            </w:r>
            <w:r>
              <w:rPr>
                <w:rFonts w:hint="eastAsia" w:ascii="宋体" w:hAnsi="宋体" w:eastAsia="宋体" w:cs="宋体"/>
                <w:b w:val="0"/>
                <w:bCs w:val="0"/>
                <w:color w:val="auto"/>
                <w:sz w:val="21"/>
                <w:szCs w:val="21"/>
                <w:highlight w:val="none"/>
              </w:rPr>
              <w:t>合同协议书或中标通知书的证明文件，并加盖公章</w:t>
            </w:r>
            <w:r>
              <w:rPr>
                <w:rFonts w:hint="eastAsia" w:ascii="宋体" w:hAnsi="宋体" w:eastAsia="宋体" w:cs="宋体"/>
                <w:b w:val="0"/>
                <w:bCs w:val="0"/>
                <w:color w:val="auto"/>
                <w:spacing w:val="-6"/>
                <w:sz w:val="21"/>
                <w:szCs w:val="21"/>
                <w:highlight w:val="none"/>
              </w:rPr>
              <w:t>】</w:t>
            </w:r>
          </w:p>
        </w:tc>
      </w:tr>
      <w:tr>
        <w:tblPrEx>
          <w:tblCellMar>
            <w:top w:w="0" w:type="dxa"/>
            <w:left w:w="0" w:type="dxa"/>
            <w:bottom w:w="0" w:type="dxa"/>
            <w:right w:w="0" w:type="dxa"/>
          </w:tblCellMar>
        </w:tblPrEx>
        <w:trPr>
          <w:trHeight w:val="91" w:hRule="atLeast"/>
          <w:tblHeader/>
        </w:trPr>
        <w:tc>
          <w:tcPr>
            <w:tcW w:w="105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en-US" w:eastAsia="zh-CN"/>
              </w:rPr>
            </w:pPr>
          </w:p>
        </w:tc>
        <w:tc>
          <w:tcPr>
            <w:tcW w:w="825"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kern w:val="0"/>
                <w:sz w:val="21"/>
                <w:szCs w:val="21"/>
              </w:rPr>
            </w:pPr>
          </w:p>
        </w:tc>
        <w:tc>
          <w:tcPr>
            <w:tcW w:w="2277"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cs="宋体"/>
                <w:b w:val="0"/>
                <w:bCs w:val="0"/>
                <w:color w:val="auto"/>
                <w:sz w:val="21"/>
                <w:szCs w:val="21"/>
                <w:lang w:val="zh-CN"/>
              </w:rPr>
            </w:pPr>
            <w:r>
              <w:rPr>
                <w:rFonts w:hint="eastAsia" w:ascii="宋体" w:hAnsi="宋体" w:eastAsia="宋体" w:cs="宋体"/>
                <w:b w:val="0"/>
                <w:bCs w:val="0"/>
                <w:color w:val="auto"/>
                <w:spacing w:val="-6"/>
                <w:sz w:val="21"/>
                <w:szCs w:val="21"/>
              </w:rPr>
              <w:t>项目负责人</w:t>
            </w:r>
            <w:r>
              <w:rPr>
                <w:rFonts w:hint="eastAsia" w:ascii="宋体" w:hAnsi="宋体"/>
                <w:b w:val="0"/>
                <w:bCs w:val="0"/>
                <w:color w:val="auto"/>
                <w:szCs w:val="21"/>
              </w:rPr>
              <w:t>任职资格</w:t>
            </w:r>
          </w:p>
        </w:tc>
        <w:tc>
          <w:tcPr>
            <w:tcW w:w="82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pacing w:val="-6"/>
                <w:sz w:val="21"/>
                <w:szCs w:val="21"/>
              </w:rPr>
              <w:t>2分</w:t>
            </w:r>
          </w:p>
        </w:tc>
        <w:tc>
          <w:tcPr>
            <w:tcW w:w="4259"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Arial" w:hAnsi="Arial" w:eastAsia="黑体"/>
                <w:b w:val="0"/>
                <w:bCs w:val="0"/>
                <w:color w:val="auto"/>
                <w:kern w:val="2"/>
                <w:sz w:val="21"/>
                <w:szCs w:val="21"/>
                <w:lang w:val="en-US" w:eastAsia="zh-CN" w:bidi="ar-SA"/>
              </w:rPr>
            </w:pPr>
            <w:r>
              <w:rPr>
                <w:rFonts w:hint="eastAsia"/>
                <w:b w:val="0"/>
                <w:bCs w:val="0"/>
                <w:color w:val="auto"/>
                <w:sz w:val="21"/>
                <w:szCs w:val="21"/>
              </w:rPr>
              <w:t>投标人拟派的项目负责人具备一级注册建筑师资格的得2分，否则不得分。</w:t>
            </w:r>
            <w:r>
              <w:rPr>
                <w:rFonts w:hint="eastAsia" w:ascii="宋体" w:hAnsi="宋体" w:eastAsia="宋体" w:cs="宋体"/>
                <w:b w:val="0"/>
                <w:bCs w:val="0"/>
                <w:color w:val="auto"/>
                <w:spacing w:val="-6"/>
                <w:sz w:val="21"/>
                <w:szCs w:val="21"/>
              </w:rPr>
              <w:t>【附</w:t>
            </w:r>
            <w:r>
              <w:rPr>
                <w:rFonts w:hint="eastAsia" w:ascii="宋体" w:hAnsi="宋体" w:eastAsia="宋体" w:cs="宋体"/>
                <w:b w:val="0"/>
                <w:bCs w:val="0"/>
                <w:color w:val="auto"/>
                <w:sz w:val="21"/>
                <w:szCs w:val="21"/>
              </w:rPr>
              <w:t>相关证书复印件，并加盖公章</w:t>
            </w:r>
            <w:r>
              <w:rPr>
                <w:rFonts w:hint="eastAsia" w:ascii="宋体" w:hAnsi="宋体" w:eastAsia="宋体" w:cs="宋体"/>
                <w:b w:val="0"/>
                <w:bCs w:val="0"/>
                <w:color w:val="auto"/>
                <w:spacing w:val="-6"/>
                <w:sz w:val="21"/>
                <w:szCs w:val="21"/>
              </w:rPr>
              <w:t>】</w:t>
            </w:r>
          </w:p>
        </w:tc>
      </w:tr>
      <w:tr>
        <w:tblPrEx>
          <w:tblCellMar>
            <w:top w:w="0" w:type="dxa"/>
            <w:left w:w="0" w:type="dxa"/>
            <w:bottom w:w="0" w:type="dxa"/>
            <w:right w:w="0" w:type="dxa"/>
          </w:tblCellMar>
        </w:tblPrEx>
        <w:trPr>
          <w:trHeight w:val="91" w:hRule="atLeast"/>
          <w:tblHeader/>
        </w:trPr>
        <w:tc>
          <w:tcPr>
            <w:tcW w:w="1050"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en-US" w:eastAsia="zh-CN"/>
              </w:rPr>
            </w:pPr>
          </w:p>
        </w:tc>
        <w:tc>
          <w:tcPr>
            <w:tcW w:w="825"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kern w:val="0"/>
                <w:sz w:val="21"/>
                <w:szCs w:val="21"/>
              </w:rPr>
            </w:pPr>
          </w:p>
        </w:tc>
        <w:tc>
          <w:tcPr>
            <w:tcW w:w="2277"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val="0"/>
                <w:bCs w:val="0"/>
                <w:color w:val="auto"/>
                <w:spacing w:val="-6"/>
                <w:sz w:val="21"/>
                <w:szCs w:val="21"/>
              </w:rPr>
            </w:pPr>
            <w:r>
              <w:rPr>
                <w:rFonts w:hint="eastAsia" w:ascii="宋体" w:hAnsi="宋体" w:eastAsia="宋体" w:cs="宋体"/>
                <w:b w:val="0"/>
                <w:bCs w:val="0"/>
                <w:color w:val="auto"/>
                <w:spacing w:val="-6"/>
                <w:sz w:val="21"/>
                <w:szCs w:val="21"/>
              </w:rPr>
              <w:t>项目负责人</w:t>
            </w:r>
            <w:r>
              <w:rPr>
                <w:rFonts w:hint="eastAsia" w:ascii="宋体" w:hAnsi="宋体"/>
                <w:b w:val="0"/>
                <w:bCs w:val="0"/>
                <w:color w:val="auto"/>
                <w:szCs w:val="21"/>
              </w:rPr>
              <w:t>业绩</w:t>
            </w:r>
          </w:p>
        </w:tc>
        <w:tc>
          <w:tcPr>
            <w:tcW w:w="82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val="en-US" w:eastAsia="zh-CN"/>
              </w:rPr>
              <w:t>3分</w:t>
            </w:r>
          </w:p>
        </w:tc>
        <w:tc>
          <w:tcPr>
            <w:tcW w:w="4259" w:type="dxa"/>
            <w:tcBorders>
              <w:top w:val="single" w:color="auto" w:sz="4" w:space="0"/>
              <w:left w:val="nil"/>
              <w:bottom w:val="single" w:color="auto" w:sz="4" w:space="0"/>
              <w:right w:val="single" w:color="auto" w:sz="4" w:space="0"/>
            </w:tcBorders>
            <w:noWrap w:val="0"/>
            <w:vAlign w:val="center"/>
          </w:tcPr>
          <w:p>
            <w:pPr>
              <w:spacing w:line="320" w:lineRule="exact"/>
              <w:ind w:right="113"/>
              <w:rPr>
                <w:rFonts w:hint="eastAsia" w:ascii="宋体" w:hAnsi="宋体" w:eastAsia="宋体" w:cs="宋体"/>
                <w:b w:val="0"/>
                <w:bCs w:val="0"/>
                <w:color w:val="auto"/>
                <w:spacing w:val="-6"/>
                <w:sz w:val="21"/>
                <w:szCs w:val="21"/>
              </w:rPr>
            </w:pPr>
            <w:r>
              <w:rPr>
                <w:rFonts w:hint="eastAsia" w:ascii="宋体" w:hAnsi="宋体" w:cs="宋体"/>
                <w:b w:val="0"/>
                <w:bCs w:val="0"/>
                <w:color w:val="auto"/>
                <w:szCs w:val="21"/>
                <w:highlight w:val="none"/>
                <w:lang w:val="zh-CN"/>
              </w:rPr>
              <w:t>近三年</w:t>
            </w:r>
            <w:r>
              <w:rPr>
                <w:rFonts w:hint="eastAsia" w:ascii="宋体" w:hAnsi="宋体" w:cs="宋体"/>
                <w:b w:val="0"/>
                <w:bCs w:val="0"/>
                <w:color w:val="auto"/>
                <w:szCs w:val="21"/>
                <w:highlight w:val="none"/>
              </w:rPr>
              <w:t>（</w:t>
            </w:r>
            <w:r>
              <w:rPr>
                <w:rFonts w:ascii="宋体" w:hAnsi="宋体" w:cs="宋体"/>
                <w:b w:val="0"/>
                <w:bCs w:val="0"/>
                <w:color w:val="auto"/>
                <w:szCs w:val="21"/>
                <w:highlight w:val="none"/>
              </w:rPr>
              <w:t>20</w:t>
            </w:r>
            <w:r>
              <w:rPr>
                <w:rFonts w:hint="eastAsia" w:ascii="宋体" w:hAnsi="宋体" w:cs="宋体"/>
                <w:b w:val="0"/>
                <w:bCs w:val="0"/>
                <w:color w:val="auto"/>
                <w:szCs w:val="21"/>
                <w:highlight w:val="none"/>
              </w:rPr>
              <w:t>17年1月1日至今</w:t>
            </w:r>
            <w:r>
              <w:rPr>
                <w:rFonts w:hint="eastAsia" w:ascii="宋体" w:hAnsi="宋体"/>
                <w:b w:val="0"/>
                <w:bCs w:val="0"/>
                <w:color w:val="auto"/>
                <w:szCs w:val="21"/>
                <w:highlight w:val="none"/>
                <w:lang w:val="en-US" w:eastAsia="zh-CN"/>
              </w:rPr>
              <w:t>，</w:t>
            </w:r>
            <w:r>
              <w:rPr>
                <w:rFonts w:hint="eastAsia" w:ascii="宋体" w:hAnsi="宋体"/>
                <w:b w:val="0"/>
                <w:bCs w:val="0"/>
                <w:color w:val="auto"/>
                <w:szCs w:val="21"/>
                <w:highlight w:val="none"/>
              </w:rPr>
              <w:t>以合同签订时间为准</w:t>
            </w:r>
            <w:r>
              <w:rPr>
                <w:rFonts w:hint="eastAsia" w:ascii="宋体" w:hAnsi="宋体" w:cs="宋体"/>
                <w:b w:val="0"/>
                <w:bCs w:val="0"/>
                <w:color w:val="auto"/>
                <w:szCs w:val="21"/>
                <w:highlight w:val="none"/>
                <w:lang w:eastAsia="zh-CN"/>
              </w:rPr>
              <w:t>）</w:t>
            </w:r>
            <w:r>
              <w:rPr>
                <w:rFonts w:hint="eastAsia" w:ascii="宋体" w:hAnsi="宋体"/>
                <w:b w:val="0"/>
                <w:bCs w:val="0"/>
                <w:color w:val="auto"/>
                <w:szCs w:val="21"/>
              </w:rPr>
              <w:t>担任</w:t>
            </w:r>
            <w:r>
              <w:rPr>
                <w:rFonts w:hint="eastAsia" w:ascii="宋体" w:hAnsi="宋体"/>
                <w:b w:val="0"/>
                <w:bCs w:val="0"/>
                <w:color w:val="auto"/>
                <w:szCs w:val="21"/>
                <w:highlight w:val="none"/>
              </w:rPr>
              <w:t>房屋建筑工程</w:t>
            </w:r>
            <w:r>
              <w:rPr>
                <w:rFonts w:hint="eastAsia" w:ascii="宋体" w:hAnsi="宋体"/>
                <w:b w:val="0"/>
                <w:bCs w:val="0"/>
                <w:color w:val="auto"/>
                <w:szCs w:val="21"/>
                <w:highlight w:val="none"/>
                <w:lang w:val="en-US" w:eastAsia="zh-CN"/>
              </w:rPr>
              <w:t>或建筑工程维修改造工程</w:t>
            </w:r>
            <w:r>
              <w:rPr>
                <w:rFonts w:hint="eastAsia" w:ascii="宋体" w:hAnsi="宋体"/>
                <w:b w:val="0"/>
                <w:bCs w:val="0"/>
                <w:color w:val="auto"/>
                <w:szCs w:val="21"/>
              </w:rPr>
              <w:t>的初步设计阶段或施工图设计阶段的项目负责人每有1项加1分，最高加</w:t>
            </w:r>
            <w:r>
              <w:rPr>
                <w:rFonts w:hint="eastAsia" w:ascii="宋体" w:hAnsi="宋体"/>
                <w:b w:val="0"/>
                <w:bCs w:val="0"/>
                <w:color w:val="auto"/>
                <w:szCs w:val="21"/>
                <w:lang w:val="en-US" w:eastAsia="zh-CN"/>
              </w:rPr>
              <w:t>3</w:t>
            </w:r>
            <w:r>
              <w:rPr>
                <w:rFonts w:hint="eastAsia" w:ascii="宋体" w:hAnsi="宋体"/>
                <w:b w:val="0"/>
                <w:bCs w:val="0"/>
                <w:color w:val="auto"/>
                <w:szCs w:val="21"/>
              </w:rPr>
              <w:t>分。</w:t>
            </w:r>
            <w:r>
              <w:rPr>
                <w:rFonts w:hint="eastAsia" w:ascii="宋体" w:hAnsi="宋体" w:eastAsia="宋体" w:cs="宋体"/>
                <w:b w:val="0"/>
                <w:bCs w:val="0"/>
                <w:color w:val="auto"/>
                <w:spacing w:val="-6"/>
                <w:sz w:val="21"/>
                <w:szCs w:val="21"/>
              </w:rPr>
              <w:t>【附</w:t>
            </w:r>
            <w:r>
              <w:rPr>
                <w:rFonts w:hint="eastAsia" w:ascii="宋体" w:hAnsi="宋体" w:eastAsia="宋体" w:cs="宋体"/>
                <w:b w:val="0"/>
                <w:bCs w:val="0"/>
                <w:color w:val="auto"/>
                <w:sz w:val="21"/>
                <w:szCs w:val="21"/>
              </w:rPr>
              <w:t>相关</w:t>
            </w:r>
            <w:r>
              <w:rPr>
                <w:rFonts w:hint="eastAsia" w:ascii="宋体" w:hAnsi="宋体" w:eastAsia="宋体" w:cs="宋体"/>
                <w:b w:val="0"/>
                <w:bCs w:val="0"/>
                <w:color w:val="auto"/>
                <w:sz w:val="21"/>
                <w:szCs w:val="21"/>
                <w:lang w:eastAsia="zh-CN"/>
              </w:rPr>
              <w:t>证明材料</w:t>
            </w:r>
            <w:r>
              <w:rPr>
                <w:rFonts w:hint="eastAsia" w:ascii="宋体" w:hAnsi="宋体" w:eastAsia="宋体" w:cs="宋体"/>
                <w:b w:val="0"/>
                <w:bCs w:val="0"/>
                <w:color w:val="auto"/>
                <w:sz w:val="21"/>
                <w:szCs w:val="21"/>
              </w:rPr>
              <w:t>复印件，并加盖公章</w:t>
            </w:r>
            <w:r>
              <w:rPr>
                <w:rFonts w:hint="eastAsia" w:ascii="宋体" w:hAnsi="宋体" w:eastAsia="宋体" w:cs="宋体"/>
                <w:b w:val="0"/>
                <w:bCs w:val="0"/>
                <w:color w:val="auto"/>
                <w:spacing w:val="-6"/>
                <w:sz w:val="21"/>
                <w:szCs w:val="21"/>
              </w:rPr>
              <w:t>】</w:t>
            </w:r>
          </w:p>
          <w:p>
            <w:pPr>
              <w:spacing w:line="320" w:lineRule="exact"/>
              <w:ind w:right="113"/>
              <w:rPr>
                <w:rFonts w:hint="eastAsia"/>
                <w:b w:val="0"/>
                <w:bCs w:val="0"/>
                <w:color w:val="auto"/>
                <w:sz w:val="21"/>
                <w:szCs w:val="21"/>
              </w:rPr>
            </w:pPr>
            <w:r>
              <w:rPr>
                <w:rFonts w:hint="eastAsia" w:ascii="楷体" w:hAnsi="楷体" w:eastAsia="楷体"/>
                <w:b w:val="0"/>
                <w:bCs w:val="0"/>
                <w:color w:val="auto"/>
                <w:szCs w:val="21"/>
              </w:rPr>
              <w:t>注：1个合同的个人业绩计为1项个人业绩。</w:t>
            </w:r>
          </w:p>
        </w:tc>
      </w:tr>
      <w:tr>
        <w:tblPrEx>
          <w:tblCellMar>
            <w:top w:w="0" w:type="dxa"/>
            <w:left w:w="0" w:type="dxa"/>
            <w:bottom w:w="0" w:type="dxa"/>
            <w:right w:w="0" w:type="dxa"/>
          </w:tblCellMar>
        </w:tblPrEx>
        <w:trPr>
          <w:trHeight w:val="91" w:hRule="atLeast"/>
          <w:tblHeader/>
        </w:trPr>
        <w:tc>
          <w:tcPr>
            <w:tcW w:w="1050"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240" w:lineRule="auto"/>
              <w:ind w:firstLine="0" w:firstLineChars="0"/>
              <w:jc w:val="center"/>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2.3.3</w:t>
            </w:r>
          </w:p>
        </w:tc>
        <w:tc>
          <w:tcPr>
            <w:tcW w:w="825"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lang w:eastAsia="zh-CN"/>
              </w:rPr>
            </w:pPr>
            <w:r>
              <w:rPr>
                <w:rFonts w:hint="eastAsia" w:ascii="宋体" w:hAnsi="宋体" w:cs="宋体"/>
                <w:b w:val="0"/>
                <w:bCs w:val="0"/>
                <w:color w:val="auto"/>
                <w:kern w:val="0"/>
                <w:sz w:val="21"/>
                <w:szCs w:val="21"/>
              </w:rPr>
              <w:t>技术部分</w:t>
            </w:r>
            <w:r>
              <w:rPr>
                <w:rFonts w:hint="eastAsia" w:ascii="宋体" w:hAnsi="宋体" w:cs="宋体"/>
                <w:b w:val="0"/>
                <w:bCs w:val="0"/>
                <w:color w:val="auto"/>
                <w:kern w:val="0"/>
                <w:sz w:val="21"/>
                <w:szCs w:val="21"/>
                <w:lang w:eastAsia="zh-CN"/>
              </w:rPr>
              <w:t>标准（</w:t>
            </w:r>
            <w:r>
              <w:rPr>
                <w:rFonts w:hint="eastAsia" w:ascii="宋体" w:hAnsi="宋体" w:cs="宋体"/>
                <w:b w:val="0"/>
                <w:bCs w:val="0"/>
                <w:color w:val="auto"/>
                <w:kern w:val="0"/>
                <w:sz w:val="21"/>
                <w:szCs w:val="21"/>
                <w:lang w:val="en-US" w:eastAsia="zh-CN"/>
              </w:rPr>
              <w:t>75分</w:t>
            </w:r>
            <w:r>
              <w:rPr>
                <w:rFonts w:hint="eastAsia" w:ascii="宋体" w:hAnsi="宋体" w:cs="宋体"/>
                <w:b w:val="0"/>
                <w:bCs w:val="0"/>
                <w:color w:val="auto"/>
                <w:kern w:val="0"/>
                <w:sz w:val="21"/>
                <w:szCs w:val="21"/>
                <w:lang w:eastAsia="zh-CN"/>
              </w:rPr>
              <w:t>）</w:t>
            </w:r>
          </w:p>
        </w:tc>
        <w:tc>
          <w:tcPr>
            <w:tcW w:w="612" w:type="dxa"/>
            <w:vMerge w:val="restart"/>
            <w:tcBorders>
              <w:top w:val="single" w:color="auto" w:sz="4" w:space="0"/>
              <w:left w:val="nil"/>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r>
              <w:rPr>
                <w:rFonts w:hint="eastAsia" w:ascii="宋体" w:hAnsi="宋体" w:eastAsia="宋体" w:cs="宋体"/>
                <w:b w:val="0"/>
                <w:bCs w:val="0"/>
                <w:color w:val="auto"/>
                <w:sz w:val="21"/>
                <w:szCs w:val="21"/>
              </w:rPr>
              <w:t>设计方案评分标准</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113" w:rightChars="0"/>
              <w:jc w:val="center"/>
              <w:rPr>
                <w:rFonts w:hint="eastAsia" w:ascii="宋体" w:hAnsi="宋体" w:eastAsia="宋体" w:cs="宋体"/>
                <w:b w:val="0"/>
                <w:bCs w:val="0"/>
                <w:color w:val="auto"/>
                <w:sz w:val="21"/>
                <w:szCs w:val="21"/>
              </w:rPr>
            </w:pPr>
            <w:r>
              <w:rPr>
                <w:rFonts w:hint="eastAsia" w:ascii="宋体" w:hAnsi="宋体"/>
                <w:b w:val="0"/>
                <w:bCs w:val="0"/>
                <w:color w:val="auto"/>
                <w:sz w:val="21"/>
                <w:szCs w:val="21"/>
              </w:rPr>
              <w:t>对</w:t>
            </w:r>
            <w:r>
              <w:rPr>
                <w:rFonts w:hint="eastAsia" w:ascii="宋体" w:hAnsi="宋体"/>
                <w:b w:val="0"/>
                <w:bCs w:val="0"/>
                <w:color w:val="auto"/>
                <w:sz w:val="21"/>
                <w:szCs w:val="21"/>
                <w:lang w:eastAsia="zh-CN"/>
              </w:rPr>
              <w:t>磋商</w:t>
            </w:r>
            <w:r>
              <w:rPr>
                <w:rFonts w:hint="eastAsia" w:ascii="宋体" w:hAnsi="宋体"/>
                <w:b w:val="0"/>
                <w:bCs w:val="0"/>
                <w:color w:val="auto"/>
                <w:sz w:val="21"/>
                <w:szCs w:val="21"/>
              </w:rPr>
              <w:t>项目的理解和总体设计思路</w:t>
            </w:r>
          </w:p>
        </w:tc>
        <w:tc>
          <w:tcPr>
            <w:tcW w:w="82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b w:val="0"/>
                <w:bCs w:val="0"/>
                <w:color w:val="auto"/>
                <w:sz w:val="21"/>
                <w:szCs w:val="21"/>
                <w:lang w:val="en-US" w:eastAsia="zh-CN"/>
              </w:rPr>
              <w:t>15</w:t>
            </w:r>
            <w:r>
              <w:rPr>
                <w:rFonts w:hint="eastAsia" w:ascii="宋体" w:hAnsi="宋体"/>
                <w:b w:val="0"/>
                <w:bCs w:val="0"/>
                <w:color w:val="auto"/>
                <w:sz w:val="21"/>
                <w:szCs w:val="21"/>
              </w:rPr>
              <w:t>分</w:t>
            </w:r>
          </w:p>
        </w:tc>
        <w:tc>
          <w:tcPr>
            <w:tcW w:w="4259" w:type="dxa"/>
            <w:tcBorders>
              <w:top w:val="single" w:color="auto" w:sz="4" w:space="0"/>
              <w:left w:val="nil"/>
              <w:bottom w:val="single" w:color="auto" w:sz="4" w:space="0"/>
              <w:right w:val="single" w:color="auto" w:sz="4" w:space="0"/>
            </w:tcBorders>
            <w:noWrap w:val="0"/>
            <w:vAlign w:val="center"/>
          </w:tcPr>
          <w:p>
            <w:pPr>
              <w:spacing w:line="320" w:lineRule="exact"/>
              <w:ind w:right="113" w:rightChars="0"/>
              <w:rPr>
                <w:rFonts w:hint="eastAsia" w:ascii="宋体" w:hAnsi="宋体"/>
                <w:b w:val="0"/>
                <w:bCs w:val="0"/>
                <w:color w:val="auto"/>
                <w:sz w:val="21"/>
                <w:szCs w:val="21"/>
                <w:lang w:eastAsia="zh-CN"/>
              </w:rPr>
            </w:pPr>
            <w:r>
              <w:rPr>
                <w:rFonts w:hint="eastAsia" w:ascii="宋体" w:hAnsi="宋体"/>
                <w:b w:val="0"/>
                <w:bCs w:val="0"/>
                <w:color w:val="auto"/>
                <w:sz w:val="21"/>
                <w:szCs w:val="21"/>
              </w:rPr>
              <w:t>对</w:t>
            </w:r>
            <w:r>
              <w:rPr>
                <w:rFonts w:hint="eastAsia" w:ascii="宋体" w:hAnsi="宋体"/>
                <w:b w:val="0"/>
                <w:bCs w:val="0"/>
                <w:color w:val="auto"/>
                <w:sz w:val="21"/>
                <w:szCs w:val="21"/>
                <w:lang w:eastAsia="zh-CN"/>
              </w:rPr>
              <w:t>磋商</w:t>
            </w:r>
            <w:r>
              <w:rPr>
                <w:rFonts w:hint="eastAsia" w:ascii="宋体" w:hAnsi="宋体"/>
                <w:b w:val="0"/>
                <w:bCs w:val="0"/>
                <w:color w:val="auto"/>
                <w:sz w:val="21"/>
                <w:szCs w:val="21"/>
              </w:rPr>
              <w:t>项目的理解和总体设计思路基本正确得</w:t>
            </w:r>
            <w:r>
              <w:rPr>
                <w:rFonts w:hint="eastAsia" w:ascii="宋体" w:hAnsi="宋体"/>
                <w:b w:val="0"/>
                <w:bCs w:val="0"/>
                <w:color w:val="auto"/>
                <w:sz w:val="21"/>
                <w:szCs w:val="21"/>
                <w:lang w:val="en-US" w:eastAsia="zh-CN"/>
              </w:rPr>
              <w:t>10</w:t>
            </w:r>
            <w:r>
              <w:rPr>
                <w:rFonts w:hint="eastAsia" w:ascii="宋体" w:hAnsi="宋体"/>
                <w:b w:val="0"/>
                <w:bCs w:val="0"/>
                <w:color w:val="auto"/>
                <w:sz w:val="21"/>
                <w:szCs w:val="21"/>
              </w:rPr>
              <w:t>分</w:t>
            </w:r>
            <w:r>
              <w:rPr>
                <w:rFonts w:hint="eastAsia" w:ascii="宋体" w:hAnsi="宋体"/>
                <w:b w:val="0"/>
                <w:bCs w:val="0"/>
                <w:color w:val="auto"/>
                <w:sz w:val="21"/>
                <w:szCs w:val="21"/>
                <w:lang w:eastAsia="zh-CN"/>
              </w:rPr>
              <w:t>；</w:t>
            </w:r>
          </w:p>
          <w:p>
            <w:pPr>
              <w:spacing w:line="320" w:lineRule="exact"/>
              <w:ind w:right="113" w:rightChars="0"/>
              <w:rPr>
                <w:rFonts w:hint="eastAsia" w:ascii="宋体" w:hAnsi="宋体" w:eastAsia="宋体" w:cs="宋体"/>
                <w:b w:val="0"/>
                <w:bCs w:val="0"/>
                <w:color w:val="auto"/>
                <w:kern w:val="2"/>
                <w:sz w:val="21"/>
                <w:szCs w:val="21"/>
                <w:lang w:val="en-US" w:eastAsia="zh-CN" w:bidi="ar-SA"/>
              </w:rPr>
            </w:pPr>
            <w:r>
              <w:rPr>
                <w:rFonts w:hint="eastAsia" w:ascii="宋体" w:hAnsi="宋体"/>
                <w:b w:val="0"/>
                <w:bCs w:val="0"/>
                <w:color w:val="auto"/>
                <w:sz w:val="21"/>
                <w:szCs w:val="21"/>
              </w:rPr>
              <w:t>理解深刻、认识全面、对设计思路把握准确，酌情加分，最高加</w:t>
            </w:r>
            <w:r>
              <w:rPr>
                <w:rFonts w:hint="eastAsia" w:ascii="宋体" w:hAnsi="宋体"/>
                <w:b w:val="0"/>
                <w:bCs w:val="0"/>
                <w:color w:val="auto"/>
                <w:sz w:val="21"/>
                <w:szCs w:val="21"/>
                <w:lang w:val="en-US" w:eastAsia="zh-CN"/>
              </w:rPr>
              <w:t>5</w:t>
            </w:r>
            <w:r>
              <w:rPr>
                <w:rFonts w:hint="eastAsia" w:ascii="宋体" w:hAnsi="宋体"/>
                <w:b w:val="0"/>
                <w:bCs w:val="0"/>
                <w:color w:val="auto"/>
                <w:sz w:val="21"/>
                <w:szCs w:val="21"/>
              </w:rPr>
              <w:t>分。</w:t>
            </w:r>
          </w:p>
        </w:tc>
      </w:tr>
      <w:tr>
        <w:tblPrEx>
          <w:tblCellMar>
            <w:top w:w="0" w:type="dxa"/>
            <w:left w:w="0" w:type="dxa"/>
            <w:bottom w:w="0" w:type="dxa"/>
            <w:right w:w="0" w:type="dxa"/>
          </w:tblCellMar>
        </w:tblPrEx>
        <w:trPr>
          <w:trHeight w:val="91" w:hRule="atLeast"/>
          <w:tblHeader/>
        </w:trPr>
        <w:tc>
          <w:tcPr>
            <w:tcW w:w="105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p>
        </w:tc>
        <w:tc>
          <w:tcPr>
            <w:tcW w:w="825"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p>
        </w:tc>
        <w:tc>
          <w:tcPr>
            <w:tcW w:w="612" w:type="dxa"/>
            <w:vMerge w:val="continue"/>
            <w:tcBorders>
              <w:left w:val="nil"/>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113" w:rightChars="0"/>
              <w:jc w:val="center"/>
              <w:rPr>
                <w:rFonts w:hint="eastAsia" w:ascii="宋体" w:hAnsi="宋体"/>
                <w:b w:val="0"/>
                <w:bCs w:val="0"/>
                <w:color w:val="auto"/>
                <w:kern w:val="2"/>
                <w:sz w:val="21"/>
                <w:szCs w:val="21"/>
                <w:lang w:val="zh-CN" w:eastAsia="zh-CN" w:bidi="ar-SA"/>
              </w:rPr>
            </w:pPr>
            <w:r>
              <w:rPr>
                <w:rFonts w:hint="eastAsia" w:ascii="宋体" w:hAnsi="宋体"/>
                <w:b w:val="0"/>
                <w:bCs w:val="0"/>
                <w:color w:val="auto"/>
                <w:sz w:val="21"/>
                <w:szCs w:val="21"/>
                <w:lang w:eastAsia="zh-CN"/>
              </w:rPr>
              <w:t>磋商</w:t>
            </w:r>
            <w:r>
              <w:rPr>
                <w:rFonts w:hint="eastAsia" w:ascii="宋体" w:hAnsi="宋体"/>
                <w:b w:val="0"/>
                <w:bCs w:val="0"/>
                <w:color w:val="auto"/>
                <w:sz w:val="21"/>
                <w:szCs w:val="21"/>
              </w:rPr>
              <w:t>项目设计的特点、关键技术问题的认识及其对策措施</w:t>
            </w:r>
          </w:p>
        </w:tc>
        <w:tc>
          <w:tcPr>
            <w:tcW w:w="82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b w:val="0"/>
                <w:bCs w:val="0"/>
                <w:color w:val="auto"/>
                <w:kern w:val="2"/>
                <w:sz w:val="21"/>
                <w:szCs w:val="21"/>
                <w:lang w:val="en-US" w:eastAsia="zh-CN" w:bidi="ar-SA"/>
              </w:rPr>
            </w:pPr>
            <w:r>
              <w:rPr>
                <w:rFonts w:hint="eastAsia" w:ascii="宋体" w:hAnsi="宋体"/>
                <w:b w:val="0"/>
                <w:bCs w:val="0"/>
                <w:color w:val="auto"/>
                <w:sz w:val="21"/>
                <w:szCs w:val="21"/>
                <w:lang w:val="en-US" w:eastAsia="zh-CN"/>
              </w:rPr>
              <w:t>15</w:t>
            </w:r>
            <w:r>
              <w:rPr>
                <w:rFonts w:hint="eastAsia" w:ascii="宋体" w:hAnsi="宋体"/>
                <w:b w:val="0"/>
                <w:bCs w:val="0"/>
                <w:color w:val="auto"/>
                <w:sz w:val="21"/>
                <w:szCs w:val="21"/>
              </w:rPr>
              <w:t>分</w:t>
            </w:r>
          </w:p>
        </w:tc>
        <w:tc>
          <w:tcPr>
            <w:tcW w:w="4259" w:type="dxa"/>
            <w:tcBorders>
              <w:top w:val="single" w:color="auto" w:sz="4" w:space="0"/>
              <w:left w:val="nil"/>
              <w:bottom w:val="single" w:color="auto" w:sz="4" w:space="0"/>
              <w:right w:val="single" w:color="auto" w:sz="4" w:space="0"/>
            </w:tcBorders>
            <w:noWrap w:val="0"/>
            <w:vAlign w:val="center"/>
          </w:tcPr>
          <w:p>
            <w:pPr>
              <w:spacing w:line="320" w:lineRule="exact"/>
              <w:ind w:right="113" w:rightChars="0"/>
              <w:rPr>
                <w:rFonts w:hint="eastAsia" w:ascii="宋体" w:hAnsi="宋体"/>
                <w:b w:val="0"/>
                <w:bCs w:val="0"/>
                <w:color w:val="auto"/>
                <w:sz w:val="21"/>
                <w:szCs w:val="21"/>
                <w:lang w:eastAsia="zh-CN"/>
              </w:rPr>
            </w:pPr>
            <w:r>
              <w:rPr>
                <w:rFonts w:hint="eastAsia" w:ascii="宋体" w:hAnsi="宋体"/>
                <w:b w:val="0"/>
                <w:bCs w:val="0"/>
                <w:color w:val="auto"/>
                <w:sz w:val="21"/>
                <w:szCs w:val="21"/>
              </w:rPr>
              <w:t>对</w:t>
            </w:r>
            <w:r>
              <w:rPr>
                <w:rFonts w:hint="eastAsia" w:ascii="宋体" w:hAnsi="宋体"/>
                <w:b w:val="0"/>
                <w:bCs w:val="0"/>
                <w:color w:val="auto"/>
                <w:sz w:val="21"/>
                <w:szCs w:val="21"/>
                <w:lang w:eastAsia="zh-CN"/>
              </w:rPr>
              <w:t>磋商</w:t>
            </w:r>
            <w:r>
              <w:rPr>
                <w:rFonts w:hint="eastAsia" w:ascii="宋体" w:hAnsi="宋体"/>
                <w:b w:val="0"/>
                <w:bCs w:val="0"/>
                <w:color w:val="auto"/>
                <w:sz w:val="21"/>
                <w:szCs w:val="21"/>
              </w:rPr>
              <w:t>项目设计的特点及关键性技术问题把握基本准确，所提出的措施基本可行得</w:t>
            </w:r>
            <w:r>
              <w:rPr>
                <w:rFonts w:hint="eastAsia" w:ascii="宋体" w:hAnsi="宋体"/>
                <w:b w:val="0"/>
                <w:bCs w:val="0"/>
                <w:color w:val="auto"/>
                <w:sz w:val="21"/>
                <w:szCs w:val="21"/>
                <w:lang w:val="en-US" w:eastAsia="zh-CN"/>
              </w:rPr>
              <w:t>10</w:t>
            </w:r>
            <w:r>
              <w:rPr>
                <w:rFonts w:hint="eastAsia" w:ascii="宋体" w:hAnsi="宋体"/>
                <w:b w:val="0"/>
                <w:bCs w:val="0"/>
                <w:color w:val="auto"/>
                <w:sz w:val="21"/>
                <w:szCs w:val="21"/>
              </w:rPr>
              <w:t>分</w:t>
            </w:r>
            <w:r>
              <w:rPr>
                <w:rFonts w:hint="eastAsia" w:ascii="宋体" w:hAnsi="宋体"/>
                <w:b w:val="0"/>
                <w:bCs w:val="0"/>
                <w:color w:val="auto"/>
                <w:sz w:val="21"/>
                <w:szCs w:val="21"/>
                <w:lang w:eastAsia="zh-CN"/>
              </w:rPr>
              <w:t>；</w:t>
            </w:r>
          </w:p>
          <w:p>
            <w:pPr>
              <w:spacing w:line="320" w:lineRule="exact"/>
              <w:ind w:right="113" w:rightChars="0"/>
              <w:rPr>
                <w:rFonts w:hint="eastAsia" w:ascii="宋体" w:hAnsi="宋体"/>
                <w:b w:val="0"/>
                <w:bCs w:val="0"/>
                <w:color w:val="auto"/>
                <w:kern w:val="2"/>
                <w:sz w:val="21"/>
                <w:szCs w:val="21"/>
                <w:lang w:val="zh-CN" w:eastAsia="zh-CN" w:bidi="ar-SA"/>
              </w:rPr>
            </w:pPr>
            <w:r>
              <w:rPr>
                <w:rFonts w:hint="eastAsia" w:ascii="宋体" w:hAnsi="宋体"/>
                <w:b w:val="0"/>
                <w:bCs w:val="0"/>
                <w:color w:val="auto"/>
                <w:sz w:val="21"/>
                <w:szCs w:val="21"/>
              </w:rPr>
              <w:t>所提出的措施符合本项目的特点，针对性强，且具有可行性的，酌情加分，最高加</w:t>
            </w:r>
            <w:r>
              <w:rPr>
                <w:rFonts w:hint="eastAsia" w:ascii="宋体" w:hAnsi="宋体"/>
                <w:b w:val="0"/>
                <w:bCs w:val="0"/>
                <w:color w:val="auto"/>
                <w:sz w:val="21"/>
                <w:szCs w:val="21"/>
                <w:lang w:val="en-US" w:eastAsia="zh-CN"/>
              </w:rPr>
              <w:t>5</w:t>
            </w:r>
            <w:r>
              <w:rPr>
                <w:rFonts w:hint="eastAsia" w:ascii="宋体" w:hAnsi="宋体"/>
                <w:b w:val="0"/>
                <w:bCs w:val="0"/>
                <w:color w:val="auto"/>
                <w:sz w:val="21"/>
                <w:szCs w:val="21"/>
              </w:rPr>
              <w:t>分。</w:t>
            </w:r>
          </w:p>
        </w:tc>
      </w:tr>
      <w:tr>
        <w:tblPrEx>
          <w:tblCellMar>
            <w:top w:w="0" w:type="dxa"/>
            <w:left w:w="0" w:type="dxa"/>
            <w:bottom w:w="0" w:type="dxa"/>
            <w:right w:w="0" w:type="dxa"/>
          </w:tblCellMar>
        </w:tblPrEx>
        <w:trPr>
          <w:trHeight w:val="91" w:hRule="atLeast"/>
          <w:tblHeader/>
        </w:trPr>
        <w:tc>
          <w:tcPr>
            <w:tcW w:w="105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p>
        </w:tc>
        <w:tc>
          <w:tcPr>
            <w:tcW w:w="825"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p>
        </w:tc>
        <w:tc>
          <w:tcPr>
            <w:tcW w:w="612" w:type="dxa"/>
            <w:vMerge w:val="continue"/>
            <w:tcBorders>
              <w:left w:val="nil"/>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sz w:val="21"/>
                <w:szCs w:val="21"/>
              </w:rPr>
              <w:t>设计说明和设计方案</w:t>
            </w:r>
          </w:p>
        </w:tc>
        <w:tc>
          <w:tcPr>
            <w:tcW w:w="82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15</w:t>
            </w:r>
            <w:r>
              <w:rPr>
                <w:rFonts w:hint="eastAsia" w:ascii="宋体" w:hAnsi="宋体" w:eastAsia="宋体" w:cs="宋体"/>
                <w:b w:val="0"/>
                <w:bCs w:val="0"/>
                <w:color w:val="auto"/>
                <w:sz w:val="21"/>
                <w:szCs w:val="21"/>
              </w:rPr>
              <w:t>分</w:t>
            </w:r>
          </w:p>
        </w:tc>
        <w:tc>
          <w:tcPr>
            <w:tcW w:w="4259"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color w:val="auto"/>
                <w:spacing w:val="-6"/>
                <w:sz w:val="21"/>
                <w:szCs w:val="21"/>
                <w:lang w:val="en-US" w:eastAsia="zh-CN"/>
              </w:rPr>
            </w:pPr>
            <w:r>
              <w:rPr>
                <w:rFonts w:hint="eastAsia" w:ascii="宋体" w:hAnsi="宋体" w:eastAsia="宋体" w:cs="宋体"/>
                <w:b w:val="0"/>
                <w:bCs w:val="0"/>
                <w:color w:val="auto"/>
                <w:spacing w:val="-6"/>
                <w:sz w:val="21"/>
                <w:szCs w:val="21"/>
                <w:lang w:eastAsia="zh-CN"/>
              </w:rPr>
              <w:t>针对本磋商项目的设计要求，编制了设计说明和设计方案得</w:t>
            </w:r>
            <w:r>
              <w:rPr>
                <w:rFonts w:hint="eastAsia" w:ascii="宋体" w:hAnsi="宋体" w:eastAsia="宋体" w:cs="宋体"/>
                <w:b w:val="0"/>
                <w:bCs w:val="0"/>
                <w:color w:val="auto"/>
                <w:spacing w:val="-6"/>
                <w:sz w:val="21"/>
                <w:szCs w:val="21"/>
                <w:lang w:val="en-US" w:eastAsia="zh-CN"/>
              </w:rPr>
              <w:t>10分；</w:t>
            </w:r>
          </w:p>
          <w:p>
            <w:pPr>
              <w:pStyle w:val="2"/>
              <w:pageBreakBefore w:val="0"/>
              <w:widowControl w:val="0"/>
              <w:kinsoku/>
              <w:wordWrap/>
              <w:overflowPunct/>
              <w:topLinePunct w:val="0"/>
              <w:autoSpaceDE/>
              <w:autoSpaceDN/>
              <w:bidi w:val="0"/>
              <w:adjustRightInd/>
              <w:snapToGrid w:val="0"/>
              <w:spacing w:before="0" w:after="0" w:line="240" w:lineRule="auto"/>
              <w:textAlignment w:val="auto"/>
              <w:rPr>
                <w:rFonts w:hint="eastAsia" w:ascii="宋体" w:hAnsi="宋体" w:cs="宋体"/>
                <w:b w:val="0"/>
                <w:bCs w:val="0"/>
                <w:color w:val="auto"/>
                <w:sz w:val="21"/>
                <w:szCs w:val="21"/>
                <w:lang w:val="zh-CN"/>
              </w:rPr>
            </w:pPr>
            <w:r>
              <w:rPr>
                <w:rFonts w:hint="eastAsia" w:ascii="宋体" w:hAnsi="宋体" w:eastAsia="宋体" w:cs="宋体"/>
                <w:b w:val="0"/>
                <w:bCs w:val="0"/>
                <w:color w:val="auto"/>
                <w:spacing w:val="-6"/>
                <w:sz w:val="21"/>
                <w:szCs w:val="21"/>
                <w:lang w:val="en-US" w:eastAsia="zh-CN"/>
              </w:rPr>
              <w:t>设计说明和方案详细、</w:t>
            </w:r>
            <w:r>
              <w:rPr>
                <w:rFonts w:hint="eastAsia" w:ascii="宋体" w:hAnsi="宋体"/>
                <w:b w:val="0"/>
                <w:bCs w:val="0"/>
                <w:color w:val="auto"/>
                <w:sz w:val="21"/>
                <w:szCs w:val="21"/>
              </w:rPr>
              <w:t>准确、可行</w:t>
            </w:r>
            <w:r>
              <w:rPr>
                <w:rFonts w:hint="eastAsia" w:ascii="宋体" w:hAnsi="宋体"/>
                <w:b w:val="0"/>
                <w:bCs w:val="0"/>
                <w:color w:val="auto"/>
                <w:sz w:val="21"/>
                <w:szCs w:val="21"/>
                <w:lang w:eastAsia="zh-CN"/>
              </w:rPr>
              <w:t>的，酌情加分，最高加</w:t>
            </w:r>
            <w:r>
              <w:rPr>
                <w:rFonts w:hint="eastAsia" w:ascii="宋体" w:hAnsi="宋体"/>
                <w:b w:val="0"/>
                <w:bCs w:val="0"/>
                <w:color w:val="auto"/>
                <w:sz w:val="21"/>
                <w:szCs w:val="21"/>
                <w:lang w:val="en-US" w:eastAsia="zh-CN"/>
              </w:rPr>
              <w:t>5分。</w:t>
            </w:r>
          </w:p>
        </w:tc>
      </w:tr>
      <w:tr>
        <w:tblPrEx>
          <w:tblCellMar>
            <w:top w:w="0" w:type="dxa"/>
            <w:left w:w="0" w:type="dxa"/>
            <w:bottom w:w="0" w:type="dxa"/>
            <w:right w:w="0" w:type="dxa"/>
          </w:tblCellMar>
        </w:tblPrEx>
        <w:trPr>
          <w:trHeight w:val="91" w:hRule="atLeast"/>
          <w:tblHeader/>
        </w:trPr>
        <w:tc>
          <w:tcPr>
            <w:tcW w:w="105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p>
        </w:tc>
        <w:tc>
          <w:tcPr>
            <w:tcW w:w="825"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p>
        </w:tc>
        <w:tc>
          <w:tcPr>
            <w:tcW w:w="612" w:type="dxa"/>
            <w:vMerge w:val="continue"/>
            <w:tcBorders>
              <w:left w:val="nil"/>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r>
              <w:rPr>
                <w:rFonts w:hint="eastAsia" w:ascii="宋体" w:hAnsi="宋体"/>
                <w:b w:val="0"/>
                <w:bCs w:val="0"/>
                <w:color w:val="auto"/>
                <w:sz w:val="21"/>
                <w:szCs w:val="21"/>
              </w:rPr>
              <w:t>设计工作量及计划安排</w:t>
            </w:r>
          </w:p>
        </w:tc>
        <w:tc>
          <w:tcPr>
            <w:tcW w:w="825" w:type="dxa"/>
            <w:tcBorders>
              <w:top w:val="single" w:color="auto" w:sz="4" w:space="0"/>
              <w:left w:val="nil"/>
              <w:bottom w:val="single" w:color="auto" w:sz="4" w:space="0"/>
              <w:right w:val="single" w:color="auto" w:sz="4" w:space="0"/>
            </w:tcBorders>
            <w:noWrap w:val="0"/>
            <w:vAlign w:val="center"/>
          </w:tcPr>
          <w:p>
            <w:pPr>
              <w:snapToGrid w:val="0"/>
              <w:spacing w:line="0" w:lineRule="atLeast"/>
              <w:jc w:val="center"/>
              <w:rPr>
                <w:rFonts w:hint="eastAsia" w:ascii="宋体" w:hAnsi="宋体" w:cs="宋体"/>
                <w:b w:val="0"/>
                <w:bCs w:val="0"/>
                <w:color w:val="auto"/>
                <w:sz w:val="21"/>
                <w:szCs w:val="21"/>
              </w:rPr>
            </w:pPr>
            <w:r>
              <w:rPr>
                <w:rFonts w:hint="eastAsia" w:ascii="宋体" w:hAnsi="宋体" w:eastAsia="宋体" w:cs="宋体"/>
                <w:b w:val="0"/>
                <w:bCs w:val="0"/>
                <w:color w:val="auto"/>
                <w:sz w:val="21"/>
                <w:szCs w:val="21"/>
                <w:lang w:val="en-US" w:eastAsia="zh-CN"/>
              </w:rPr>
              <w:t>10</w:t>
            </w:r>
            <w:r>
              <w:rPr>
                <w:rFonts w:hint="eastAsia" w:ascii="宋体" w:hAnsi="宋体" w:eastAsia="宋体" w:cs="宋体"/>
                <w:b w:val="0"/>
                <w:bCs w:val="0"/>
                <w:color w:val="auto"/>
                <w:sz w:val="21"/>
                <w:szCs w:val="21"/>
              </w:rPr>
              <w:t>分</w:t>
            </w:r>
          </w:p>
        </w:tc>
        <w:tc>
          <w:tcPr>
            <w:tcW w:w="4259" w:type="dxa"/>
            <w:tcBorders>
              <w:top w:val="single" w:color="auto" w:sz="4" w:space="0"/>
              <w:left w:val="nil"/>
              <w:bottom w:val="single" w:color="auto" w:sz="4" w:space="0"/>
              <w:right w:val="single" w:color="auto" w:sz="4" w:space="0"/>
            </w:tcBorders>
            <w:noWrap w:val="0"/>
            <w:vAlign w:val="center"/>
          </w:tcPr>
          <w:p>
            <w:pPr>
              <w:snapToGrid w:val="0"/>
              <w:spacing w:line="0" w:lineRule="atLeast"/>
              <w:jc w:val="left"/>
              <w:rPr>
                <w:rFonts w:hint="eastAsia" w:ascii="宋体" w:hAnsi="宋体"/>
                <w:b w:val="0"/>
                <w:bCs w:val="0"/>
                <w:color w:val="auto"/>
                <w:sz w:val="21"/>
                <w:szCs w:val="21"/>
                <w:lang w:eastAsia="zh-CN"/>
              </w:rPr>
            </w:pPr>
            <w:r>
              <w:rPr>
                <w:rFonts w:hint="eastAsia" w:ascii="宋体" w:hAnsi="宋体"/>
                <w:b w:val="0"/>
                <w:bCs w:val="0"/>
                <w:color w:val="auto"/>
                <w:sz w:val="21"/>
                <w:szCs w:val="21"/>
              </w:rPr>
              <w:t>设计工作量估算基本准确、计划安排基本可行得</w:t>
            </w:r>
            <w:r>
              <w:rPr>
                <w:rFonts w:hint="eastAsia" w:ascii="宋体" w:hAnsi="宋体"/>
                <w:b w:val="0"/>
                <w:bCs w:val="0"/>
                <w:color w:val="auto"/>
                <w:sz w:val="21"/>
                <w:szCs w:val="21"/>
                <w:lang w:val="en-US" w:eastAsia="zh-CN"/>
              </w:rPr>
              <w:t>6</w:t>
            </w:r>
            <w:r>
              <w:rPr>
                <w:rFonts w:hint="eastAsia" w:ascii="宋体" w:hAnsi="宋体"/>
                <w:b w:val="0"/>
                <w:bCs w:val="0"/>
                <w:color w:val="auto"/>
                <w:sz w:val="21"/>
                <w:szCs w:val="21"/>
              </w:rPr>
              <w:t>分</w:t>
            </w:r>
            <w:r>
              <w:rPr>
                <w:rFonts w:hint="eastAsia" w:ascii="宋体" w:hAnsi="宋体"/>
                <w:b w:val="0"/>
                <w:bCs w:val="0"/>
                <w:color w:val="auto"/>
                <w:sz w:val="21"/>
                <w:szCs w:val="21"/>
                <w:lang w:eastAsia="zh-CN"/>
              </w:rPr>
              <w:t>；</w:t>
            </w:r>
          </w:p>
          <w:p>
            <w:pPr>
              <w:snapToGrid w:val="0"/>
              <w:spacing w:line="0" w:lineRule="atLeast"/>
              <w:jc w:val="left"/>
              <w:rPr>
                <w:rFonts w:hint="eastAsia" w:ascii="宋体" w:hAnsi="宋体" w:cs="宋体"/>
                <w:b w:val="0"/>
                <w:bCs w:val="0"/>
                <w:color w:val="auto"/>
                <w:sz w:val="21"/>
                <w:szCs w:val="21"/>
                <w:lang w:val="zh-CN"/>
              </w:rPr>
            </w:pPr>
            <w:r>
              <w:rPr>
                <w:rFonts w:hint="eastAsia" w:ascii="宋体" w:hAnsi="宋体"/>
                <w:b w:val="0"/>
                <w:bCs w:val="0"/>
                <w:color w:val="auto"/>
                <w:sz w:val="21"/>
                <w:szCs w:val="21"/>
              </w:rPr>
              <w:t>设计工作量估算准确、计划安排合理，酌情加分，最高加</w:t>
            </w:r>
            <w:r>
              <w:rPr>
                <w:rFonts w:hint="eastAsia" w:ascii="宋体" w:hAnsi="宋体"/>
                <w:b w:val="0"/>
                <w:bCs w:val="0"/>
                <w:color w:val="auto"/>
                <w:sz w:val="21"/>
                <w:szCs w:val="21"/>
                <w:lang w:val="en-US" w:eastAsia="zh-CN"/>
              </w:rPr>
              <w:t>4</w:t>
            </w:r>
            <w:r>
              <w:rPr>
                <w:rFonts w:hint="eastAsia" w:ascii="宋体" w:hAnsi="宋体"/>
                <w:b w:val="0"/>
                <w:bCs w:val="0"/>
                <w:color w:val="auto"/>
                <w:sz w:val="21"/>
                <w:szCs w:val="21"/>
              </w:rPr>
              <w:t>分。</w:t>
            </w:r>
          </w:p>
        </w:tc>
      </w:tr>
      <w:tr>
        <w:tblPrEx>
          <w:tblCellMar>
            <w:top w:w="0" w:type="dxa"/>
            <w:left w:w="0" w:type="dxa"/>
            <w:bottom w:w="0" w:type="dxa"/>
            <w:right w:w="0" w:type="dxa"/>
          </w:tblCellMar>
        </w:tblPrEx>
        <w:trPr>
          <w:trHeight w:val="91" w:hRule="atLeast"/>
          <w:tblHeader/>
        </w:trPr>
        <w:tc>
          <w:tcPr>
            <w:tcW w:w="105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p>
        </w:tc>
        <w:tc>
          <w:tcPr>
            <w:tcW w:w="825"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p>
        </w:tc>
        <w:tc>
          <w:tcPr>
            <w:tcW w:w="612" w:type="dxa"/>
            <w:vMerge w:val="continue"/>
            <w:tcBorders>
              <w:left w:val="nil"/>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113" w:rightChars="0"/>
              <w:jc w:val="center"/>
              <w:rPr>
                <w:rFonts w:hint="eastAsia" w:ascii="宋体" w:hAnsi="宋体"/>
                <w:b w:val="0"/>
                <w:bCs w:val="0"/>
                <w:color w:val="auto"/>
                <w:kern w:val="2"/>
                <w:sz w:val="21"/>
                <w:szCs w:val="21"/>
                <w:lang w:val="zh-CN" w:eastAsia="zh-CN" w:bidi="ar-SA"/>
              </w:rPr>
            </w:pPr>
            <w:r>
              <w:rPr>
                <w:rFonts w:hint="eastAsia" w:ascii="宋体" w:hAnsi="宋体"/>
                <w:b w:val="0"/>
                <w:bCs w:val="0"/>
                <w:color w:val="auto"/>
                <w:sz w:val="21"/>
                <w:szCs w:val="21"/>
              </w:rPr>
              <w:t>设计的质量保证措施、进度保证措施、安全保证措施</w:t>
            </w:r>
          </w:p>
        </w:tc>
        <w:tc>
          <w:tcPr>
            <w:tcW w:w="82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b w:val="0"/>
                <w:bCs w:val="0"/>
                <w:color w:val="auto"/>
                <w:kern w:val="2"/>
                <w:sz w:val="21"/>
                <w:szCs w:val="21"/>
                <w:lang w:val="en-US" w:eastAsia="zh-CN" w:bidi="ar-SA"/>
              </w:rPr>
            </w:pPr>
            <w:r>
              <w:rPr>
                <w:rFonts w:hint="eastAsia" w:ascii="宋体" w:hAnsi="宋体"/>
                <w:b w:val="0"/>
                <w:bCs w:val="0"/>
                <w:color w:val="auto"/>
                <w:sz w:val="21"/>
                <w:szCs w:val="21"/>
              </w:rPr>
              <w:t>10分</w:t>
            </w:r>
          </w:p>
        </w:tc>
        <w:tc>
          <w:tcPr>
            <w:tcW w:w="4259" w:type="dxa"/>
            <w:tcBorders>
              <w:top w:val="single" w:color="auto" w:sz="4" w:space="0"/>
              <w:left w:val="nil"/>
              <w:bottom w:val="single" w:color="auto" w:sz="4" w:space="0"/>
              <w:right w:val="single" w:color="auto" w:sz="4" w:space="0"/>
            </w:tcBorders>
            <w:noWrap w:val="0"/>
            <w:vAlign w:val="center"/>
          </w:tcPr>
          <w:p>
            <w:pPr>
              <w:spacing w:line="320" w:lineRule="exact"/>
              <w:ind w:right="113" w:rightChars="0"/>
              <w:jc w:val="left"/>
              <w:rPr>
                <w:rFonts w:hint="eastAsia" w:ascii="宋体" w:hAnsi="宋体"/>
                <w:b w:val="0"/>
                <w:bCs w:val="0"/>
                <w:color w:val="auto"/>
                <w:sz w:val="21"/>
                <w:szCs w:val="21"/>
                <w:lang w:eastAsia="zh-CN"/>
              </w:rPr>
            </w:pPr>
            <w:r>
              <w:rPr>
                <w:rFonts w:hint="eastAsia" w:ascii="宋体" w:hAnsi="宋体"/>
                <w:b w:val="0"/>
                <w:bCs w:val="0"/>
                <w:color w:val="auto"/>
                <w:sz w:val="21"/>
                <w:szCs w:val="21"/>
              </w:rPr>
              <w:t>设计的质量、进度、安全保证措施基本可行得6分</w:t>
            </w:r>
            <w:r>
              <w:rPr>
                <w:rFonts w:hint="eastAsia" w:ascii="宋体" w:hAnsi="宋体"/>
                <w:b w:val="0"/>
                <w:bCs w:val="0"/>
                <w:color w:val="auto"/>
                <w:sz w:val="21"/>
                <w:szCs w:val="21"/>
                <w:lang w:eastAsia="zh-CN"/>
              </w:rPr>
              <w:t>；</w:t>
            </w:r>
          </w:p>
          <w:p>
            <w:pPr>
              <w:spacing w:line="320" w:lineRule="exact"/>
              <w:ind w:right="113" w:rightChars="0"/>
              <w:jc w:val="left"/>
              <w:rPr>
                <w:rFonts w:hint="eastAsia" w:ascii="宋体" w:hAnsi="宋体"/>
                <w:b w:val="0"/>
                <w:bCs w:val="0"/>
                <w:color w:val="auto"/>
                <w:kern w:val="2"/>
                <w:sz w:val="21"/>
                <w:szCs w:val="21"/>
                <w:lang w:val="zh-CN" w:eastAsia="zh-CN" w:bidi="ar-SA"/>
              </w:rPr>
            </w:pPr>
            <w:r>
              <w:rPr>
                <w:rFonts w:hint="eastAsia" w:ascii="宋体" w:hAnsi="宋体"/>
                <w:b w:val="0"/>
                <w:bCs w:val="0"/>
                <w:color w:val="auto"/>
                <w:sz w:val="21"/>
                <w:szCs w:val="21"/>
              </w:rPr>
              <w:t>措施可行，所采用的措施能够提高设计质量、加快设计进度、保证安全的，酌情加分，最高加4分。</w:t>
            </w:r>
          </w:p>
        </w:tc>
      </w:tr>
      <w:tr>
        <w:tblPrEx>
          <w:tblCellMar>
            <w:top w:w="0" w:type="dxa"/>
            <w:left w:w="0" w:type="dxa"/>
            <w:bottom w:w="0" w:type="dxa"/>
            <w:right w:w="0" w:type="dxa"/>
          </w:tblCellMar>
        </w:tblPrEx>
        <w:trPr>
          <w:trHeight w:val="91" w:hRule="atLeast"/>
          <w:tblHeader/>
        </w:trPr>
        <w:tc>
          <w:tcPr>
            <w:tcW w:w="1050"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p>
        </w:tc>
        <w:tc>
          <w:tcPr>
            <w:tcW w:w="825"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p>
        </w:tc>
        <w:tc>
          <w:tcPr>
            <w:tcW w:w="612" w:type="dxa"/>
            <w:vMerge w:val="continue"/>
            <w:tcBorders>
              <w:left w:val="nil"/>
              <w:bottom w:val="single" w:color="auto" w:sz="4" w:space="0"/>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sz w:val="21"/>
                <w:szCs w:val="21"/>
                <w:lang w:val="zh-CN"/>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113" w:rightChars="0"/>
              <w:jc w:val="center"/>
              <w:rPr>
                <w:rFonts w:hint="eastAsia" w:ascii="宋体" w:hAnsi="宋体"/>
                <w:b w:val="0"/>
                <w:bCs w:val="0"/>
                <w:color w:val="auto"/>
                <w:kern w:val="2"/>
                <w:sz w:val="21"/>
                <w:szCs w:val="21"/>
                <w:lang w:val="zh-CN" w:eastAsia="zh-CN" w:bidi="ar-SA"/>
              </w:rPr>
            </w:pPr>
            <w:r>
              <w:rPr>
                <w:rFonts w:hint="eastAsia" w:ascii="宋体" w:hAnsi="宋体"/>
                <w:b w:val="0"/>
                <w:bCs w:val="0"/>
                <w:color w:val="auto"/>
                <w:sz w:val="21"/>
                <w:szCs w:val="21"/>
              </w:rPr>
              <w:t>后续服务的安排及保证措施</w:t>
            </w:r>
          </w:p>
        </w:tc>
        <w:tc>
          <w:tcPr>
            <w:tcW w:w="82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b w:val="0"/>
                <w:bCs w:val="0"/>
                <w:color w:val="auto"/>
                <w:kern w:val="2"/>
                <w:sz w:val="21"/>
                <w:szCs w:val="21"/>
                <w:lang w:val="en-US" w:eastAsia="zh-CN" w:bidi="ar-SA"/>
              </w:rPr>
            </w:pPr>
            <w:r>
              <w:rPr>
                <w:rFonts w:hint="eastAsia" w:ascii="宋体" w:hAnsi="宋体"/>
                <w:b w:val="0"/>
                <w:bCs w:val="0"/>
                <w:color w:val="auto"/>
                <w:sz w:val="21"/>
                <w:szCs w:val="21"/>
                <w:lang w:val="en-US" w:eastAsia="zh-CN"/>
              </w:rPr>
              <w:t>10</w:t>
            </w:r>
            <w:r>
              <w:rPr>
                <w:rFonts w:hint="eastAsia" w:ascii="宋体" w:hAnsi="宋体"/>
                <w:b w:val="0"/>
                <w:bCs w:val="0"/>
                <w:color w:val="auto"/>
                <w:sz w:val="21"/>
                <w:szCs w:val="21"/>
              </w:rPr>
              <w:t>分</w:t>
            </w:r>
          </w:p>
        </w:tc>
        <w:tc>
          <w:tcPr>
            <w:tcW w:w="4259" w:type="dxa"/>
            <w:tcBorders>
              <w:top w:val="single" w:color="auto" w:sz="4" w:space="0"/>
              <w:left w:val="nil"/>
              <w:bottom w:val="single" w:color="auto" w:sz="4" w:space="0"/>
              <w:right w:val="single" w:color="auto" w:sz="4" w:space="0"/>
            </w:tcBorders>
            <w:noWrap w:val="0"/>
            <w:vAlign w:val="center"/>
          </w:tcPr>
          <w:p>
            <w:pPr>
              <w:spacing w:line="320" w:lineRule="exact"/>
              <w:ind w:right="113" w:rightChars="0"/>
              <w:jc w:val="left"/>
              <w:rPr>
                <w:rFonts w:hint="eastAsia" w:ascii="宋体" w:hAnsi="宋体"/>
                <w:b w:val="0"/>
                <w:bCs w:val="0"/>
                <w:color w:val="auto"/>
                <w:sz w:val="21"/>
                <w:szCs w:val="21"/>
                <w:lang w:eastAsia="zh-CN"/>
              </w:rPr>
            </w:pPr>
            <w:r>
              <w:rPr>
                <w:rFonts w:hint="eastAsia" w:ascii="宋体" w:hAnsi="宋体"/>
                <w:b w:val="0"/>
                <w:bCs w:val="0"/>
                <w:color w:val="auto"/>
                <w:sz w:val="21"/>
                <w:szCs w:val="21"/>
              </w:rPr>
              <w:t>后续服务的安排及保证措施基本可行得</w:t>
            </w:r>
            <w:r>
              <w:rPr>
                <w:rFonts w:hint="eastAsia" w:ascii="宋体" w:hAnsi="宋体"/>
                <w:b w:val="0"/>
                <w:bCs w:val="0"/>
                <w:color w:val="auto"/>
                <w:sz w:val="21"/>
                <w:szCs w:val="21"/>
                <w:lang w:val="en-US" w:eastAsia="zh-CN"/>
              </w:rPr>
              <w:t>6</w:t>
            </w:r>
            <w:r>
              <w:rPr>
                <w:rFonts w:hint="eastAsia" w:ascii="宋体" w:hAnsi="宋体"/>
                <w:b w:val="0"/>
                <w:bCs w:val="0"/>
                <w:color w:val="auto"/>
                <w:sz w:val="21"/>
                <w:szCs w:val="21"/>
              </w:rPr>
              <w:t>分</w:t>
            </w:r>
            <w:r>
              <w:rPr>
                <w:rFonts w:hint="eastAsia" w:ascii="宋体" w:hAnsi="宋体"/>
                <w:b w:val="0"/>
                <w:bCs w:val="0"/>
                <w:color w:val="auto"/>
                <w:sz w:val="21"/>
                <w:szCs w:val="21"/>
                <w:lang w:eastAsia="zh-CN"/>
              </w:rPr>
              <w:t>；</w:t>
            </w:r>
          </w:p>
          <w:p>
            <w:pPr>
              <w:spacing w:line="320" w:lineRule="exact"/>
              <w:ind w:right="113" w:rightChars="0"/>
              <w:jc w:val="left"/>
              <w:rPr>
                <w:rFonts w:hint="eastAsia" w:ascii="宋体" w:hAnsi="宋体"/>
                <w:b w:val="0"/>
                <w:bCs w:val="0"/>
                <w:color w:val="auto"/>
                <w:kern w:val="2"/>
                <w:sz w:val="21"/>
                <w:szCs w:val="21"/>
                <w:lang w:val="zh-CN" w:eastAsia="zh-CN" w:bidi="ar-SA"/>
              </w:rPr>
            </w:pPr>
            <w:r>
              <w:rPr>
                <w:rFonts w:hint="eastAsia" w:ascii="宋体" w:hAnsi="宋体"/>
                <w:b w:val="0"/>
                <w:bCs w:val="0"/>
                <w:color w:val="auto"/>
                <w:sz w:val="21"/>
                <w:szCs w:val="21"/>
              </w:rPr>
              <w:t>可行且能够快速的协助发包人解决问题，酌情加分，最高加</w:t>
            </w:r>
            <w:r>
              <w:rPr>
                <w:rFonts w:hint="eastAsia" w:ascii="宋体" w:hAnsi="宋体"/>
                <w:b w:val="0"/>
                <w:bCs w:val="0"/>
                <w:color w:val="auto"/>
                <w:sz w:val="21"/>
                <w:szCs w:val="21"/>
                <w:lang w:val="en-US" w:eastAsia="zh-CN"/>
              </w:rPr>
              <w:t>4</w:t>
            </w:r>
            <w:r>
              <w:rPr>
                <w:rFonts w:hint="eastAsia" w:ascii="宋体" w:hAnsi="宋体"/>
                <w:b w:val="0"/>
                <w:bCs w:val="0"/>
                <w:color w:val="auto"/>
                <w:sz w:val="21"/>
                <w:szCs w:val="21"/>
              </w:rPr>
              <w:t>分。</w:t>
            </w:r>
          </w:p>
        </w:tc>
      </w:tr>
      <w:tr>
        <w:tblPrEx>
          <w:tblCellMar>
            <w:top w:w="0" w:type="dxa"/>
            <w:left w:w="0" w:type="dxa"/>
            <w:bottom w:w="0" w:type="dxa"/>
            <w:right w:w="0" w:type="dxa"/>
          </w:tblCellMar>
        </w:tblPrEx>
        <w:trPr>
          <w:trHeight w:val="2075" w:hRule="atLeast"/>
          <w:tblHeader/>
        </w:trPr>
        <w:tc>
          <w:tcPr>
            <w:tcW w:w="1050" w:type="dxa"/>
            <w:tcBorders>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2"/>
                <w:sz w:val="21"/>
                <w:szCs w:val="21"/>
                <w:lang w:val="zh-CN" w:eastAsia="zh-CN" w:bidi="ar-SA"/>
              </w:rPr>
            </w:pPr>
            <w:r>
              <w:rPr>
                <w:rFonts w:hint="eastAsia" w:ascii="宋体" w:hAnsi="宋体" w:cs="宋体"/>
                <w:b w:val="0"/>
                <w:bCs w:val="0"/>
                <w:color w:val="auto"/>
                <w:sz w:val="21"/>
                <w:szCs w:val="21"/>
                <w:lang w:val="en-US" w:eastAsia="zh-CN"/>
              </w:rPr>
              <w:t>2.3.3</w:t>
            </w:r>
          </w:p>
        </w:tc>
        <w:tc>
          <w:tcPr>
            <w:tcW w:w="825" w:type="dxa"/>
            <w:tcBorders>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ind w:firstLine="0" w:firstLineChars="0"/>
              <w:jc w:val="center"/>
              <w:rPr>
                <w:rFonts w:hint="eastAsia" w:ascii="宋体" w:hAnsi="宋体" w:cs="宋体"/>
                <w:b w:val="0"/>
                <w:bCs w:val="0"/>
                <w:color w:val="auto"/>
                <w:kern w:val="2"/>
                <w:sz w:val="21"/>
                <w:szCs w:val="21"/>
                <w:lang w:val="zh-CN" w:eastAsia="zh-CN" w:bidi="ar-SA"/>
              </w:rPr>
            </w:pPr>
            <w:r>
              <w:rPr>
                <w:rFonts w:hint="eastAsia" w:ascii="宋体" w:hAnsi="宋体" w:cs="宋体"/>
                <w:b w:val="0"/>
                <w:bCs w:val="0"/>
                <w:color w:val="auto"/>
                <w:sz w:val="21"/>
                <w:szCs w:val="21"/>
                <w:lang w:val="zh-CN"/>
              </w:rPr>
              <w:t>报价评分标准（</w:t>
            </w:r>
            <w:r>
              <w:rPr>
                <w:rFonts w:hint="eastAsia" w:ascii="宋体" w:hAnsi="宋体" w:cs="宋体"/>
                <w:b w:val="0"/>
                <w:bCs w:val="0"/>
                <w:color w:val="auto"/>
                <w:sz w:val="21"/>
                <w:szCs w:val="21"/>
                <w:lang w:val="en-US" w:eastAsia="zh-CN"/>
              </w:rPr>
              <w:t>10分</w:t>
            </w:r>
            <w:r>
              <w:rPr>
                <w:rFonts w:hint="eastAsia" w:ascii="宋体" w:hAnsi="宋体" w:cs="宋体"/>
                <w:b w:val="0"/>
                <w:bCs w:val="0"/>
                <w:color w:val="auto"/>
                <w:sz w:val="21"/>
                <w:szCs w:val="21"/>
                <w:lang w:val="zh-CN"/>
              </w:rPr>
              <w:t>）</w:t>
            </w:r>
          </w:p>
        </w:tc>
        <w:tc>
          <w:tcPr>
            <w:tcW w:w="2277" w:type="dxa"/>
            <w:gridSpan w:val="2"/>
            <w:tcBorders>
              <w:left w:val="nil"/>
              <w:bottom w:val="single" w:color="auto" w:sz="4" w:space="0"/>
              <w:right w:val="single" w:color="auto" w:sz="4" w:space="0"/>
            </w:tcBorders>
            <w:noWrap w:val="0"/>
            <w:vAlign w:val="center"/>
          </w:tcPr>
          <w:p>
            <w:pPr>
              <w:spacing w:line="320" w:lineRule="exact"/>
              <w:ind w:right="113" w:rightChars="0"/>
              <w:jc w:val="center"/>
              <w:rPr>
                <w:rFonts w:hint="eastAsia" w:ascii="宋体" w:hAnsi="宋体"/>
                <w:b w:val="0"/>
                <w:bCs w:val="0"/>
                <w:color w:val="auto"/>
                <w:sz w:val="21"/>
                <w:szCs w:val="21"/>
              </w:rPr>
            </w:pPr>
            <w:r>
              <w:rPr>
                <w:rFonts w:hint="eastAsia" w:ascii="宋体" w:hAnsi="宋体" w:cs="宋体"/>
                <w:b w:val="0"/>
                <w:bCs w:val="0"/>
                <w:color w:val="auto"/>
                <w:sz w:val="21"/>
                <w:szCs w:val="21"/>
                <w:lang w:val="zh-CN"/>
              </w:rPr>
              <w:t>报价</w:t>
            </w:r>
          </w:p>
        </w:tc>
        <w:tc>
          <w:tcPr>
            <w:tcW w:w="825" w:type="dxa"/>
            <w:tcBorders>
              <w:top w:val="single" w:color="auto" w:sz="4" w:space="0"/>
              <w:left w:val="nil"/>
              <w:bottom w:val="single" w:color="auto" w:sz="4" w:space="0"/>
              <w:right w:val="single" w:color="auto" w:sz="4" w:space="0"/>
            </w:tcBorders>
            <w:noWrap w:val="0"/>
            <w:vAlign w:val="center"/>
          </w:tcPr>
          <w:p>
            <w:pPr>
              <w:snapToGrid w:val="0"/>
              <w:spacing w:line="0" w:lineRule="atLeast"/>
              <w:jc w:val="center"/>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10</w:t>
            </w:r>
          </w:p>
        </w:tc>
        <w:tc>
          <w:tcPr>
            <w:tcW w:w="4259"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line="240" w:lineRule="auto"/>
              <w:ind w:left="0" w:leftChars="0" w:right="0"/>
              <w:jc w:val="left"/>
              <w:textAlignment w:val="auto"/>
              <w:rPr>
                <w:rFonts w:hint="eastAsia"/>
                <w:b w:val="0"/>
                <w:bCs w:val="0"/>
                <w:color w:val="auto"/>
                <w:sz w:val="21"/>
                <w:szCs w:val="21"/>
              </w:rPr>
            </w:pPr>
            <w:r>
              <w:rPr>
                <w:rFonts w:hint="eastAsia"/>
                <w:b w:val="0"/>
                <w:bCs w:val="0"/>
                <w:color w:val="auto"/>
                <w:sz w:val="21"/>
                <w:szCs w:val="21"/>
              </w:rPr>
              <w:t>（1）评标价的确定：</w:t>
            </w:r>
          </w:p>
          <w:p>
            <w:pPr>
              <w:pageBreakBefore w:val="0"/>
              <w:widowControl w:val="0"/>
              <w:kinsoku/>
              <w:wordWrap/>
              <w:overflowPunct/>
              <w:topLinePunct w:val="0"/>
              <w:bidi w:val="0"/>
              <w:adjustRightInd w:val="0"/>
              <w:snapToGrid w:val="0"/>
              <w:spacing w:line="240" w:lineRule="auto"/>
              <w:ind w:left="0" w:leftChars="0" w:right="0"/>
              <w:jc w:val="left"/>
              <w:textAlignment w:val="auto"/>
              <w:rPr>
                <w:rFonts w:hint="eastAsia"/>
                <w:b w:val="0"/>
                <w:bCs w:val="0"/>
                <w:color w:val="auto"/>
                <w:sz w:val="21"/>
                <w:szCs w:val="21"/>
              </w:rPr>
            </w:pPr>
            <w:r>
              <w:rPr>
                <w:rFonts w:hint="eastAsia"/>
                <w:b w:val="0"/>
                <w:bCs w:val="0"/>
                <w:color w:val="auto"/>
                <w:sz w:val="21"/>
                <w:szCs w:val="21"/>
              </w:rPr>
              <w:t>评标价=所有通过初步评审合格的供应商有效最终磋商报价（二次报价）</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rPr>
                <w:rFonts w:hint="eastAsia"/>
                <w:b w:val="0"/>
                <w:bCs w:val="0"/>
                <w:color w:val="auto"/>
                <w:sz w:val="21"/>
                <w:szCs w:val="21"/>
              </w:rPr>
            </w:pPr>
            <w:r>
              <w:rPr>
                <w:rFonts w:hint="eastAsia"/>
                <w:b w:val="0"/>
                <w:bCs w:val="0"/>
                <w:color w:val="auto"/>
                <w:sz w:val="21"/>
                <w:szCs w:val="21"/>
              </w:rPr>
              <w:t>评标价平均值的计算：</w:t>
            </w:r>
          </w:p>
          <w:p>
            <w:pPr>
              <w:pageBreakBefore w:val="0"/>
              <w:widowControl w:val="0"/>
              <w:kinsoku/>
              <w:wordWrap/>
              <w:overflowPunct/>
              <w:topLinePunct w:val="0"/>
              <w:bidi w:val="0"/>
              <w:adjustRightInd w:val="0"/>
              <w:snapToGrid w:val="0"/>
              <w:spacing w:line="240" w:lineRule="auto"/>
              <w:ind w:left="0" w:leftChars="0" w:right="0"/>
              <w:jc w:val="left"/>
              <w:textAlignment w:val="auto"/>
              <w:rPr>
                <w:rFonts w:hint="eastAsia"/>
                <w:b w:val="0"/>
                <w:bCs w:val="0"/>
                <w:color w:val="auto"/>
                <w:sz w:val="21"/>
                <w:szCs w:val="21"/>
              </w:rPr>
            </w:pPr>
            <w:r>
              <w:rPr>
                <w:rFonts w:hint="eastAsia"/>
                <w:b w:val="0"/>
                <w:bCs w:val="0"/>
                <w:color w:val="auto"/>
                <w:sz w:val="21"/>
                <w:szCs w:val="21"/>
              </w:rPr>
              <w:t>所有投标人的</w:t>
            </w:r>
            <w:r>
              <w:rPr>
                <w:rFonts w:hint="eastAsia"/>
                <w:b w:val="0"/>
                <w:bCs w:val="0"/>
                <w:color w:val="auto"/>
                <w:sz w:val="21"/>
                <w:szCs w:val="21"/>
                <w:lang w:eastAsia="zh-CN"/>
              </w:rPr>
              <w:t>最终磋商报价（二次报价）</w:t>
            </w:r>
            <w:r>
              <w:rPr>
                <w:rFonts w:hint="eastAsia"/>
                <w:b w:val="0"/>
                <w:bCs w:val="0"/>
                <w:color w:val="auto"/>
                <w:sz w:val="21"/>
                <w:szCs w:val="21"/>
              </w:rPr>
              <w:t>评标价去掉一个最高值和一个最低值后的算术平均值即为评标价平均值（如果参与评标价平均值计算的有效投标人少于5家时，则计算评标价平均值时不去掉最高值和最低值）</w:t>
            </w:r>
          </w:p>
          <w:p>
            <w:pPr>
              <w:pageBreakBefore w:val="0"/>
              <w:widowControl w:val="0"/>
              <w:kinsoku/>
              <w:wordWrap/>
              <w:overflowPunct/>
              <w:topLinePunct w:val="0"/>
              <w:bidi w:val="0"/>
              <w:adjustRightInd w:val="0"/>
              <w:snapToGrid w:val="0"/>
              <w:spacing w:line="240" w:lineRule="auto"/>
              <w:ind w:left="0" w:leftChars="0" w:right="0"/>
              <w:textAlignment w:val="auto"/>
              <w:rPr>
                <w:rFonts w:hint="eastAsia" w:ascii="宋体" w:hAnsi="宋体"/>
                <w:b w:val="0"/>
                <w:bCs w:val="0"/>
                <w:color w:val="auto"/>
                <w:sz w:val="21"/>
                <w:szCs w:val="21"/>
              </w:rPr>
            </w:pPr>
            <w:r>
              <w:rPr>
                <w:rFonts w:hint="eastAsia" w:ascii="宋体" w:hAnsi="宋体"/>
                <w:b w:val="0"/>
                <w:bCs w:val="0"/>
                <w:color w:val="auto"/>
                <w:sz w:val="21"/>
                <w:szCs w:val="21"/>
              </w:rPr>
              <w:t>（3）评标基准价的确定：</w:t>
            </w:r>
          </w:p>
          <w:p>
            <w:pPr>
              <w:pageBreakBefore w:val="0"/>
              <w:widowControl w:val="0"/>
              <w:kinsoku/>
              <w:wordWrap/>
              <w:overflowPunct/>
              <w:topLinePunct w:val="0"/>
              <w:bidi w:val="0"/>
              <w:adjustRightInd w:val="0"/>
              <w:snapToGrid w:val="0"/>
              <w:spacing w:line="240" w:lineRule="auto"/>
              <w:ind w:left="0" w:leftChars="0" w:right="0"/>
              <w:textAlignment w:val="auto"/>
              <w:rPr>
                <w:rFonts w:hint="eastAsia"/>
                <w:b w:val="0"/>
                <w:bCs w:val="0"/>
                <w:color w:val="auto"/>
                <w:sz w:val="21"/>
                <w:szCs w:val="21"/>
                <w:lang w:eastAsia="zh-CN"/>
              </w:rPr>
            </w:pPr>
            <w:r>
              <w:rPr>
                <w:rFonts w:hint="eastAsia" w:ascii="宋体" w:hAnsi="宋体"/>
                <w:b w:val="0"/>
                <w:bCs w:val="0"/>
                <w:color w:val="auto"/>
                <w:sz w:val="21"/>
                <w:szCs w:val="21"/>
              </w:rPr>
              <w:t>将评标价平均值直接作为评标基准价。</w:t>
            </w:r>
          </w:p>
          <w:p>
            <w:pPr>
              <w:pageBreakBefore w:val="0"/>
              <w:widowControl w:val="0"/>
              <w:kinsoku/>
              <w:wordWrap/>
              <w:overflowPunct/>
              <w:topLinePunct w:val="0"/>
              <w:bidi w:val="0"/>
              <w:adjustRightInd w:val="0"/>
              <w:snapToGrid w:val="0"/>
              <w:spacing w:line="240" w:lineRule="auto"/>
              <w:ind w:left="0" w:leftChars="0" w:right="0"/>
              <w:jc w:val="left"/>
              <w:textAlignment w:val="auto"/>
              <w:rPr>
                <w:rFonts w:hint="eastAsia" w:ascii="宋体" w:hAnsi="宋体"/>
                <w:b w:val="0"/>
                <w:bCs w:val="0"/>
                <w:color w:val="auto"/>
                <w:sz w:val="21"/>
                <w:szCs w:val="21"/>
              </w:rPr>
            </w:pPr>
            <w:r>
              <w:rPr>
                <w:rFonts w:hint="eastAsia" w:ascii="宋体" w:hAnsi="宋体"/>
                <w:b w:val="0"/>
                <w:bCs w:val="0"/>
                <w:color w:val="auto"/>
                <w:sz w:val="21"/>
                <w:szCs w:val="21"/>
                <w:lang w:eastAsia="zh-CN"/>
              </w:rPr>
              <w:t>（</w:t>
            </w:r>
            <w:r>
              <w:rPr>
                <w:rFonts w:hint="eastAsia" w:ascii="宋体" w:hAnsi="宋体"/>
                <w:b w:val="0"/>
                <w:bCs w:val="0"/>
                <w:color w:val="auto"/>
                <w:sz w:val="21"/>
                <w:szCs w:val="21"/>
                <w:lang w:val="en-US" w:eastAsia="zh-CN"/>
              </w:rPr>
              <w:t>4</w:t>
            </w:r>
            <w:r>
              <w:rPr>
                <w:rFonts w:hint="eastAsia" w:ascii="宋体" w:hAnsi="宋体"/>
                <w:b w:val="0"/>
                <w:bCs w:val="0"/>
                <w:color w:val="auto"/>
                <w:sz w:val="21"/>
                <w:szCs w:val="21"/>
                <w:lang w:eastAsia="zh-CN"/>
              </w:rPr>
              <w:t>）</w:t>
            </w:r>
            <w:r>
              <w:rPr>
                <w:rFonts w:hint="eastAsia" w:ascii="宋体" w:hAnsi="宋体"/>
                <w:b w:val="0"/>
                <w:bCs w:val="0"/>
                <w:color w:val="auto"/>
                <w:sz w:val="21"/>
                <w:szCs w:val="21"/>
              </w:rPr>
              <w:t>偏差率=100%×（投标人</w:t>
            </w:r>
            <w:r>
              <w:rPr>
                <w:rFonts w:hint="eastAsia" w:ascii="宋体" w:hAnsi="宋体"/>
                <w:b w:val="0"/>
                <w:bCs w:val="0"/>
                <w:color w:val="auto"/>
                <w:sz w:val="21"/>
                <w:szCs w:val="21"/>
                <w:lang w:eastAsia="zh-CN"/>
              </w:rPr>
              <w:t>最终磋商报价</w:t>
            </w:r>
            <w:r>
              <w:rPr>
                <w:rFonts w:hint="eastAsia" w:ascii="宋体" w:hAnsi="宋体"/>
                <w:b w:val="0"/>
                <w:bCs w:val="0"/>
                <w:color w:val="auto"/>
                <w:sz w:val="21"/>
                <w:szCs w:val="21"/>
              </w:rPr>
              <w:t>-评标基准价）/评标基准价</w:t>
            </w:r>
          </w:p>
          <w:p>
            <w:pPr>
              <w:pageBreakBefore w:val="0"/>
              <w:widowControl w:val="0"/>
              <w:kinsoku/>
              <w:wordWrap/>
              <w:overflowPunct/>
              <w:topLinePunct w:val="0"/>
              <w:bidi w:val="0"/>
              <w:adjustRightInd w:val="0"/>
              <w:snapToGrid w:val="0"/>
              <w:spacing w:line="240" w:lineRule="auto"/>
              <w:ind w:left="67" w:leftChars="0" w:right="0" w:hanging="67" w:hangingChars="32"/>
              <w:textAlignment w:val="auto"/>
              <w:rPr>
                <w:rFonts w:hint="eastAsia"/>
                <w:b w:val="0"/>
                <w:bCs w:val="0"/>
                <w:color w:val="auto"/>
                <w:sz w:val="21"/>
                <w:szCs w:val="21"/>
                <w:lang w:eastAsia="zh-CN"/>
              </w:rPr>
            </w:pPr>
            <w:r>
              <w:rPr>
                <w:rFonts w:hint="eastAsia" w:ascii="宋体" w:hAnsi="宋体"/>
                <w:b w:val="0"/>
                <w:bCs w:val="0"/>
                <w:color w:val="auto"/>
                <w:sz w:val="21"/>
                <w:szCs w:val="21"/>
              </w:rPr>
              <w:t>偏差率保留2位小数，例如：**.**%</w:t>
            </w:r>
          </w:p>
          <w:p>
            <w:pPr>
              <w:pageBreakBefore w:val="0"/>
              <w:widowControl w:val="0"/>
              <w:kinsoku/>
              <w:wordWrap/>
              <w:overflowPunct/>
              <w:topLinePunct w:val="0"/>
              <w:bidi w:val="0"/>
              <w:adjustRightInd w:val="0"/>
              <w:snapToGrid w:val="0"/>
              <w:spacing w:line="240" w:lineRule="auto"/>
              <w:ind w:left="67" w:leftChars="0" w:right="0" w:hanging="67" w:hangingChars="32"/>
              <w:textAlignment w:val="auto"/>
              <w:rPr>
                <w:rFonts w:ascii="宋体" w:hAnsi="宋体"/>
                <w:b w:val="0"/>
                <w:bCs w:val="0"/>
                <w:color w:val="auto"/>
                <w:sz w:val="21"/>
                <w:szCs w:val="21"/>
              </w:rPr>
            </w:pPr>
            <w:r>
              <w:rPr>
                <w:rFonts w:hint="eastAsia" w:ascii="宋体" w:hAnsi="宋体"/>
                <w:b w:val="0"/>
                <w:bCs w:val="0"/>
                <w:color w:val="auto"/>
                <w:sz w:val="21"/>
                <w:szCs w:val="21"/>
                <w:lang w:eastAsia="zh-CN"/>
              </w:rPr>
              <w:t>（</w:t>
            </w:r>
            <w:r>
              <w:rPr>
                <w:rFonts w:hint="eastAsia" w:ascii="宋体" w:hAnsi="宋体"/>
                <w:b w:val="0"/>
                <w:bCs w:val="0"/>
                <w:color w:val="auto"/>
                <w:sz w:val="21"/>
                <w:szCs w:val="21"/>
                <w:lang w:val="en-US" w:eastAsia="zh-CN"/>
              </w:rPr>
              <w:t>5</w:t>
            </w:r>
            <w:r>
              <w:rPr>
                <w:rFonts w:hint="eastAsia" w:ascii="宋体" w:hAnsi="宋体"/>
                <w:b w:val="0"/>
                <w:bCs w:val="0"/>
                <w:color w:val="auto"/>
                <w:sz w:val="21"/>
                <w:szCs w:val="21"/>
                <w:lang w:eastAsia="zh-CN"/>
              </w:rPr>
              <w:t>）</w:t>
            </w:r>
            <w:r>
              <w:rPr>
                <w:rFonts w:hint="eastAsia" w:ascii="宋体" w:hAnsi="宋体"/>
                <w:b w:val="0"/>
                <w:bCs w:val="0"/>
                <w:color w:val="auto"/>
                <w:sz w:val="21"/>
                <w:szCs w:val="21"/>
              </w:rPr>
              <w:t>评</w:t>
            </w:r>
            <w:r>
              <w:rPr>
                <w:rFonts w:ascii="宋体" w:hAnsi="宋体"/>
                <w:b w:val="0"/>
                <w:bCs w:val="0"/>
                <w:color w:val="auto"/>
                <w:sz w:val="21"/>
                <w:szCs w:val="21"/>
              </w:rPr>
              <w:t>标价得分计算：</w:t>
            </w:r>
          </w:p>
          <w:p>
            <w:pPr>
              <w:pageBreakBefore w:val="0"/>
              <w:widowControl w:val="0"/>
              <w:kinsoku/>
              <w:wordWrap/>
              <w:overflowPunct/>
              <w:topLinePunct w:val="0"/>
              <w:bidi w:val="0"/>
              <w:adjustRightInd w:val="0"/>
              <w:snapToGrid w:val="0"/>
              <w:spacing w:line="240" w:lineRule="auto"/>
              <w:ind w:left="67" w:leftChars="0" w:right="0" w:hanging="67" w:hangingChars="32"/>
              <w:textAlignment w:val="auto"/>
              <w:rPr>
                <w:rFonts w:hint="eastAsia" w:ascii="宋体" w:hAnsi="宋体"/>
                <w:b w:val="0"/>
                <w:bCs w:val="0"/>
                <w:color w:val="auto"/>
                <w:sz w:val="21"/>
                <w:szCs w:val="21"/>
              </w:rPr>
            </w:pPr>
            <w:r>
              <w:rPr>
                <w:rFonts w:hint="eastAsia" w:ascii="宋体" w:hAnsi="宋体"/>
                <w:b w:val="0"/>
                <w:bCs w:val="0"/>
                <w:color w:val="auto"/>
                <w:sz w:val="21"/>
                <w:szCs w:val="21"/>
              </w:rPr>
              <w:t>1）如果投标人的评标价＞评标基准价</w:t>
            </w:r>
            <w:r>
              <w:rPr>
                <w:rFonts w:ascii="宋体" w:hAnsi="宋体"/>
                <w:b w:val="0"/>
                <w:bCs w:val="0"/>
                <w:color w:val="auto"/>
                <w:sz w:val="21"/>
                <w:szCs w:val="21"/>
              </w:rPr>
              <w:t>，</w:t>
            </w:r>
            <w:r>
              <w:rPr>
                <w:rFonts w:hint="eastAsia" w:ascii="宋体" w:hAnsi="宋体"/>
                <w:b w:val="0"/>
                <w:bCs w:val="0"/>
                <w:color w:val="auto"/>
                <w:sz w:val="21"/>
                <w:szCs w:val="21"/>
              </w:rPr>
              <w:t>则评标价得分=10-偏差率×100×0.</w:t>
            </w:r>
            <w:r>
              <w:rPr>
                <w:rFonts w:hint="eastAsia" w:ascii="宋体" w:hAnsi="宋体"/>
                <w:b w:val="0"/>
                <w:bCs w:val="0"/>
                <w:color w:val="auto"/>
                <w:sz w:val="21"/>
                <w:szCs w:val="21"/>
                <w:lang w:val="en-US" w:eastAsia="zh-CN"/>
              </w:rPr>
              <w:t>2</w:t>
            </w:r>
            <w:r>
              <w:rPr>
                <w:rFonts w:hint="eastAsia" w:ascii="宋体" w:hAnsi="宋体"/>
                <w:b w:val="0"/>
                <w:bCs w:val="0"/>
                <w:color w:val="auto"/>
                <w:sz w:val="21"/>
                <w:szCs w:val="21"/>
              </w:rPr>
              <w:t>；</w:t>
            </w:r>
          </w:p>
          <w:p>
            <w:pPr>
              <w:pageBreakBefore w:val="0"/>
              <w:widowControl w:val="0"/>
              <w:kinsoku/>
              <w:wordWrap/>
              <w:overflowPunct/>
              <w:topLinePunct w:val="0"/>
              <w:bidi w:val="0"/>
              <w:adjustRightInd w:val="0"/>
              <w:snapToGrid w:val="0"/>
              <w:spacing w:line="240" w:lineRule="auto"/>
              <w:ind w:left="67" w:leftChars="0" w:right="0" w:hanging="67" w:hangingChars="32"/>
              <w:textAlignment w:val="auto"/>
              <w:rPr>
                <w:rFonts w:hint="eastAsia" w:ascii="宋体" w:hAnsi="宋体"/>
                <w:b w:val="0"/>
                <w:bCs w:val="0"/>
                <w:color w:val="auto"/>
                <w:sz w:val="21"/>
                <w:szCs w:val="21"/>
              </w:rPr>
            </w:pPr>
            <w:r>
              <w:rPr>
                <w:rFonts w:hint="eastAsia" w:ascii="宋体" w:hAnsi="宋体"/>
                <w:b w:val="0"/>
                <w:bCs w:val="0"/>
                <w:color w:val="auto"/>
                <w:sz w:val="21"/>
                <w:szCs w:val="21"/>
              </w:rPr>
              <w:t>2）如果投标人的评标价≤评标基准价，则评标价得分=10+偏差率×100×0.</w:t>
            </w:r>
            <w:r>
              <w:rPr>
                <w:rFonts w:hint="eastAsia" w:ascii="宋体" w:hAnsi="宋体"/>
                <w:b w:val="0"/>
                <w:bCs w:val="0"/>
                <w:color w:val="auto"/>
                <w:sz w:val="21"/>
                <w:szCs w:val="21"/>
                <w:lang w:val="en-US" w:eastAsia="zh-CN"/>
              </w:rPr>
              <w:t>1</w:t>
            </w:r>
            <w:r>
              <w:rPr>
                <w:rFonts w:hint="eastAsia" w:ascii="宋体" w:hAnsi="宋体"/>
                <w:b w:val="0"/>
                <w:bCs w:val="0"/>
                <w:color w:val="auto"/>
                <w:sz w:val="21"/>
                <w:szCs w:val="21"/>
              </w:rPr>
              <w:t>。</w:t>
            </w:r>
          </w:p>
          <w:p>
            <w:pPr>
              <w:pStyle w:val="2"/>
              <w:pageBreakBefore w:val="0"/>
              <w:widowControl w:val="0"/>
              <w:kinsoku/>
              <w:wordWrap/>
              <w:overflowPunct/>
              <w:topLinePunct w:val="0"/>
              <w:bidi w:val="0"/>
              <w:adjustRightInd w:val="0"/>
              <w:snapToGrid w:val="0"/>
              <w:spacing w:before="0" w:after="0" w:line="240" w:lineRule="auto"/>
              <w:ind w:left="0" w:leftChars="0" w:right="0"/>
              <w:textAlignment w:val="auto"/>
              <w:rPr>
                <w:rFonts w:hint="eastAsia"/>
                <w:b w:val="0"/>
                <w:bCs w:val="0"/>
                <w:color w:val="auto"/>
                <w:kern w:val="2"/>
                <w:sz w:val="21"/>
                <w:szCs w:val="21"/>
                <w:lang w:val="zh-CN" w:eastAsia="zh-CN" w:bidi="ar-SA"/>
              </w:rPr>
            </w:pPr>
            <w:r>
              <w:rPr>
                <w:rFonts w:hint="eastAsia" w:ascii="宋体" w:hAnsi="宋体"/>
                <w:b w:val="0"/>
                <w:bCs w:val="0"/>
                <w:color w:val="auto"/>
                <w:kern w:val="2"/>
                <w:sz w:val="21"/>
                <w:szCs w:val="21"/>
                <w:lang w:val="en-US" w:eastAsia="zh-CN" w:bidi="ar-SA"/>
              </w:rPr>
              <w:t>评标价得分最低扣至0分。</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7361" w:type="dxa"/>
          <w:trHeight w:val="100" w:hRule="atLeast"/>
        </w:trPr>
        <w:tc>
          <w:tcPr>
            <w:tcW w:w="1875" w:type="dxa"/>
            <w:gridSpan w:val="2"/>
            <w:tcBorders>
              <w:top w:val="single" w:color="auto" w:sz="4" w:space="0"/>
            </w:tcBorders>
            <w:noWrap w:val="0"/>
            <w:vAlign w:val="top"/>
          </w:tcPr>
          <w:p>
            <w:pPr>
              <w:widowControl/>
              <w:spacing w:line="0" w:lineRule="atLeast"/>
              <w:jc w:val="left"/>
              <w:rPr>
                <w:rFonts w:ascii="宋体" w:hAnsi="宋体" w:cs="宋体"/>
                <w:b w:val="0"/>
                <w:bCs w:val="0"/>
                <w:color w:val="auto"/>
                <w:kern w:val="0"/>
                <w:sz w:val="21"/>
                <w:szCs w:val="21"/>
              </w:rPr>
            </w:pPr>
          </w:p>
        </w:tc>
      </w:tr>
    </w:tbl>
    <w:p>
      <w:pPr>
        <w:pageBreakBefore w:val="0"/>
        <w:widowControl w:val="0"/>
        <w:tabs>
          <w:tab w:val="left" w:pos="1260"/>
          <w:tab w:val="left" w:pos="1620"/>
        </w:tabs>
        <w:kinsoku/>
        <w:wordWrap/>
        <w:overflowPunct/>
        <w:topLinePunct w:val="0"/>
        <w:bidi w:val="0"/>
        <w:adjustRightInd w:val="0"/>
        <w:snapToGrid w:val="0"/>
        <w:spacing w:line="360" w:lineRule="exact"/>
        <w:ind w:firstLine="0" w:firstLineChars="0"/>
        <w:jc w:val="left"/>
        <w:textAlignment w:val="baseline"/>
        <w:rPr>
          <w:rFonts w:hint="eastAsia" w:ascii="宋体" w:hAnsi="宋体" w:eastAsia="宋体" w:cs="宋体"/>
          <w:b w:val="0"/>
          <w:bCs w:val="0"/>
          <w:color w:val="auto"/>
          <w:kern w:val="44"/>
          <w:sz w:val="21"/>
          <w:szCs w:val="21"/>
        </w:rPr>
      </w:pPr>
      <w:r>
        <w:rPr>
          <w:rFonts w:hint="eastAsia" w:ascii="宋体" w:hAnsi="宋体" w:cs="宋体"/>
          <w:b w:val="0"/>
          <w:bCs w:val="0"/>
          <w:color w:val="auto"/>
          <w:sz w:val="21"/>
          <w:szCs w:val="21"/>
          <w:lang w:eastAsia="zh-CN"/>
        </w:rPr>
        <w:t>五、</w:t>
      </w:r>
      <w:r>
        <w:rPr>
          <w:rFonts w:hint="eastAsia" w:ascii="宋体" w:hAnsi="宋体" w:eastAsia="宋体" w:cs="宋体"/>
          <w:b w:val="0"/>
          <w:bCs w:val="0"/>
          <w:color w:val="auto"/>
          <w:kern w:val="44"/>
          <w:sz w:val="21"/>
          <w:szCs w:val="21"/>
        </w:rPr>
        <w:t>公开时间</w:t>
      </w:r>
    </w:p>
    <w:p>
      <w:pPr>
        <w:keepNext/>
        <w:keepLines/>
        <w:pageBreakBefore w:val="0"/>
        <w:widowControl w:val="0"/>
        <w:tabs>
          <w:tab w:val="left" w:pos="426"/>
        </w:tabs>
        <w:kinsoku/>
        <w:wordWrap/>
        <w:overflowPunct/>
        <w:topLinePunct w:val="0"/>
        <w:bidi w:val="0"/>
        <w:adjustRightInd w:val="0"/>
        <w:snapToGrid w:val="0"/>
        <w:spacing w:line="360" w:lineRule="exact"/>
        <w:ind w:firstLine="0" w:firstLineChars="0"/>
        <w:jc w:val="left"/>
        <w:outlineLvl w:val="2"/>
        <w:rPr>
          <w:rFonts w:hint="eastAsia" w:ascii="宋体" w:hAnsi="宋体" w:eastAsia="宋体" w:cs="宋体"/>
          <w:b w:val="0"/>
          <w:bCs w:val="0"/>
          <w:color w:val="auto"/>
          <w:sz w:val="21"/>
          <w:szCs w:val="21"/>
        </w:rPr>
      </w:pPr>
      <w:r>
        <w:rPr>
          <w:rFonts w:hint="eastAsia" w:ascii="宋体" w:hAnsi="宋体" w:eastAsia="宋体" w:cs="宋体"/>
          <w:b w:val="0"/>
          <w:bCs w:val="0"/>
          <w:color w:val="auto"/>
          <w:kern w:val="44"/>
          <w:sz w:val="21"/>
          <w:szCs w:val="21"/>
        </w:rPr>
        <w:t>本次磋商文件关键内容信息公开时间至2020年</w:t>
      </w:r>
      <w:r>
        <w:rPr>
          <w:rFonts w:hint="eastAsia" w:ascii="宋体" w:hAnsi="宋体" w:cs="宋体"/>
          <w:b w:val="0"/>
          <w:bCs w:val="0"/>
          <w:color w:val="auto"/>
          <w:kern w:val="44"/>
          <w:sz w:val="21"/>
          <w:szCs w:val="21"/>
          <w:lang w:val="en-US" w:eastAsia="zh-CN"/>
        </w:rPr>
        <w:t>5</w:t>
      </w:r>
      <w:r>
        <w:rPr>
          <w:rFonts w:hint="eastAsia" w:ascii="宋体" w:hAnsi="宋体" w:eastAsia="宋体" w:cs="宋体"/>
          <w:b w:val="0"/>
          <w:bCs w:val="0"/>
          <w:color w:val="auto"/>
          <w:kern w:val="44"/>
          <w:sz w:val="21"/>
          <w:szCs w:val="21"/>
        </w:rPr>
        <w:t>月</w:t>
      </w:r>
      <w:r>
        <w:rPr>
          <w:rFonts w:hint="eastAsia" w:ascii="宋体" w:hAnsi="宋体" w:cs="宋体"/>
          <w:b w:val="0"/>
          <w:bCs w:val="0"/>
          <w:color w:val="auto"/>
          <w:kern w:val="44"/>
          <w:sz w:val="21"/>
          <w:szCs w:val="21"/>
          <w:lang w:val="en-US" w:eastAsia="zh-CN"/>
        </w:rPr>
        <w:t>15</w:t>
      </w:r>
      <w:r>
        <w:rPr>
          <w:rFonts w:hint="eastAsia" w:ascii="宋体" w:hAnsi="宋体" w:eastAsia="宋体" w:cs="宋体"/>
          <w:b w:val="0"/>
          <w:bCs w:val="0"/>
          <w:color w:val="auto"/>
          <w:kern w:val="44"/>
          <w:sz w:val="21"/>
          <w:szCs w:val="21"/>
        </w:rPr>
        <w:t>日24时00分结束</w:t>
      </w:r>
    </w:p>
    <w:p>
      <w:pPr>
        <w:keepNext/>
        <w:keepLines/>
        <w:pageBreakBefore w:val="0"/>
        <w:widowControl w:val="0"/>
        <w:tabs>
          <w:tab w:val="left" w:pos="426"/>
        </w:tabs>
        <w:kinsoku/>
        <w:wordWrap/>
        <w:overflowPunct/>
        <w:topLinePunct w:val="0"/>
        <w:bidi w:val="0"/>
        <w:adjustRightInd w:val="0"/>
        <w:snapToGrid w:val="0"/>
        <w:spacing w:line="360" w:lineRule="exact"/>
        <w:ind w:firstLine="0" w:firstLineChars="0"/>
        <w:jc w:val="left"/>
        <w:outlineLvl w:val="2"/>
        <w:rPr>
          <w:rFonts w:hint="eastAsia" w:ascii="宋体" w:hAnsi="宋体" w:eastAsia="宋体" w:cs="宋体"/>
          <w:b w:val="0"/>
          <w:bCs w:val="0"/>
          <w:color w:val="auto"/>
          <w:kern w:val="44"/>
          <w:sz w:val="21"/>
          <w:szCs w:val="21"/>
        </w:rPr>
      </w:pPr>
      <w:r>
        <w:rPr>
          <w:rFonts w:hint="eastAsia" w:ascii="宋体" w:hAnsi="宋体" w:cs="宋体"/>
          <w:b w:val="0"/>
          <w:bCs w:val="0"/>
          <w:color w:val="auto"/>
          <w:kern w:val="44"/>
          <w:sz w:val="21"/>
          <w:szCs w:val="21"/>
          <w:lang w:eastAsia="zh-CN"/>
        </w:rPr>
        <w:t>六、</w:t>
      </w:r>
      <w:r>
        <w:rPr>
          <w:rFonts w:hint="eastAsia" w:ascii="宋体" w:hAnsi="宋体" w:eastAsia="宋体" w:cs="宋体"/>
          <w:b w:val="0"/>
          <w:bCs w:val="0"/>
          <w:color w:val="auto"/>
          <w:kern w:val="44"/>
          <w:sz w:val="21"/>
          <w:szCs w:val="21"/>
        </w:rPr>
        <w:t>联系方式</w:t>
      </w:r>
    </w:p>
    <w:tbl>
      <w:tblPr>
        <w:tblStyle w:val="42"/>
        <w:tblW w:w="9322" w:type="dxa"/>
        <w:tblInd w:w="0" w:type="dxa"/>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9028"/>
        <w:gridCol w:w="294"/>
      </w:tblGrid>
      <w:tr>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9028" w:type="dxa"/>
            <w:vAlign w:val="top"/>
          </w:tcPr>
          <w:p>
            <w:pPr>
              <w:keepNext w:val="0"/>
              <w:keepLines w:val="0"/>
              <w:pageBreakBefore w:val="0"/>
              <w:widowControl w:val="0"/>
              <w:numPr>
                <w:ilvl w:val="0"/>
                <w:numId w:val="0"/>
              </w:numPr>
              <w:tabs>
                <w:tab w:val="left" w:pos="709"/>
              </w:tabs>
              <w:kinsoku/>
              <w:wordWrap/>
              <w:overflowPunct/>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人：吉林省高速公路集团有限公司</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地址：吉林省长春市人民大街11511号</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邮政编码：130033</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eastAsia="zh-CN"/>
              </w:rPr>
              <w:t>李昱翠</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电话：0431-85254020</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传真：0431-85254020</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代理机构：国信招标集团股份有限公司</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执行机构：国信招标集团股份有限公司吉林省分公司</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地址：长春市净月旅游开发区生态大街3777号明宇广场A4栋32层招标部</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联系人：张娉婷、王建</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电话：0431-81852896</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exact"/>
              <w:ind w:left="0" w:leftChars="0" w:firstLine="0"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邮箱：</w:t>
            </w:r>
            <w:r>
              <w:rPr>
                <w:rFonts w:hint="eastAsia" w:ascii="宋体" w:hAnsi="宋体" w:eastAsia="宋体" w:cs="宋体"/>
                <w:color w:val="auto"/>
                <w:sz w:val="21"/>
                <w:szCs w:val="21"/>
                <w:lang w:val="en-US" w:eastAsia="zh-CN"/>
              </w:rPr>
              <w:t>2232574732@qq.com</w:t>
            </w:r>
          </w:p>
          <w:p>
            <w:pPr>
              <w:pageBreakBefore w:val="0"/>
              <w:widowControl w:val="0"/>
              <w:kinsoku/>
              <w:wordWrap/>
              <w:overflowPunct/>
              <w:topLinePunct w:val="0"/>
              <w:bidi w:val="0"/>
              <w:adjustRightInd w:val="0"/>
              <w:snapToGrid w:val="0"/>
              <w:spacing w:line="360" w:lineRule="exact"/>
              <w:ind w:firstLine="0" w:firstLineChars="0"/>
              <w:rPr>
                <w:rFonts w:hint="eastAsia" w:ascii="宋体" w:hAnsi="宋体" w:eastAsia="宋体" w:cs="宋体"/>
                <w:b w:val="0"/>
                <w:bCs w:val="0"/>
                <w:color w:val="auto"/>
                <w:sz w:val="21"/>
                <w:szCs w:val="21"/>
              </w:rPr>
            </w:pPr>
          </w:p>
        </w:tc>
        <w:tc>
          <w:tcPr>
            <w:tcW w:w="294" w:type="dxa"/>
            <w:vAlign w:val="top"/>
          </w:tcPr>
          <w:p>
            <w:pPr>
              <w:pageBreakBefore w:val="0"/>
              <w:widowControl w:val="0"/>
              <w:kinsoku/>
              <w:wordWrap/>
              <w:overflowPunct/>
              <w:topLinePunct w:val="0"/>
              <w:autoSpaceDE w:val="0"/>
              <w:autoSpaceDN w:val="0"/>
              <w:bidi w:val="0"/>
              <w:adjustRightInd w:val="0"/>
              <w:snapToGrid w:val="0"/>
              <w:spacing w:line="360" w:lineRule="exact"/>
              <w:ind w:firstLine="0" w:firstLineChars="0"/>
              <w:rPr>
                <w:rFonts w:hint="eastAsia" w:ascii="宋体" w:hAnsi="宋体" w:eastAsia="宋体" w:cs="宋体"/>
                <w:b w:val="0"/>
                <w:bCs w:val="0"/>
                <w:color w:val="auto"/>
                <w:sz w:val="21"/>
                <w:szCs w:val="21"/>
              </w:rPr>
            </w:pPr>
          </w:p>
        </w:tc>
      </w:tr>
      <w:tr>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9028" w:type="dxa"/>
            <w:vAlign w:val="top"/>
          </w:tcPr>
          <w:p>
            <w:pPr>
              <w:spacing w:line="360" w:lineRule="atLeast"/>
              <w:rPr>
                <w:rFonts w:hint="eastAsia" w:ascii="宋体" w:hAnsi="宋体" w:eastAsia="宋体" w:cs="宋体"/>
                <w:b w:val="0"/>
                <w:bCs w:val="0"/>
                <w:color w:val="auto"/>
                <w:sz w:val="21"/>
                <w:szCs w:val="21"/>
              </w:rPr>
            </w:pPr>
          </w:p>
        </w:tc>
        <w:tc>
          <w:tcPr>
            <w:tcW w:w="294" w:type="dxa"/>
            <w:vAlign w:val="top"/>
          </w:tcPr>
          <w:p>
            <w:pPr>
              <w:autoSpaceDE w:val="0"/>
              <w:autoSpaceDN w:val="0"/>
              <w:adjustRightInd w:val="0"/>
              <w:spacing w:line="360" w:lineRule="atLeast"/>
              <w:rPr>
                <w:rFonts w:hint="eastAsia" w:ascii="宋体" w:hAnsi="宋体" w:eastAsia="宋体" w:cs="宋体"/>
                <w:b w:val="0"/>
                <w:bCs w:val="0"/>
                <w:color w:val="auto"/>
                <w:sz w:val="21"/>
                <w:szCs w:val="21"/>
              </w:rPr>
            </w:pPr>
          </w:p>
        </w:tc>
      </w:tr>
      <w:tr>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9028" w:type="dxa"/>
            <w:vAlign w:val="top"/>
          </w:tcPr>
          <w:p>
            <w:pPr>
              <w:spacing w:line="360" w:lineRule="atLeast"/>
              <w:rPr>
                <w:rFonts w:hint="eastAsia" w:ascii="宋体" w:hAnsi="宋体" w:eastAsia="宋体" w:cs="宋体"/>
                <w:b w:val="0"/>
                <w:bCs w:val="0"/>
                <w:color w:val="auto"/>
                <w:sz w:val="21"/>
                <w:szCs w:val="21"/>
              </w:rPr>
            </w:pPr>
          </w:p>
        </w:tc>
        <w:tc>
          <w:tcPr>
            <w:tcW w:w="294" w:type="dxa"/>
            <w:vAlign w:val="top"/>
          </w:tcPr>
          <w:p>
            <w:pPr>
              <w:autoSpaceDE w:val="0"/>
              <w:autoSpaceDN w:val="0"/>
              <w:adjustRightInd w:val="0"/>
              <w:spacing w:line="360" w:lineRule="atLeast"/>
              <w:rPr>
                <w:rFonts w:hint="eastAsia" w:ascii="宋体" w:hAnsi="宋体" w:eastAsia="宋体" w:cs="宋体"/>
                <w:b w:val="0"/>
                <w:bCs w:val="0"/>
                <w:color w:val="auto"/>
                <w:sz w:val="21"/>
                <w:szCs w:val="21"/>
              </w:rPr>
            </w:pPr>
          </w:p>
        </w:tc>
      </w:tr>
      <w:tr>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9028" w:type="dxa"/>
            <w:vAlign w:val="top"/>
          </w:tcPr>
          <w:p>
            <w:pPr>
              <w:spacing w:line="360" w:lineRule="atLeast"/>
              <w:rPr>
                <w:rFonts w:hint="eastAsia" w:ascii="宋体" w:hAnsi="宋体" w:eastAsia="宋体" w:cs="宋体"/>
                <w:b w:val="0"/>
                <w:bCs w:val="0"/>
                <w:color w:val="auto"/>
                <w:sz w:val="21"/>
                <w:szCs w:val="21"/>
              </w:rPr>
            </w:pPr>
          </w:p>
        </w:tc>
        <w:tc>
          <w:tcPr>
            <w:tcW w:w="294" w:type="dxa"/>
            <w:vAlign w:val="top"/>
          </w:tcPr>
          <w:p>
            <w:pPr>
              <w:autoSpaceDE w:val="0"/>
              <w:autoSpaceDN w:val="0"/>
              <w:adjustRightInd w:val="0"/>
              <w:spacing w:line="360" w:lineRule="atLeast"/>
              <w:rPr>
                <w:rFonts w:hint="eastAsia" w:ascii="宋体" w:hAnsi="宋体" w:eastAsia="宋体" w:cs="宋体"/>
                <w:b w:val="0"/>
                <w:bCs w:val="0"/>
                <w:color w:val="auto"/>
                <w:sz w:val="21"/>
                <w:szCs w:val="21"/>
              </w:rPr>
            </w:pPr>
          </w:p>
        </w:tc>
      </w:tr>
      <w:tr>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9028" w:type="dxa"/>
            <w:vAlign w:val="top"/>
          </w:tcPr>
          <w:p>
            <w:pPr>
              <w:spacing w:line="360" w:lineRule="atLeast"/>
              <w:rPr>
                <w:rFonts w:hint="eastAsia" w:ascii="宋体" w:hAnsi="宋体" w:eastAsia="宋体" w:cs="宋体"/>
                <w:b w:val="0"/>
                <w:bCs w:val="0"/>
                <w:color w:val="auto"/>
                <w:sz w:val="21"/>
                <w:szCs w:val="21"/>
              </w:rPr>
            </w:pPr>
          </w:p>
        </w:tc>
        <w:tc>
          <w:tcPr>
            <w:tcW w:w="294" w:type="dxa"/>
            <w:vAlign w:val="top"/>
          </w:tcPr>
          <w:p>
            <w:pPr>
              <w:autoSpaceDE w:val="0"/>
              <w:autoSpaceDN w:val="0"/>
              <w:adjustRightInd w:val="0"/>
              <w:spacing w:line="360" w:lineRule="atLeast"/>
              <w:rPr>
                <w:rFonts w:hint="eastAsia" w:ascii="宋体" w:hAnsi="宋体" w:eastAsia="宋体" w:cs="宋体"/>
                <w:b w:val="0"/>
                <w:bCs w:val="0"/>
                <w:color w:val="auto"/>
                <w:sz w:val="21"/>
                <w:szCs w:val="21"/>
              </w:rPr>
            </w:pPr>
          </w:p>
        </w:tc>
      </w:tr>
      <w:bookmarkEnd w:id="13"/>
      <w:bookmarkEnd w:id="14"/>
      <w:bookmarkEnd w:id="15"/>
      <w:bookmarkEnd w:id="16"/>
      <w:bookmarkEnd w:id="17"/>
    </w:tbl>
    <w:p>
      <w:pPr>
        <w:spacing w:line="360" w:lineRule="atLeast"/>
        <w:ind w:firstLine="435"/>
        <w:jc w:val="right"/>
        <w:rPr>
          <w:rFonts w:hint="eastAsia" w:ascii="宋体" w:hAnsi="宋体"/>
          <w:b w:val="0"/>
          <w:bCs w:val="0"/>
          <w:color w:val="auto"/>
          <w:szCs w:val="21"/>
        </w:rPr>
      </w:pPr>
    </w:p>
    <w:sectPr>
      <w:footnotePr>
        <w:numFmt w:val="decimalEnclosedCircleChinese"/>
        <w:numRestart w:val="eachPage"/>
      </w:footnotePr>
      <w:pgSz w:w="11907" w:h="16840"/>
      <w:pgMar w:top="1418" w:right="1134" w:bottom="1134" w:left="1418" w:header="680" w:footer="90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86B8C"/>
    <w:multiLevelType w:val="singleLevel"/>
    <w:tmpl w:val="AF386B8C"/>
    <w:lvl w:ilvl="0" w:tentative="0">
      <w:start w:val="4"/>
      <w:numFmt w:val="chineseCounting"/>
      <w:suff w:val="nothing"/>
      <w:lvlText w:val="%1、"/>
      <w:lvlJc w:val="left"/>
      <w:rPr>
        <w:rFonts w:hint="eastAsia"/>
      </w:rPr>
    </w:lvl>
  </w:abstractNum>
  <w:abstractNum w:abstractNumId="1">
    <w:nsid w:val="E07EBC4B"/>
    <w:multiLevelType w:val="singleLevel"/>
    <w:tmpl w:val="E07EBC4B"/>
    <w:lvl w:ilvl="0" w:tentative="0">
      <w:start w:val="2"/>
      <w:numFmt w:val="decimal"/>
      <w:suff w:val="nothing"/>
      <w:lvlText w:val="（%1）"/>
      <w:lvlJc w:val="left"/>
    </w:lvl>
  </w:abstractNum>
  <w:abstractNum w:abstractNumId="2">
    <w:nsid w:val="72A16D51"/>
    <w:multiLevelType w:val="multilevel"/>
    <w:tmpl w:val="72A16D51"/>
    <w:lvl w:ilvl="0" w:tentative="0">
      <w:start w:val="1"/>
      <w:numFmt w:val="decimal"/>
      <w:pStyle w:val="6"/>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8"/>
      <w:suff w:val="space"/>
      <w:lvlText w:val="%1.%2.%3"/>
      <w:lvlJc w:val="left"/>
      <w:pPr>
        <w:ind w:left="143" w:firstLine="425"/>
      </w:pPr>
      <w:rPr>
        <w:rFonts w:hint="eastAsia"/>
      </w:rPr>
    </w:lvl>
    <w:lvl w:ilvl="3" w:tentative="0">
      <w:start w:val="1"/>
      <w:numFmt w:val="decimal"/>
      <w:lvlText w:val="%1.%2.%3.%4"/>
      <w:lvlJc w:val="left"/>
      <w:pPr>
        <w:ind w:left="0" w:firstLine="851"/>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hyphenationZone w:val="360"/>
  <w:drawingGridHorizontalSpacing w:val="105"/>
  <w:drawingGridVerticalSpacing w:val="120"/>
  <w:displayHorizontalDrawingGridEvery w:val="0"/>
  <w:displayVerticalDrawingGridEvery w:val="3"/>
  <w:doNotShadeFormData w:val="1"/>
  <w:characterSpacingControl w:val="compressPunctuation"/>
  <w:doNotValidateAgainstSchema/>
  <w:doNotDemarcateInvalidXml/>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55"/>
    <w:rsid w:val="00000B9B"/>
    <w:rsid w:val="0000164E"/>
    <w:rsid w:val="00001854"/>
    <w:rsid w:val="00001EB2"/>
    <w:rsid w:val="0000200A"/>
    <w:rsid w:val="00002670"/>
    <w:rsid w:val="00002B75"/>
    <w:rsid w:val="00002CF2"/>
    <w:rsid w:val="00003556"/>
    <w:rsid w:val="000055C5"/>
    <w:rsid w:val="00005739"/>
    <w:rsid w:val="00005846"/>
    <w:rsid w:val="000058E7"/>
    <w:rsid w:val="000068D5"/>
    <w:rsid w:val="0001062E"/>
    <w:rsid w:val="000111B0"/>
    <w:rsid w:val="0001261F"/>
    <w:rsid w:val="00012D41"/>
    <w:rsid w:val="00015328"/>
    <w:rsid w:val="0001651E"/>
    <w:rsid w:val="0001762B"/>
    <w:rsid w:val="00017D1F"/>
    <w:rsid w:val="000207BA"/>
    <w:rsid w:val="0002185E"/>
    <w:rsid w:val="00022437"/>
    <w:rsid w:val="0002244B"/>
    <w:rsid w:val="00022C84"/>
    <w:rsid w:val="00023F1C"/>
    <w:rsid w:val="000240A3"/>
    <w:rsid w:val="000246DD"/>
    <w:rsid w:val="00024C32"/>
    <w:rsid w:val="00024CAF"/>
    <w:rsid w:val="00025358"/>
    <w:rsid w:val="00025D97"/>
    <w:rsid w:val="0002642A"/>
    <w:rsid w:val="0002665C"/>
    <w:rsid w:val="00026758"/>
    <w:rsid w:val="00027250"/>
    <w:rsid w:val="000276C7"/>
    <w:rsid w:val="00027CFB"/>
    <w:rsid w:val="00030B33"/>
    <w:rsid w:val="00030C58"/>
    <w:rsid w:val="00030CA0"/>
    <w:rsid w:val="00030DCE"/>
    <w:rsid w:val="0003216C"/>
    <w:rsid w:val="00033262"/>
    <w:rsid w:val="00033D43"/>
    <w:rsid w:val="000340F4"/>
    <w:rsid w:val="00034D28"/>
    <w:rsid w:val="0003563D"/>
    <w:rsid w:val="00035B0E"/>
    <w:rsid w:val="00036DE6"/>
    <w:rsid w:val="00036FDC"/>
    <w:rsid w:val="0003787D"/>
    <w:rsid w:val="0003793F"/>
    <w:rsid w:val="0004083E"/>
    <w:rsid w:val="000414C3"/>
    <w:rsid w:val="00042733"/>
    <w:rsid w:val="00044116"/>
    <w:rsid w:val="000443B5"/>
    <w:rsid w:val="00045885"/>
    <w:rsid w:val="00045D64"/>
    <w:rsid w:val="000466E5"/>
    <w:rsid w:val="00046751"/>
    <w:rsid w:val="000468EA"/>
    <w:rsid w:val="00046D60"/>
    <w:rsid w:val="00047021"/>
    <w:rsid w:val="00047858"/>
    <w:rsid w:val="00047B78"/>
    <w:rsid w:val="0005070F"/>
    <w:rsid w:val="000516FE"/>
    <w:rsid w:val="0005207B"/>
    <w:rsid w:val="0005262D"/>
    <w:rsid w:val="00052D21"/>
    <w:rsid w:val="000533F6"/>
    <w:rsid w:val="00053CBB"/>
    <w:rsid w:val="0005680E"/>
    <w:rsid w:val="000574B5"/>
    <w:rsid w:val="0006081B"/>
    <w:rsid w:val="00060AAD"/>
    <w:rsid w:val="0006119D"/>
    <w:rsid w:val="000613C2"/>
    <w:rsid w:val="000615E0"/>
    <w:rsid w:val="00061C5F"/>
    <w:rsid w:val="0006313A"/>
    <w:rsid w:val="0006347D"/>
    <w:rsid w:val="000639E1"/>
    <w:rsid w:val="00063C68"/>
    <w:rsid w:val="00064203"/>
    <w:rsid w:val="000653DF"/>
    <w:rsid w:val="000655D9"/>
    <w:rsid w:val="00065A86"/>
    <w:rsid w:val="00065D5D"/>
    <w:rsid w:val="00065F01"/>
    <w:rsid w:val="000670FF"/>
    <w:rsid w:val="00070427"/>
    <w:rsid w:val="00070FC5"/>
    <w:rsid w:val="00072755"/>
    <w:rsid w:val="000727F1"/>
    <w:rsid w:val="00073055"/>
    <w:rsid w:val="0007315A"/>
    <w:rsid w:val="00073795"/>
    <w:rsid w:val="00074B6C"/>
    <w:rsid w:val="00075463"/>
    <w:rsid w:val="0007556A"/>
    <w:rsid w:val="00075810"/>
    <w:rsid w:val="000762F0"/>
    <w:rsid w:val="00076C84"/>
    <w:rsid w:val="00076CEA"/>
    <w:rsid w:val="000771CE"/>
    <w:rsid w:val="00077776"/>
    <w:rsid w:val="00077902"/>
    <w:rsid w:val="00077922"/>
    <w:rsid w:val="00080185"/>
    <w:rsid w:val="000817BB"/>
    <w:rsid w:val="00081911"/>
    <w:rsid w:val="00081AB7"/>
    <w:rsid w:val="00081D98"/>
    <w:rsid w:val="00081FA9"/>
    <w:rsid w:val="000823F5"/>
    <w:rsid w:val="00082E7C"/>
    <w:rsid w:val="000832A9"/>
    <w:rsid w:val="0008332C"/>
    <w:rsid w:val="000838E6"/>
    <w:rsid w:val="000846AF"/>
    <w:rsid w:val="00084825"/>
    <w:rsid w:val="00084A3F"/>
    <w:rsid w:val="0008625F"/>
    <w:rsid w:val="00086D4E"/>
    <w:rsid w:val="0008707D"/>
    <w:rsid w:val="0008788F"/>
    <w:rsid w:val="00087CBE"/>
    <w:rsid w:val="00090609"/>
    <w:rsid w:val="000911C9"/>
    <w:rsid w:val="000915FA"/>
    <w:rsid w:val="00091EC3"/>
    <w:rsid w:val="000925E2"/>
    <w:rsid w:val="00092FA6"/>
    <w:rsid w:val="0009309D"/>
    <w:rsid w:val="0009360A"/>
    <w:rsid w:val="00094763"/>
    <w:rsid w:val="00094FE3"/>
    <w:rsid w:val="00095B77"/>
    <w:rsid w:val="000963F7"/>
    <w:rsid w:val="00096448"/>
    <w:rsid w:val="00096A6E"/>
    <w:rsid w:val="00096D0D"/>
    <w:rsid w:val="00097046"/>
    <w:rsid w:val="0009787A"/>
    <w:rsid w:val="000979C9"/>
    <w:rsid w:val="00097ABD"/>
    <w:rsid w:val="00097B8B"/>
    <w:rsid w:val="000A02EE"/>
    <w:rsid w:val="000A04D7"/>
    <w:rsid w:val="000A0D58"/>
    <w:rsid w:val="000A0EED"/>
    <w:rsid w:val="000A12A7"/>
    <w:rsid w:val="000A133F"/>
    <w:rsid w:val="000A1952"/>
    <w:rsid w:val="000A1F24"/>
    <w:rsid w:val="000A2B29"/>
    <w:rsid w:val="000A2E29"/>
    <w:rsid w:val="000A3325"/>
    <w:rsid w:val="000A3487"/>
    <w:rsid w:val="000A39C9"/>
    <w:rsid w:val="000A3A37"/>
    <w:rsid w:val="000A62C4"/>
    <w:rsid w:val="000A66CE"/>
    <w:rsid w:val="000A6C8B"/>
    <w:rsid w:val="000A6FA4"/>
    <w:rsid w:val="000A7BC8"/>
    <w:rsid w:val="000B0042"/>
    <w:rsid w:val="000B00FD"/>
    <w:rsid w:val="000B1499"/>
    <w:rsid w:val="000B1F3B"/>
    <w:rsid w:val="000B2598"/>
    <w:rsid w:val="000B2C45"/>
    <w:rsid w:val="000B31D3"/>
    <w:rsid w:val="000B38B2"/>
    <w:rsid w:val="000B38B4"/>
    <w:rsid w:val="000B3BA7"/>
    <w:rsid w:val="000B43C1"/>
    <w:rsid w:val="000B5A25"/>
    <w:rsid w:val="000B69B8"/>
    <w:rsid w:val="000B6E85"/>
    <w:rsid w:val="000B7483"/>
    <w:rsid w:val="000B7AA8"/>
    <w:rsid w:val="000C01B4"/>
    <w:rsid w:val="000C03AA"/>
    <w:rsid w:val="000C115A"/>
    <w:rsid w:val="000C177A"/>
    <w:rsid w:val="000C1828"/>
    <w:rsid w:val="000C201D"/>
    <w:rsid w:val="000C2087"/>
    <w:rsid w:val="000C2657"/>
    <w:rsid w:val="000C26D3"/>
    <w:rsid w:val="000C3501"/>
    <w:rsid w:val="000C3A43"/>
    <w:rsid w:val="000C3C4E"/>
    <w:rsid w:val="000C46D8"/>
    <w:rsid w:val="000C46EE"/>
    <w:rsid w:val="000C4CD7"/>
    <w:rsid w:val="000C53F3"/>
    <w:rsid w:val="000C5F63"/>
    <w:rsid w:val="000C6ED6"/>
    <w:rsid w:val="000C73F5"/>
    <w:rsid w:val="000C782E"/>
    <w:rsid w:val="000C7EA2"/>
    <w:rsid w:val="000D05FA"/>
    <w:rsid w:val="000D1A97"/>
    <w:rsid w:val="000D28D1"/>
    <w:rsid w:val="000D2F97"/>
    <w:rsid w:val="000D36FB"/>
    <w:rsid w:val="000D39B3"/>
    <w:rsid w:val="000D3A22"/>
    <w:rsid w:val="000D4386"/>
    <w:rsid w:val="000D46BA"/>
    <w:rsid w:val="000D4724"/>
    <w:rsid w:val="000D49A6"/>
    <w:rsid w:val="000D4BFA"/>
    <w:rsid w:val="000D4D2D"/>
    <w:rsid w:val="000D504E"/>
    <w:rsid w:val="000D525A"/>
    <w:rsid w:val="000D563E"/>
    <w:rsid w:val="000D5D86"/>
    <w:rsid w:val="000D600E"/>
    <w:rsid w:val="000D68BD"/>
    <w:rsid w:val="000D6A87"/>
    <w:rsid w:val="000D6DCF"/>
    <w:rsid w:val="000D6F16"/>
    <w:rsid w:val="000D74D3"/>
    <w:rsid w:val="000D7B4C"/>
    <w:rsid w:val="000D7F1F"/>
    <w:rsid w:val="000E100D"/>
    <w:rsid w:val="000E181B"/>
    <w:rsid w:val="000E2019"/>
    <w:rsid w:val="000E244B"/>
    <w:rsid w:val="000E264B"/>
    <w:rsid w:val="000E32C4"/>
    <w:rsid w:val="000E384C"/>
    <w:rsid w:val="000E4BCB"/>
    <w:rsid w:val="000E5520"/>
    <w:rsid w:val="000E61B1"/>
    <w:rsid w:val="000E6370"/>
    <w:rsid w:val="000E64A8"/>
    <w:rsid w:val="000E6B45"/>
    <w:rsid w:val="000E7547"/>
    <w:rsid w:val="000F1B64"/>
    <w:rsid w:val="000F2922"/>
    <w:rsid w:val="000F2EB9"/>
    <w:rsid w:val="000F37E4"/>
    <w:rsid w:val="000F426B"/>
    <w:rsid w:val="000F4514"/>
    <w:rsid w:val="000F550F"/>
    <w:rsid w:val="000F5D10"/>
    <w:rsid w:val="000F66CF"/>
    <w:rsid w:val="000F68AF"/>
    <w:rsid w:val="000F6DAF"/>
    <w:rsid w:val="000F7647"/>
    <w:rsid w:val="000F7ACF"/>
    <w:rsid w:val="000F7F19"/>
    <w:rsid w:val="00104A3C"/>
    <w:rsid w:val="00104BF4"/>
    <w:rsid w:val="001058DB"/>
    <w:rsid w:val="00105DEA"/>
    <w:rsid w:val="00106D4E"/>
    <w:rsid w:val="001077E7"/>
    <w:rsid w:val="0011028D"/>
    <w:rsid w:val="001105B9"/>
    <w:rsid w:val="00110690"/>
    <w:rsid w:val="00111887"/>
    <w:rsid w:val="00111951"/>
    <w:rsid w:val="00111AB9"/>
    <w:rsid w:val="00111C2D"/>
    <w:rsid w:val="001125F6"/>
    <w:rsid w:val="001129BB"/>
    <w:rsid w:val="00112E86"/>
    <w:rsid w:val="00113FE3"/>
    <w:rsid w:val="00114197"/>
    <w:rsid w:val="00114B1E"/>
    <w:rsid w:val="00114D8A"/>
    <w:rsid w:val="00115699"/>
    <w:rsid w:val="001167B7"/>
    <w:rsid w:val="00116A43"/>
    <w:rsid w:val="00117180"/>
    <w:rsid w:val="0011753E"/>
    <w:rsid w:val="00120AD6"/>
    <w:rsid w:val="00120FBA"/>
    <w:rsid w:val="00121319"/>
    <w:rsid w:val="001215FC"/>
    <w:rsid w:val="001219AE"/>
    <w:rsid w:val="00121A12"/>
    <w:rsid w:val="00121BC5"/>
    <w:rsid w:val="00122492"/>
    <w:rsid w:val="0012370F"/>
    <w:rsid w:val="00123DBA"/>
    <w:rsid w:val="00123E43"/>
    <w:rsid w:val="00125C69"/>
    <w:rsid w:val="00125DBD"/>
    <w:rsid w:val="001269F9"/>
    <w:rsid w:val="00127235"/>
    <w:rsid w:val="00130528"/>
    <w:rsid w:val="00131013"/>
    <w:rsid w:val="001310F7"/>
    <w:rsid w:val="0013179E"/>
    <w:rsid w:val="00131BA0"/>
    <w:rsid w:val="001321AF"/>
    <w:rsid w:val="001324BD"/>
    <w:rsid w:val="001336DC"/>
    <w:rsid w:val="00133DD3"/>
    <w:rsid w:val="00134416"/>
    <w:rsid w:val="00134439"/>
    <w:rsid w:val="00134A78"/>
    <w:rsid w:val="00134C98"/>
    <w:rsid w:val="001361FD"/>
    <w:rsid w:val="00137298"/>
    <w:rsid w:val="0013732B"/>
    <w:rsid w:val="00137624"/>
    <w:rsid w:val="00137660"/>
    <w:rsid w:val="00137768"/>
    <w:rsid w:val="001377C2"/>
    <w:rsid w:val="00137BD9"/>
    <w:rsid w:val="00140273"/>
    <w:rsid w:val="00141C93"/>
    <w:rsid w:val="0014218B"/>
    <w:rsid w:val="00142912"/>
    <w:rsid w:val="00142965"/>
    <w:rsid w:val="001431B8"/>
    <w:rsid w:val="00143A83"/>
    <w:rsid w:val="00143D28"/>
    <w:rsid w:val="0014423A"/>
    <w:rsid w:val="001442B2"/>
    <w:rsid w:val="001449BD"/>
    <w:rsid w:val="00145084"/>
    <w:rsid w:val="00145B5E"/>
    <w:rsid w:val="00145D0B"/>
    <w:rsid w:val="001466A5"/>
    <w:rsid w:val="001466FB"/>
    <w:rsid w:val="001476B0"/>
    <w:rsid w:val="00151444"/>
    <w:rsid w:val="001515FC"/>
    <w:rsid w:val="00152C7C"/>
    <w:rsid w:val="00153224"/>
    <w:rsid w:val="00153CBB"/>
    <w:rsid w:val="00154D17"/>
    <w:rsid w:val="00154F92"/>
    <w:rsid w:val="001550A7"/>
    <w:rsid w:val="0015685F"/>
    <w:rsid w:val="00157007"/>
    <w:rsid w:val="0015791D"/>
    <w:rsid w:val="00157AA1"/>
    <w:rsid w:val="001601AF"/>
    <w:rsid w:val="0016068D"/>
    <w:rsid w:val="00160EA8"/>
    <w:rsid w:val="00162114"/>
    <w:rsid w:val="001628D0"/>
    <w:rsid w:val="00162A31"/>
    <w:rsid w:val="00162B87"/>
    <w:rsid w:val="00162C3C"/>
    <w:rsid w:val="00162D6A"/>
    <w:rsid w:val="00163435"/>
    <w:rsid w:val="0016506F"/>
    <w:rsid w:val="001650E5"/>
    <w:rsid w:val="001660B3"/>
    <w:rsid w:val="00170562"/>
    <w:rsid w:val="00170F05"/>
    <w:rsid w:val="00171834"/>
    <w:rsid w:val="00171C31"/>
    <w:rsid w:val="00172277"/>
    <w:rsid w:val="001740C2"/>
    <w:rsid w:val="001743D5"/>
    <w:rsid w:val="001747C2"/>
    <w:rsid w:val="00174836"/>
    <w:rsid w:val="00174BF4"/>
    <w:rsid w:val="00174E52"/>
    <w:rsid w:val="00174EAA"/>
    <w:rsid w:val="001760A8"/>
    <w:rsid w:val="00176472"/>
    <w:rsid w:val="001777F9"/>
    <w:rsid w:val="00177814"/>
    <w:rsid w:val="001779C9"/>
    <w:rsid w:val="00180709"/>
    <w:rsid w:val="001820F2"/>
    <w:rsid w:val="001821AB"/>
    <w:rsid w:val="00182251"/>
    <w:rsid w:val="001823E8"/>
    <w:rsid w:val="00182CDB"/>
    <w:rsid w:val="00183839"/>
    <w:rsid w:val="00183B51"/>
    <w:rsid w:val="0018405C"/>
    <w:rsid w:val="001840AD"/>
    <w:rsid w:val="001845E7"/>
    <w:rsid w:val="00185023"/>
    <w:rsid w:val="0018579A"/>
    <w:rsid w:val="00186119"/>
    <w:rsid w:val="00186581"/>
    <w:rsid w:val="001869C7"/>
    <w:rsid w:val="00186D76"/>
    <w:rsid w:val="0018728D"/>
    <w:rsid w:val="0018754D"/>
    <w:rsid w:val="00190D26"/>
    <w:rsid w:val="00190DA9"/>
    <w:rsid w:val="00191F94"/>
    <w:rsid w:val="001922FD"/>
    <w:rsid w:val="001926BD"/>
    <w:rsid w:val="0019346D"/>
    <w:rsid w:val="00193CFF"/>
    <w:rsid w:val="00194185"/>
    <w:rsid w:val="0019477D"/>
    <w:rsid w:val="00195160"/>
    <w:rsid w:val="0019700F"/>
    <w:rsid w:val="00197035"/>
    <w:rsid w:val="0019746E"/>
    <w:rsid w:val="001A0099"/>
    <w:rsid w:val="001A0345"/>
    <w:rsid w:val="001A10D9"/>
    <w:rsid w:val="001A130E"/>
    <w:rsid w:val="001A1B30"/>
    <w:rsid w:val="001A1E86"/>
    <w:rsid w:val="001A2006"/>
    <w:rsid w:val="001A28E6"/>
    <w:rsid w:val="001A3AB3"/>
    <w:rsid w:val="001A3DD6"/>
    <w:rsid w:val="001A7CB6"/>
    <w:rsid w:val="001B0F91"/>
    <w:rsid w:val="001B1CF2"/>
    <w:rsid w:val="001B24CA"/>
    <w:rsid w:val="001B2820"/>
    <w:rsid w:val="001B2D59"/>
    <w:rsid w:val="001B2DAC"/>
    <w:rsid w:val="001B30ED"/>
    <w:rsid w:val="001B37A6"/>
    <w:rsid w:val="001B4686"/>
    <w:rsid w:val="001B5036"/>
    <w:rsid w:val="001B5BCB"/>
    <w:rsid w:val="001B6098"/>
    <w:rsid w:val="001B77CD"/>
    <w:rsid w:val="001C12A4"/>
    <w:rsid w:val="001C1586"/>
    <w:rsid w:val="001C1766"/>
    <w:rsid w:val="001C3423"/>
    <w:rsid w:val="001C39F2"/>
    <w:rsid w:val="001C3DB3"/>
    <w:rsid w:val="001C5832"/>
    <w:rsid w:val="001C6164"/>
    <w:rsid w:val="001C6FE6"/>
    <w:rsid w:val="001C7902"/>
    <w:rsid w:val="001D0C95"/>
    <w:rsid w:val="001D0E1D"/>
    <w:rsid w:val="001D1530"/>
    <w:rsid w:val="001D19B2"/>
    <w:rsid w:val="001D2BDA"/>
    <w:rsid w:val="001D2D75"/>
    <w:rsid w:val="001D2DE1"/>
    <w:rsid w:val="001D39DF"/>
    <w:rsid w:val="001D3C63"/>
    <w:rsid w:val="001D46F6"/>
    <w:rsid w:val="001D5A27"/>
    <w:rsid w:val="001D60DA"/>
    <w:rsid w:val="001D635C"/>
    <w:rsid w:val="001E07D6"/>
    <w:rsid w:val="001E0A8A"/>
    <w:rsid w:val="001E16F3"/>
    <w:rsid w:val="001E18CC"/>
    <w:rsid w:val="001E19C3"/>
    <w:rsid w:val="001E1B16"/>
    <w:rsid w:val="001E1CBC"/>
    <w:rsid w:val="001E2B69"/>
    <w:rsid w:val="001E2C0C"/>
    <w:rsid w:val="001E3C4B"/>
    <w:rsid w:val="001E3FBF"/>
    <w:rsid w:val="001E4ABF"/>
    <w:rsid w:val="001E54E1"/>
    <w:rsid w:val="001E6722"/>
    <w:rsid w:val="001E69D9"/>
    <w:rsid w:val="001E6AAD"/>
    <w:rsid w:val="001E7855"/>
    <w:rsid w:val="001E787C"/>
    <w:rsid w:val="001E79E4"/>
    <w:rsid w:val="001F0038"/>
    <w:rsid w:val="001F0353"/>
    <w:rsid w:val="001F1991"/>
    <w:rsid w:val="001F1DF4"/>
    <w:rsid w:val="001F23B3"/>
    <w:rsid w:val="001F2A8E"/>
    <w:rsid w:val="001F2F75"/>
    <w:rsid w:val="001F30DD"/>
    <w:rsid w:val="001F38FE"/>
    <w:rsid w:val="001F41B7"/>
    <w:rsid w:val="001F4284"/>
    <w:rsid w:val="001F4534"/>
    <w:rsid w:val="001F4C4A"/>
    <w:rsid w:val="001F5777"/>
    <w:rsid w:val="001F5833"/>
    <w:rsid w:val="001F5BB3"/>
    <w:rsid w:val="001F5CCC"/>
    <w:rsid w:val="001F6594"/>
    <w:rsid w:val="001F668B"/>
    <w:rsid w:val="001F673A"/>
    <w:rsid w:val="001F7046"/>
    <w:rsid w:val="001F7602"/>
    <w:rsid w:val="002000D5"/>
    <w:rsid w:val="00200B2E"/>
    <w:rsid w:val="002012C4"/>
    <w:rsid w:val="0020161E"/>
    <w:rsid w:val="00202553"/>
    <w:rsid w:val="00202692"/>
    <w:rsid w:val="002035F5"/>
    <w:rsid w:val="00203D40"/>
    <w:rsid w:val="002041B7"/>
    <w:rsid w:val="00205313"/>
    <w:rsid w:val="00205530"/>
    <w:rsid w:val="0020571C"/>
    <w:rsid w:val="002058E0"/>
    <w:rsid w:val="00205B1B"/>
    <w:rsid w:val="00205F48"/>
    <w:rsid w:val="00205F9E"/>
    <w:rsid w:val="0020685F"/>
    <w:rsid w:val="00206863"/>
    <w:rsid w:val="00206867"/>
    <w:rsid w:val="00206EE4"/>
    <w:rsid w:val="00206FD2"/>
    <w:rsid w:val="0020737F"/>
    <w:rsid w:val="00210D35"/>
    <w:rsid w:val="00210FA2"/>
    <w:rsid w:val="00211279"/>
    <w:rsid w:val="00211EE3"/>
    <w:rsid w:val="00212DA1"/>
    <w:rsid w:val="002130B8"/>
    <w:rsid w:val="00214209"/>
    <w:rsid w:val="00214436"/>
    <w:rsid w:val="002148E3"/>
    <w:rsid w:val="00214B03"/>
    <w:rsid w:val="0021531F"/>
    <w:rsid w:val="00216879"/>
    <w:rsid w:val="00216930"/>
    <w:rsid w:val="0022000C"/>
    <w:rsid w:val="00220279"/>
    <w:rsid w:val="00220C36"/>
    <w:rsid w:val="00222624"/>
    <w:rsid w:val="00222F70"/>
    <w:rsid w:val="002250AF"/>
    <w:rsid w:val="00226E28"/>
    <w:rsid w:val="002271EA"/>
    <w:rsid w:val="002276EA"/>
    <w:rsid w:val="00230027"/>
    <w:rsid w:val="00230CDA"/>
    <w:rsid w:val="00230DCC"/>
    <w:rsid w:val="00231276"/>
    <w:rsid w:val="00231EA0"/>
    <w:rsid w:val="002327EC"/>
    <w:rsid w:val="00233701"/>
    <w:rsid w:val="00233BBA"/>
    <w:rsid w:val="002350F7"/>
    <w:rsid w:val="002359CB"/>
    <w:rsid w:val="00236025"/>
    <w:rsid w:val="002360F9"/>
    <w:rsid w:val="002362E3"/>
    <w:rsid w:val="002371CF"/>
    <w:rsid w:val="00241B43"/>
    <w:rsid w:val="002425D0"/>
    <w:rsid w:val="0024271A"/>
    <w:rsid w:val="00242C82"/>
    <w:rsid w:val="00243146"/>
    <w:rsid w:val="002443A6"/>
    <w:rsid w:val="00244756"/>
    <w:rsid w:val="002457EA"/>
    <w:rsid w:val="002458B3"/>
    <w:rsid w:val="002460B5"/>
    <w:rsid w:val="00247186"/>
    <w:rsid w:val="00247838"/>
    <w:rsid w:val="00247B1A"/>
    <w:rsid w:val="00247D45"/>
    <w:rsid w:val="00250196"/>
    <w:rsid w:val="0025082A"/>
    <w:rsid w:val="002512A7"/>
    <w:rsid w:val="0025130B"/>
    <w:rsid w:val="0025266D"/>
    <w:rsid w:val="002528E1"/>
    <w:rsid w:val="00252F4E"/>
    <w:rsid w:val="00253499"/>
    <w:rsid w:val="00254D2F"/>
    <w:rsid w:val="002560F7"/>
    <w:rsid w:val="00257583"/>
    <w:rsid w:val="00257688"/>
    <w:rsid w:val="00257D05"/>
    <w:rsid w:val="00257D90"/>
    <w:rsid w:val="002603FA"/>
    <w:rsid w:val="00261698"/>
    <w:rsid w:val="00262A6D"/>
    <w:rsid w:val="002636AA"/>
    <w:rsid w:val="00263D2C"/>
    <w:rsid w:val="002646D2"/>
    <w:rsid w:val="002649DB"/>
    <w:rsid w:val="00265C9D"/>
    <w:rsid w:val="00265DA6"/>
    <w:rsid w:val="002662CC"/>
    <w:rsid w:val="002674ED"/>
    <w:rsid w:val="00267734"/>
    <w:rsid w:val="00267BDC"/>
    <w:rsid w:val="0027011F"/>
    <w:rsid w:val="00270E17"/>
    <w:rsid w:val="00270E46"/>
    <w:rsid w:val="002714D2"/>
    <w:rsid w:val="002722D6"/>
    <w:rsid w:val="00272C0D"/>
    <w:rsid w:val="002735CA"/>
    <w:rsid w:val="00273860"/>
    <w:rsid w:val="00273D88"/>
    <w:rsid w:val="0027493E"/>
    <w:rsid w:val="002759D7"/>
    <w:rsid w:val="00275BDF"/>
    <w:rsid w:val="002762A6"/>
    <w:rsid w:val="00276502"/>
    <w:rsid w:val="002767CA"/>
    <w:rsid w:val="002770BB"/>
    <w:rsid w:val="00277165"/>
    <w:rsid w:val="00277F34"/>
    <w:rsid w:val="00277FAB"/>
    <w:rsid w:val="002800DE"/>
    <w:rsid w:val="0028033B"/>
    <w:rsid w:val="00280C5F"/>
    <w:rsid w:val="00280FD0"/>
    <w:rsid w:val="002822F4"/>
    <w:rsid w:val="00282362"/>
    <w:rsid w:val="002830DB"/>
    <w:rsid w:val="0028507F"/>
    <w:rsid w:val="002858C9"/>
    <w:rsid w:val="00285AAA"/>
    <w:rsid w:val="0028671D"/>
    <w:rsid w:val="00286DB9"/>
    <w:rsid w:val="00286DC2"/>
    <w:rsid w:val="00290AEF"/>
    <w:rsid w:val="00290CA1"/>
    <w:rsid w:val="00291ED5"/>
    <w:rsid w:val="002925DE"/>
    <w:rsid w:val="00292DE5"/>
    <w:rsid w:val="0029301A"/>
    <w:rsid w:val="00293687"/>
    <w:rsid w:val="0029454A"/>
    <w:rsid w:val="002950CE"/>
    <w:rsid w:val="0029527C"/>
    <w:rsid w:val="00295988"/>
    <w:rsid w:val="00295CD6"/>
    <w:rsid w:val="002965C2"/>
    <w:rsid w:val="002967E7"/>
    <w:rsid w:val="00297229"/>
    <w:rsid w:val="002973D8"/>
    <w:rsid w:val="00297695"/>
    <w:rsid w:val="00297945"/>
    <w:rsid w:val="002A03FA"/>
    <w:rsid w:val="002A1B42"/>
    <w:rsid w:val="002A1C5E"/>
    <w:rsid w:val="002A215E"/>
    <w:rsid w:val="002A2888"/>
    <w:rsid w:val="002A2D44"/>
    <w:rsid w:val="002A337E"/>
    <w:rsid w:val="002A3D7B"/>
    <w:rsid w:val="002A4F7A"/>
    <w:rsid w:val="002A5562"/>
    <w:rsid w:val="002A5BE7"/>
    <w:rsid w:val="002A5C50"/>
    <w:rsid w:val="002A6B8B"/>
    <w:rsid w:val="002A7CFD"/>
    <w:rsid w:val="002B12C3"/>
    <w:rsid w:val="002B1CFB"/>
    <w:rsid w:val="002B1EB8"/>
    <w:rsid w:val="002B246E"/>
    <w:rsid w:val="002B2A63"/>
    <w:rsid w:val="002B2C46"/>
    <w:rsid w:val="002B31D2"/>
    <w:rsid w:val="002B31D9"/>
    <w:rsid w:val="002B3323"/>
    <w:rsid w:val="002B3B9D"/>
    <w:rsid w:val="002B4298"/>
    <w:rsid w:val="002B6ADC"/>
    <w:rsid w:val="002B6AEA"/>
    <w:rsid w:val="002B6C9A"/>
    <w:rsid w:val="002B756A"/>
    <w:rsid w:val="002B78A8"/>
    <w:rsid w:val="002C15F0"/>
    <w:rsid w:val="002C1BC5"/>
    <w:rsid w:val="002C1BEF"/>
    <w:rsid w:val="002C1D91"/>
    <w:rsid w:val="002C251E"/>
    <w:rsid w:val="002C3754"/>
    <w:rsid w:val="002C387F"/>
    <w:rsid w:val="002C4648"/>
    <w:rsid w:val="002C5225"/>
    <w:rsid w:val="002C555A"/>
    <w:rsid w:val="002C5CD1"/>
    <w:rsid w:val="002C5FAC"/>
    <w:rsid w:val="002C6386"/>
    <w:rsid w:val="002C65FA"/>
    <w:rsid w:val="002C6AF9"/>
    <w:rsid w:val="002C6B8C"/>
    <w:rsid w:val="002C6F26"/>
    <w:rsid w:val="002C7869"/>
    <w:rsid w:val="002D05E1"/>
    <w:rsid w:val="002D2ED2"/>
    <w:rsid w:val="002D33EE"/>
    <w:rsid w:val="002D3C49"/>
    <w:rsid w:val="002D410E"/>
    <w:rsid w:val="002D5233"/>
    <w:rsid w:val="002D5A2A"/>
    <w:rsid w:val="002D66C2"/>
    <w:rsid w:val="002D7450"/>
    <w:rsid w:val="002E0899"/>
    <w:rsid w:val="002E0F9D"/>
    <w:rsid w:val="002E1B89"/>
    <w:rsid w:val="002E20D5"/>
    <w:rsid w:val="002E29A1"/>
    <w:rsid w:val="002E4A40"/>
    <w:rsid w:val="002E6127"/>
    <w:rsid w:val="002E66CF"/>
    <w:rsid w:val="002E6E59"/>
    <w:rsid w:val="002E76DF"/>
    <w:rsid w:val="002F03D9"/>
    <w:rsid w:val="002F0CCD"/>
    <w:rsid w:val="002F0F99"/>
    <w:rsid w:val="002F14E0"/>
    <w:rsid w:val="002F2006"/>
    <w:rsid w:val="002F2738"/>
    <w:rsid w:val="002F2A4D"/>
    <w:rsid w:val="002F3565"/>
    <w:rsid w:val="002F441F"/>
    <w:rsid w:val="002F4686"/>
    <w:rsid w:val="002F55A4"/>
    <w:rsid w:val="002F6285"/>
    <w:rsid w:val="002F6357"/>
    <w:rsid w:val="002F645A"/>
    <w:rsid w:val="002F6D47"/>
    <w:rsid w:val="002F6D96"/>
    <w:rsid w:val="002F7134"/>
    <w:rsid w:val="002F71EE"/>
    <w:rsid w:val="002F7274"/>
    <w:rsid w:val="002F729E"/>
    <w:rsid w:val="002F7422"/>
    <w:rsid w:val="00300BC3"/>
    <w:rsid w:val="00301387"/>
    <w:rsid w:val="00301394"/>
    <w:rsid w:val="003019DD"/>
    <w:rsid w:val="00302080"/>
    <w:rsid w:val="00302133"/>
    <w:rsid w:val="00302257"/>
    <w:rsid w:val="00302440"/>
    <w:rsid w:val="00302A81"/>
    <w:rsid w:val="0030340C"/>
    <w:rsid w:val="00303B2D"/>
    <w:rsid w:val="00303C6F"/>
    <w:rsid w:val="00304CF2"/>
    <w:rsid w:val="00306A23"/>
    <w:rsid w:val="00307512"/>
    <w:rsid w:val="003101C2"/>
    <w:rsid w:val="003108AF"/>
    <w:rsid w:val="00310BA1"/>
    <w:rsid w:val="00311C6A"/>
    <w:rsid w:val="003123E4"/>
    <w:rsid w:val="003126C9"/>
    <w:rsid w:val="00312E43"/>
    <w:rsid w:val="00313E1F"/>
    <w:rsid w:val="003143BD"/>
    <w:rsid w:val="00315BED"/>
    <w:rsid w:val="00315F05"/>
    <w:rsid w:val="00316615"/>
    <w:rsid w:val="0031692A"/>
    <w:rsid w:val="00317793"/>
    <w:rsid w:val="00317866"/>
    <w:rsid w:val="00321084"/>
    <w:rsid w:val="00321E0E"/>
    <w:rsid w:val="0032207D"/>
    <w:rsid w:val="00322ED0"/>
    <w:rsid w:val="0032377E"/>
    <w:rsid w:val="00323E3F"/>
    <w:rsid w:val="00324333"/>
    <w:rsid w:val="00325825"/>
    <w:rsid w:val="0033001E"/>
    <w:rsid w:val="003313FF"/>
    <w:rsid w:val="003323EE"/>
    <w:rsid w:val="00332E7F"/>
    <w:rsid w:val="00335CCF"/>
    <w:rsid w:val="00336119"/>
    <w:rsid w:val="00336371"/>
    <w:rsid w:val="003365CF"/>
    <w:rsid w:val="00336F8D"/>
    <w:rsid w:val="003371EE"/>
    <w:rsid w:val="00337C93"/>
    <w:rsid w:val="00340BD5"/>
    <w:rsid w:val="00341764"/>
    <w:rsid w:val="003420A5"/>
    <w:rsid w:val="00342566"/>
    <w:rsid w:val="00344CAB"/>
    <w:rsid w:val="003450BE"/>
    <w:rsid w:val="00345BB7"/>
    <w:rsid w:val="003460C9"/>
    <w:rsid w:val="0034644B"/>
    <w:rsid w:val="00346F13"/>
    <w:rsid w:val="00347367"/>
    <w:rsid w:val="00347514"/>
    <w:rsid w:val="00347637"/>
    <w:rsid w:val="00347903"/>
    <w:rsid w:val="00347AC2"/>
    <w:rsid w:val="00347E0F"/>
    <w:rsid w:val="00350BC4"/>
    <w:rsid w:val="003510EE"/>
    <w:rsid w:val="00352910"/>
    <w:rsid w:val="00353175"/>
    <w:rsid w:val="00353962"/>
    <w:rsid w:val="00353E60"/>
    <w:rsid w:val="0035483B"/>
    <w:rsid w:val="00355AF0"/>
    <w:rsid w:val="003565D6"/>
    <w:rsid w:val="0035669F"/>
    <w:rsid w:val="0035690B"/>
    <w:rsid w:val="00356C27"/>
    <w:rsid w:val="0035791F"/>
    <w:rsid w:val="00357B61"/>
    <w:rsid w:val="00360358"/>
    <w:rsid w:val="00360643"/>
    <w:rsid w:val="003609D2"/>
    <w:rsid w:val="0036252F"/>
    <w:rsid w:val="00363370"/>
    <w:rsid w:val="00363847"/>
    <w:rsid w:val="00363F14"/>
    <w:rsid w:val="003647C0"/>
    <w:rsid w:val="00364E03"/>
    <w:rsid w:val="003655C7"/>
    <w:rsid w:val="00365758"/>
    <w:rsid w:val="00365844"/>
    <w:rsid w:val="00365885"/>
    <w:rsid w:val="00365891"/>
    <w:rsid w:val="00365A1E"/>
    <w:rsid w:val="00366C48"/>
    <w:rsid w:val="00370027"/>
    <w:rsid w:val="00370527"/>
    <w:rsid w:val="00371047"/>
    <w:rsid w:val="003715AF"/>
    <w:rsid w:val="003717FD"/>
    <w:rsid w:val="00372C45"/>
    <w:rsid w:val="0037305D"/>
    <w:rsid w:val="003733A9"/>
    <w:rsid w:val="0037371B"/>
    <w:rsid w:val="00373991"/>
    <w:rsid w:val="00374324"/>
    <w:rsid w:val="00375AA7"/>
    <w:rsid w:val="00375F8A"/>
    <w:rsid w:val="00376B4B"/>
    <w:rsid w:val="00376F67"/>
    <w:rsid w:val="003770C8"/>
    <w:rsid w:val="003807AC"/>
    <w:rsid w:val="00380B8C"/>
    <w:rsid w:val="00380ECF"/>
    <w:rsid w:val="003815EF"/>
    <w:rsid w:val="0038164C"/>
    <w:rsid w:val="003819BA"/>
    <w:rsid w:val="00381DFD"/>
    <w:rsid w:val="00382053"/>
    <w:rsid w:val="0038240A"/>
    <w:rsid w:val="0038296F"/>
    <w:rsid w:val="003829E4"/>
    <w:rsid w:val="00382F2A"/>
    <w:rsid w:val="0038315A"/>
    <w:rsid w:val="003838B5"/>
    <w:rsid w:val="003843F1"/>
    <w:rsid w:val="0038556E"/>
    <w:rsid w:val="00386E8B"/>
    <w:rsid w:val="00387E58"/>
    <w:rsid w:val="00390FA3"/>
    <w:rsid w:val="00391545"/>
    <w:rsid w:val="00391E80"/>
    <w:rsid w:val="00392276"/>
    <w:rsid w:val="0039347E"/>
    <w:rsid w:val="0039358E"/>
    <w:rsid w:val="00393C5A"/>
    <w:rsid w:val="003940DB"/>
    <w:rsid w:val="00395314"/>
    <w:rsid w:val="0039553D"/>
    <w:rsid w:val="00396841"/>
    <w:rsid w:val="00396ABE"/>
    <w:rsid w:val="003976A3"/>
    <w:rsid w:val="00397802"/>
    <w:rsid w:val="003A08FB"/>
    <w:rsid w:val="003A0D0A"/>
    <w:rsid w:val="003A11E7"/>
    <w:rsid w:val="003A14CA"/>
    <w:rsid w:val="003A1A7B"/>
    <w:rsid w:val="003A1A8F"/>
    <w:rsid w:val="003A2240"/>
    <w:rsid w:val="003A3B6D"/>
    <w:rsid w:val="003A3CF3"/>
    <w:rsid w:val="003A3E56"/>
    <w:rsid w:val="003A407C"/>
    <w:rsid w:val="003A40D0"/>
    <w:rsid w:val="003A4273"/>
    <w:rsid w:val="003A4712"/>
    <w:rsid w:val="003A6721"/>
    <w:rsid w:val="003A6AB1"/>
    <w:rsid w:val="003A71CD"/>
    <w:rsid w:val="003A759F"/>
    <w:rsid w:val="003B2C42"/>
    <w:rsid w:val="003B3662"/>
    <w:rsid w:val="003B39B6"/>
    <w:rsid w:val="003B5AAD"/>
    <w:rsid w:val="003B5B96"/>
    <w:rsid w:val="003B5EE0"/>
    <w:rsid w:val="003B63F1"/>
    <w:rsid w:val="003B774C"/>
    <w:rsid w:val="003B7CA7"/>
    <w:rsid w:val="003C00DF"/>
    <w:rsid w:val="003C0396"/>
    <w:rsid w:val="003C0420"/>
    <w:rsid w:val="003C0A79"/>
    <w:rsid w:val="003C0A87"/>
    <w:rsid w:val="003C16BD"/>
    <w:rsid w:val="003C1DBE"/>
    <w:rsid w:val="003C2CB2"/>
    <w:rsid w:val="003C2EE2"/>
    <w:rsid w:val="003C38BC"/>
    <w:rsid w:val="003C3FF4"/>
    <w:rsid w:val="003C4799"/>
    <w:rsid w:val="003C4BA9"/>
    <w:rsid w:val="003C559C"/>
    <w:rsid w:val="003C5C83"/>
    <w:rsid w:val="003C6197"/>
    <w:rsid w:val="003C69A7"/>
    <w:rsid w:val="003D02CC"/>
    <w:rsid w:val="003D04F3"/>
    <w:rsid w:val="003D0509"/>
    <w:rsid w:val="003D0A3F"/>
    <w:rsid w:val="003D15E8"/>
    <w:rsid w:val="003D16D0"/>
    <w:rsid w:val="003D1A95"/>
    <w:rsid w:val="003D1DE1"/>
    <w:rsid w:val="003D2778"/>
    <w:rsid w:val="003D27DA"/>
    <w:rsid w:val="003D2890"/>
    <w:rsid w:val="003D298E"/>
    <w:rsid w:val="003D3798"/>
    <w:rsid w:val="003D440F"/>
    <w:rsid w:val="003D5F36"/>
    <w:rsid w:val="003D6285"/>
    <w:rsid w:val="003D6C05"/>
    <w:rsid w:val="003E0A32"/>
    <w:rsid w:val="003E0F91"/>
    <w:rsid w:val="003E0FEB"/>
    <w:rsid w:val="003E1027"/>
    <w:rsid w:val="003E1895"/>
    <w:rsid w:val="003E222D"/>
    <w:rsid w:val="003E236E"/>
    <w:rsid w:val="003E24CA"/>
    <w:rsid w:val="003E32A6"/>
    <w:rsid w:val="003E3CFE"/>
    <w:rsid w:val="003E48F5"/>
    <w:rsid w:val="003E4C78"/>
    <w:rsid w:val="003E5B67"/>
    <w:rsid w:val="003E658F"/>
    <w:rsid w:val="003E6664"/>
    <w:rsid w:val="003E74C1"/>
    <w:rsid w:val="003E7851"/>
    <w:rsid w:val="003F0983"/>
    <w:rsid w:val="003F1139"/>
    <w:rsid w:val="003F2737"/>
    <w:rsid w:val="003F2DE3"/>
    <w:rsid w:val="003F3213"/>
    <w:rsid w:val="003F3960"/>
    <w:rsid w:val="003F3CCF"/>
    <w:rsid w:val="003F4057"/>
    <w:rsid w:val="003F40CF"/>
    <w:rsid w:val="003F44B1"/>
    <w:rsid w:val="003F44C6"/>
    <w:rsid w:val="003F488E"/>
    <w:rsid w:val="003F4D81"/>
    <w:rsid w:val="003F4EA0"/>
    <w:rsid w:val="003F5232"/>
    <w:rsid w:val="003F5406"/>
    <w:rsid w:val="003F61F7"/>
    <w:rsid w:val="003F663A"/>
    <w:rsid w:val="003F679D"/>
    <w:rsid w:val="003F6A28"/>
    <w:rsid w:val="003F6BF2"/>
    <w:rsid w:val="003F6E78"/>
    <w:rsid w:val="003F6ECB"/>
    <w:rsid w:val="003F7118"/>
    <w:rsid w:val="003F71F3"/>
    <w:rsid w:val="00400637"/>
    <w:rsid w:val="004015A1"/>
    <w:rsid w:val="00402B1A"/>
    <w:rsid w:val="00404CA3"/>
    <w:rsid w:val="0040521B"/>
    <w:rsid w:val="00405240"/>
    <w:rsid w:val="00405325"/>
    <w:rsid w:val="004053C5"/>
    <w:rsid w:val="004059EF"/>
    <w:rsid w:val="004077D8"/>
    <w:rsid w:val="00407A18"/>
    <w:rsid w:val="00410111"/>
    <w:rsid w:val="0041061D"/>
    <w:rsid w:val="00410A34"/>
    <w:rsid w:val="004111FE"/>
    <w:rsid w:val="00411EA7"/>
    <w:rsid w:val="004126BC"/>
    <w:rsid w:val="00412B3E"/>
    <w:rsid w:val="00413473"/>
    <w:rsid w:val="00413951"/>
    <w:rsid w:val="00415127"/>
    <w:rsid w:val="00415150"/>
    <w:rsid w:val="004154C0"/>
    <w:rsid w:val="00415A9D"/>
    <w:rsid w:val="00415AA9"/>
    <w:rsid w:val="004168CE"/>
    <w:rsid w:val="00417D8A"/>
    <w:rsid w:val="00422775"/>
    <w:rsid w:val="004229A7"/>
    <w:rsid w:val="0042304C"/>
    <w:rsid w:val="004239AD"/>
    <w:rsid w:val="00424763"/>
    <w:rsid w:val="0042565C"/>
    <w:rsid w:val="00425D2D"/>
    <w:rsid w:val="00425E80"/>
    <w:rsid w:val="00426194"/>
    <w:rsid w:val="004262AD"/>
    <w:rsid w:val="00426434"/>
    <w:rsid w:val="0042738B"/>
    <w:rsid w:val="00427BC2"/>
    <w:rsid w:val="00430200"/>
    <w:rsid w:val="0043152F"/>
    <w:rsid w:val="00432324"/>
    <w:rsid w:val="0043233D"/>
    <w:rsid w:val="00433072"/>
    <w:rsid w:val="0043365F"/>
    <w:rsid w:val="004344FF"/>
    <w:rsid w:val="004351A0"/>
    <w:rsid w:val="0043538A"/>
    <w:rsid w:val="0043538E"/>
    <w:rsid w:val="00435C31"/>
    <w:rsid w:val="0043628A"/>
    <w:rsid w:val="0043665F"/>
    <w:rsid w:val="004373E0"/>
    <w:rsid w:val="00437401"/>
    <w:rsid w:val="00437719"/>
    <w:rsid w:val="00437BE4"/>
    <w:rsid w:val="00440100"/>
    <w:rsid w:val="00440903"/>
    <w:rsid w:val="004409AD"/>
    <w:rsid w:val="00441369"/>
    <w:rsid w:val="00442569"/>
    <w:rsid w:val="00442B88"/>
    <w:rsid w:val="00442F5C"/>
    <w:rsid w:val="00443728"/>
    <w:rsid w:val="00443F9A"/>
    <w:rsid w:val="00444E4F"/>
    <w:rsid w:val="00444F99"/>
    <w:rsid w:val="0044582E"/>
    <w:rsid w:val="00445AA9"/>
    <w:rsid w:val="00445AAE"/>
    <w:rsid w:val="00445BF4"/>
    <w:rsid w:val="00445D4C"/>
    <w:rsid w:val="00446010"/>
    <w:rsid w:val="00446A9A"/>
    <w:rsid w:val="00446C98"/>
    <w:rsid w:val="00450D4C"/>
    <w:rsid w:val="00451F6D"/>
    <w:rsid w:val="004521B6"/>
    <w:rsid w:val="00452D6B"/>
    <w:rsid w:val="0045511C"/>
    <w:rsid w:val="0045543E"/>
    <w:rsid w:val="004554B1"/>
    <w:rsid w:val="0045576A"/>
    <w:rsid w:val="0045600E"/>
    <w:rsid w:val="004562A7"/>
    <w:rsid w:val="00456705"/>
    <w:rsid w:val="004604B2"/>
    <w:rsid w:val="00460908"/>
    <w:rsid w:val="00460B33"/>
    <w:rsid w:val="0046106E"/>
    <w:rsid w:val="00461193"/>
    <w:rsid w:val="00461362"/>
    <w:rsid w:val="00461588"/>
    <w:rsid w:val="00461849"/>
    <w:rsid w:val="00461BA2"/>
    <w:rsid w:val="00461BC3"/>
    <w:rsid w:val="00461C63"/>
    <w:rsid w:val="004626F4"/>
    <w:rsid w:val="0046299A"/>
    <w:rsid w:val="0046305A"/>
    <w:rsid w:val="004635EA"/>
    <w:rsid w:val="00463695"/>
    <w:rsid w:val="00463A37"/>
    <w:rsid w:val="0046409D"/>
    <w:rsid w:val="0046471C"/>
    <w:rsid w:val="00464A9D"/>
    <w:rsid w:val="00464E97"/>
    <w:rsid w:val="0046576C"/>
    <w:rsid w:val="004660D9"/>
    <w:rsid w:val="00466409"/>
    <w:rsid w:val="0046682E"/>
    <w:rsid w:val="004669AE"/>
    <w:rsid w:val="0046765A"/>
    <w:rsid w:val="00467ED9"/>
    <w:rsid w:val="004703E1"/>
    <w:rsid w:val="004706CB"/>
    <w:rsid w:val="00470768"/>
    <w:rsid w:val="004708AA"/>
    <w:rsid w:val="00471323"/>
    <w:rsid w:val="00471909"/>
    <w:rsid w:val="00472197"/>
    <w:rsid w:val="004722B5"/>
    <w:rsid w:val="00472398"/>
    <w:rsid w:val="00472417"/>
    <w:rsid w:val="0047248E"/>
    <w:rsid w:val="00472A53"/>
    <w:rsid w:val="004732A5"/>
    <w:rsid w:val="004733FF"/>
    <w:rsid w:val="004741D8"/>
    <w:rsid w:val="004745A3"/>
    <w:rsid w:val="00474A2A"/>
    <w:rsid w:val="00474BB7"/>
    <w:rsid w:val="004762CA"/>
    <w:rsid w:val="004772D1"/>
    <w:rsid w:val="00477466"/>
    <w:rsid w:val="00477D9D"/>
    <w:rsid w:val="00480509"/>
    <w:rsid w:val="00480722"/>
    <w:rsid w:val="004809BA"/>
    <w:rsid w:val="00480AF4"/>
    <w:rsid w:val="0048160E"/>
    <w:rsid w:val="00481664"/>
    <w:rsid w:val="004833CE"/>
    <w:rsid w:val="00483C40"/>
    <w:rsid w:val="0048412E"/>
    <w:rsid w:val="00484D77"/>
    <w:rsid w:val="00484EC1"/>
    <w:rsid w:val="00486FE7"/>
    <w:rsid w:val="0048710D"/>
    <w:rsid w:val="004876F6"/>
    <w:rsid w:val="004877DD"/>
    <w:rsid w:val="0049071A"/>
    <w:rsid w:val="00491093"/>
    <w:rsid w:val="00491F05"/>
    <w:rsid w:val="00492AF7"/>
    <w:rsid w:val="00492E5C"/>
    <w:rsid w:val="004938AB"/>
    <w:rsid w:val="0049468B"/>
    <w:rsid w:val="00494854"/>
    <w:rsid w:val="0049485A"/>
    <w:rsid w:val="0049547B"/>
    <w:rsid w:val="0049573D"/>
    <w:rsid w:val="00495897"/>
    <w:rsid w:val="00495BB9"/>
    <w:rsid w:val="00497270"/>
    <w:rsid w:val="004A0336"/>
    <w:rsid w:val="004A03AF"/>
    <w:rsid w:val="004A03CB"/>
    <w:rsid w:val="004A113D"/>
    <w:rsid w:val="004A22C2"/>
    <w:rsid w:val="004A46E6"/>
    <w:rsid w:val="004A4F91"/>
    <w:rsid w:val="004A5FB6"/>
    <w:rsid w:val="004A66A6"/>
    <w:rsid w:val="004A7350"/>
    <w:rsid w:val="004A7560"/>
    <w:rsid w:val="004A7562"/>
    <w:rsid w:val="004B0574"/>
    <w:rsid w:val="004B1BEE"/>
    <w:rsid w:val="004B1D59"/>
    <w:rsid w:val="004B28E4"/>
    <w:rsid w:val="004B2FBF"/>
    <w:rsid w:val="004B4603"/>
    <w:rsid w:val="004B4D6B"/>
    <w:rsid w:val="004B5055"/>
    <w:rsid w:val="004B612B"/>
    <w:rsid w:val="004B7133"/>
    <w:rsid w:val="004C1727"/>
    <w:rsid w:val="004C19C9"/>
    <w:rsid w:val="004C24D0"/>
    <w:rsid w:val="004C2F42"/>
    <w:rsid w:val="004C30C5"/>
    <w:rsid w:val="004C333C"/>
    <w:rsid w:val="004C3877"/>
    <w:rsid w:val="004C38B1"/>
    <w:rsid w:val="004C3A39"/>
    <w:rsid w:val="004C3AC0"/>
    <w:rsid w:val="004C4E7B"/>
    <w:rsid w:val="004C522D"/>
    <w:rsid w:val="004C5597"/>
    <w:rsid w:val="004C6A1C"/>
    <w:rsid w:val="004C6E22"/>
    <w:rsid w:val="004C746C"/>
    <w:rsid w:val="004C75C7"/>
    <w:rsid w:val="004C76A7"/>
    <w:rsid w:val="004C78C7"/>
    <w:rsid w:val="004D1679"/>
    <w:rsid w:val="004D1A17"/>
    <w:rsid w:val="004D1E4B"/>
    <w:rsid w:val="004D21D5"/>
    <w:rsid w:val="004D22D3"/>
    <w:rsid w:val="004D2562"/>
    <w:rsid w:val="004D275B"/>
    <w:rsid w:val="004D2EB6"/>
    <w:rsid w:val="004D3302"/>
    <w:rsid w:val="004D3CBF"/>
    <w:rsid w:val="004D3CDA"/>
    <w:rsid w:val="004D3E75"/>
    <w:rsid w:val="004D49AC"/>
    <w:rsid w:val="004D4DEF"/>
    <w:rsid w:val="004D5134"/>
    <w:rsid w:val="004D5196"/>
    <w:rsid w:val="004D529E"/>
    <w:rsid w:val="004D5330"/>
    <w:rsid w:val="004D55AE"/>
    <w:rsid w:val="004D55FB"/>
    <w:rsid w:val="004D5A8B"/>
    <w:rsid w:val="004D5AC1"/>
    <w:rsid w:val="004D5FA0"/>
    <w:rsid w:val="004D6D54"/>
    <w:rsid w:val="004D6DD6"/>
    <w:rsid w:val="004E0152"/>
    <w:rsid w:val="004E0A57"/>
    <w:rsid w:val="004E0B69"/>
    <w:rsid w:val="004E1446"/>
    <w:rsid w:val="004E1681"/>
    <w:rsid w:val="004E16F4"/>
    <w:rsid w:val="004E25D5"/>
    <w:rsid w:val="004E2693"/>
    <w:rsid w:val="004E344A"/>
    <w:rsid w:val="004E3A71"/>
    <w:rsid w:val="004E3AA2"/>
    <w:rsid w:val="004E4184"/>
    <w:rsid w:val="004E5683"/>
    <w:rsid w:val="004E59A9"/>
    <w:rsid w:val="004E6501"/>
    <w:rsid w:val="004E65BC"/>
    <w:rsid w:val="004E6D5A"/>
    <w:rsid w:val="004E6DAB"/>
    <w:rsid w:val="004E7729"/>
    <w:rsid w:val="004E7E22"/>
    <w:rsid w:val="004F1A1E"/>
    <w:rsid w:val="004F2393"/>
    <w:rsid w:val="004F2903"/>
    <w:rsid w:val="004F2C68"/>
    <w:rsid w:val="004F2E21"/>
    <w:rsid w:val="004F2E59"/>
    <w:rsid w:val="004F329F"/>
    <w:rsid w:val="004F400E"/>
    <w:rsid w:val="004F45A3"/>
    <w:rsid w:val="004F4903"/>
    <w:rsid w:val="004F4982"/>
    <w:rsid w:val="004F49FE"/>
    <w:rsid w:val="004F4EF0"/>
    <w:rsid w:val="004F5835"/>
    <w:rsid w:val="004F5B96"/>
    <w:rsid w:val="004F630D"/>
    <w:rsid w:val="004F6E05"/>
    <w:rsid w:val="004F75ED"/>
    <w:rsid w:val="004F7FBA"/>
    <w:rsid w:val="00500285"/>
    <w:rsid w:val="005019F1"/>
    <w:rsid w:val="00501CA0"/>
    <w:rsid w:val="00502191"/>
    <w:rsid w:val="00502970"/>
    <w:rsid w:val="0050399D"/>
    <w:rsid w:val="00503EA6"/>
    <w:rsid w:val="00504E33"/>
    <w:rsid w:val="0050580C"/>
    <w:rsid w:val="00505A11"/>
    <w:rsid w:val="00505DD4"/>
    <w:rsid w:val="0050603B"/>
    <w:rsid w:val="0050614A"/>
    <w:rsid w:val="00506C47"/>
    <w:rsid w:val="00506E40"/>
    <w:rsid w:val="0050781D"/>
    <w:rsid w:val="00507F7E"/>
    <w:rsid w:val="00510A15"/>
    <w:rsid w:val="00510A1F"/>
    <w:rsid w:val="00510F14"/>
    <w:rsid w:val="00510F2A"/>
    <w:rsid w:val="005115DC"/>
    <w:rsid w:val="005117E5"/>
    <w:rsid w:val="00512094"/>
    <w:rsid w:val="005126D2"/>
    <w:rsid w:val="00512776"/>
    <w:rsid w:val="00512BDB"/>
    <w:rsid w:val="0051306C"/>
    <w:rsid w:val="005132DD"/>
    <w:rsid w:val="00513922"/>
    <w:rsid w:val="00513B04"/>
    <w:rsid w:val="005143DC"/>
    <w:rsid w:val="00515B57"/>
    <w:rsid w:val="0051627D"/>
    <w:rsid w:val="005162DA"/>
    <w:rsid w:val="00517770"/>
    <w:rsid w:val="00517F99"/>
    <w:rsid w:val="0052091B"/>
    <w:rsid w:val="00521181"/>
    <w:rsid w:val="00521861"/>
    <w:rsid w:val="0052199A"/>
    <w:rsid w:val="005226ED"/>
    <w:rsid w:val="0052295E"/>
    <w:rsid w:val="00522A60"/>
    <w:rsid w:val="0052367C"/>
    <w:rsid w:val="00523A0F"/>
    <w:rsid w:val="00524470"/>
    <w:rsid w:val="0052473F"/>
    <w:rsid w:val="005247CB"/>
    <w:rsid w:val="00524E1F"/>
    <w:rsid w:val="00524EA1"/>
    <w:rsid w:val="00525B2C"/>
    <w:rsid w:val="00525B45"/>
    <w:rsid w:val="00526215"/>
    <w:rsid w:val="005262BB"/>
    <w:rsid w:val="00526B78"/>
    <w:rsid w:val="00526C2C"/>
    <w:rsid w:val="00527805"/>
    <w:rsid w:val="00530712"/>
    <w:rsid w:val="00530CE2"/>
    <w:rsid w:val="00531A4D"/>
    <w:rsid w:val="00531D87"/>
    <w:rsid w:val="00532408"/>
    <w:rsid w:val="00533359"/>
    <w:rsid w:val="005333C8"/>
    <w:rsid w:val="00533A01"/>
    <w:rsid w:val="0053494C"/>
    <w:rsid w:val="005358AE"/>
    <w:rsid w:val="00535AAC"/>
    <w:rsid w:val="00535AFD"/>
    <w:rsid w:val="00535DBF"/>
    <w:rsid w:val="005367A7"/>
    <w:rsid w:val="005371F5"/>
    <w:rsid w:val="005377A7"/>
    <w:rsid w:val="00537FBB"/>
    <w:rsid w:val="00540FD1"/>
    <w:rsid w:val="00541B06"/>
    <w:rsid w:val="00543F80"/>
    <w:rsid w:val="0054519E"/>
    <w:rsid w:val="00547193"/>
    <w:rsid w:val="00547264"/>
    <w:rsid w:val="005475F5"/>
    <w:rsid w:val="00547F53"/>
    <w:rsid w:val="00550105"/>
    <w:rsid w:val="00550507"/>
    <w:rsid w:val="00550748"/>
    <w:rsid w:val="00550911"/>
    <w:rsid w:val="00551262"/>
    <w:rsid w:val="00551631"/>
    <w:rsid w:val="0055182C"/>
    <w:rsid w:val="00552DE8"/>
    <w:rsid w:val="00552ED3"/>
    <w:rsid w:val="00552F50"/>
    <w:rsid w:val="005540A4"/>
    <w:rsid w:val="00554B3A"/>
    <w:rsid w:val="00554D7A"/>
    <w:rsid w:val="00555AC6"/>
    <w:rsid w:val="00555CD8"/>
    <w:rsid w:val="0055600F"/>
    <w:rsid w:val="00556D4C"/>
    <w:rsid w:val="00557C52"/>
    <w:rsid w:val="0056044D"/>
    <w:rsid w:val="00560E89"/>
    <w:rsid w:val="00561118"/>
    <w:rsid w:val="00561697"/>
    <w:rsid w:val="005616B9"/>
    <w:rsid w:val="00562FA1"/>
    <w:rsid w:val="0056329E"/>
    <w:rsid w:val="005634BC"/>
    <w:rsid w:val="00563D0F"/>
    <w:rsid w:val="005641B8"/>
    <w:rsid w:val="00566889"/>
    <w:rsid w:val="0056690C"/>
    <w:rsid w:val="00566F24"/>
    <w:rsid w:val="00567083"/>
    <w:rsid w:val="00567193"/>
    <w:rsid w:val="0057264D"/>
    <w:rsid w:val="00574515"/>
    <w:rsid w:val="005746D3"/>
    <w:rsid w:val="00574A29"/>
    <w:rsid w:val="00574FAD"/>
    <w:rsid w:val="00575A5C"/>
    <w:rsid w:val="00575FA3"/>
    <w:rsid w:val="005760C8"/>
    <w:rsid w:val="00576581"/>
    <w:rsid w:val="005769DD"/>
    <w:rsid w:val="00576FC3"/>
    <w:rsid w:val="00577018"/>
    <w:rsid w:val="005778D3"/>
    <w:rsid w:val="00577933"/>
    <w:rsid w:val="00580BE0"/>
    <w:rsid w:val="005819BF"/>
    <w:rsid w:val="00581CFE"/>
    <w:rsid w:val="005832EC"/>
    <w:rsid w:val="005835A6"/>
    <w:rsid w:val="00583B1B"/>
    <w:rsid w:val="00583C65"/>
    <w:rsid w:val="00583FBE"/>
    <w:rsid w:val="005841BE"/>
    <w:rsid w:val="005846C3"/>
    <w:rsid w:val="00584C9B"/>
    <w:rsid w:val="005853B9"/>
    <w:rsid w:val="0058596A"/>
    <w:rsid w:val="00585BA9"/>
    <w:rsid w:val="005868EE"/>
    <w:rsid w:val="00586C93"/>
    <w:rsid w:val="00586D8B"/>
    <w:rsid w:val="00587078"/>
    <w:rsid w:val="00587D27"/>
    <w:rsid w:val="005906D2"/>
    <w:rsid w:val="005915A5"/>
    <w:rsid w:val="0059208D"/>
    <w:rsid w:val="00592A0A"/>
    <w:rsid w:val="00593986"/>
    <w:rsid w:val="00594CA3"/>
    <w:rsid w:val="00594CAB"/>
    <w:rsid w:val="00595181"/>
    <w:rsid w:val="00595AE3"/>
    <w:rsid w:val="00595DF3"/>
    <w:rsid w:val="00597DC1"/>
    <w:rsid w:val="00597F9D"/>
    <w:rsid w:val="005A02F6"/>
    <w:rsid w:val="005A067D"/>
    <w:rsid w:val="005A0F16"/>
    <w:rsid w:val="005A1B7E"/>
    <w:rsid w:val="005A28FA"/>
    <w:rsid w:val="005A2DC7"/>
    <w:rsid w:val="005A3326"/>
    <w:rsid w:val="005A353B"/>
    <w:rsid w:val="005A42AE"/>
    <w:rsid w:val="005A454D"/>
    <w:rsid w:val="005A4615"/>
    <w:rsid w:val="005A48E6"/>
    <w:rsid w:val="005A501B"/>
    <w:rsid w:val="005A5193"/>
    <w:rsid w:val="005A52AA"/>
    <w:rsid w:val="005A53BB"/>
    <w:rsid w:val="005A580A"/>
    <w:rsid w:val="005A586D"/>
    <w:rsid w:val="005A5967"/>
    <w:rsid w:val="005A5FEA"/>
    <w:rsid w:val="005A677A"/>
    <w:rsid w:val="005A744A"/>
    <w:rsid w:val="005A74FA"/>
    <w:rsid w:val="005B02D8"/>
    <w:rsid w:val="005B0656"/>
    <w:rsid w:val="005B1095"/>
    <w:rsid w:val="005B1CB2"/>
    <w:rsid w:val="005B1EB2"/>
    <w:rsid w:val="005B2166"/>
    <w:rsid w:val="005B33B4"/>
    <w:rsid w:val="005B377D"/>
    <w:rsid w:val="005B3837"/>
    <w:rsid w:val="005B386C"/>
    <w:rsid w:val="005B3EC3"/>
    <w:rsid w:val="005B4343"/>
    <w:rsid w:val="005B4974"/>
    <w:rsid w:val="005B4D4C"/>
    <w:rsid w:val="005B5321"/>
    <w:rsid w:val="005B59EB"/>
    <w:rsid w:val="005B5F5E"/>
    <w:rsid w:val="005B6B20"/>
    <w:rsid w:val="005C00D5"/>
    <w:rsid w:val="005C1BCA"/>
    <w:rsid w:val="005C1D86"/>
    <w:rsid w:val="005C2464"/>
    <w:rsid w:val="005C2D82"/>
    <w:rsid w:val="005C4259"/>
    <w:rsid w:val="005C4A22"/>
    <w:rsid w:val="005C4A5D"/>
    <w:rsid w:val="005C5039"/>
    <w:rsid w:val="005C565B"/>
    <w:rsid w:val="005C5B56"/>
    <w:rsid w:val="005C5C1E"/>
    <w:rsid w:val="005C5E9A"/>
    <w:rsid w:val="005C6B53"/>
    <w:rsid w:val="005C73B1"/>
    <w:rsid w:val="005D067B"/>
    <w:rsid w:val="005D0FA3"/>
    <w:rsid w:val="005D1A5E"/>
    <w:rsid w:val="005D1AC8"/>
    <w:rsid w:val="005D1EDD"/>
    <w:rsid w:val="005D211F"/>
    <w:rsid w:val="005D30E7"/>
    <w:rsid w:val="005D31B9"/>
    <w:rsid w:val="005D40E1"/>
    <w:rsid w:val="005D4671"/>
    <w:rsid w:val="005D46ED"/>
    <w:rsid w:val="005D4BA8"/>
    <w:rsid w:val="005D587D"/>
    <w:rsid w:val="005D6023"/>
    <w:rsid w:val="005D604C"/>
    <w:rsid w:val="005D615C"/>
    <w:rsid w:val="005D616D"/>
    <w:rsid w:val="005D666B"/>
    <w:rsid w:val="005D7E59"/>
    <w:rsid w:val="005E0726"/>
    <w:rsid w:val="005E119D"/>
    <w:rsid w:val="005E1261"/>
    <w:rsid w:val="005E1636"/>
    <w:rsid w:val="005E1D00"/>
    <w:rsid w:val="005E2334"/>
    <w:rsid w:val="005E2941"/>
    <w:rsid w:val="005E3190"/>
    <w:rsid w:val="005E3ADA"/>
    <w:rsid w:val="005E46FF"/>
    <w:rsid w:val="005E4E88"/>
    <w:rsid w:val="005E5A5A"/>
    <w:rsid w:val="005E6D8F"/>
    <w:rsid w:val="005E7328"/>
    <w:rsid w:val="005E7743"/>
    <w:rsid w:val="005E7E30"/>
    <w:rsid w:val="005E7F5F"/>
    <w:rsid w:val="005F04C9"/>
    <w:rsid w:val="005F15B0"/>
    <w:rsid w:val="005F301E"/>
    <w:rsid w:val="005F3664"/>
    <w:rsid w:val="005F3681"/>
    <w:rsid w:val="005F386E"/>
    <w:rsid w:val="005F38DF"/>
    <w:rsid w:val="005F3D78"/>
    <w:rsid w:val="005F4F26"/>
    <w:rsid w:val="005F55C1"/>
    <w:rsid w:val="005F5E78"/>
    <w:rsid w:val="005F6338"/>
    <w:rsid w:val="005F6AD0"/>
    <w:rsid w:val="005F6D5B"/>
    <w:rsid w:val="005F7DD6"/>
    <w:rsid w:val="005F7FEC"/>
    <w:rsid w:val="005F7FF3"/>
    <w:rsid w:val="00600AC1"/>
    <w:rsid w:val="00602A50"/>
    <w:rsid w:val="00602C99"/>
    <w:rsid w:val="0060312D"/>
    <w:rsid w:val="006035B5"/>
    <w:rsid w:val="006038DA"/>
    <w:rsid w:val="00603BE8"/>
    <w:rsid w:val="00603EDA"/>
    <w:rsid w:val="0060426D"/>
    <w:rsid w:val="006050E6"/>
    <w:rsid w:val="0060511E"/>
    <w:rsid w:val="006055F7"/>
    <w:rsid w:val="00605E20"/>
    <w:rsid w:val="0060615F"/>
    <w:rsid w:val="00606211"/>
    <w:rsid w:val="00606780"/>
    <w:rsid w:val="00606BAB"/>
    <w:rsid w:val="00607295"/>
    <w:rsid w:val="0060747D"/>
    <w:rsid w:val="00607D0B"/>
    <w:rsid w:val="00610503"/>
    <w:rsid w:val="00610944"/>
    <w:rsid w:val="00610ABF"/>
    <w:rsid w:val="00611A45"/>
    <w:rsid w:val="00611E8D"/>
    <w:rsid w:val="006122B8"/>
    <w:rsid w:val="00612C35"/>
    <w:rsid w:val="00612ED5"/>
    <w:rsid w:val="00612F5A"/>
    <w:rsid w:val="00613393"/>
    <w:rsid w:val="00614D26"/>
    <w:rsid w:val="00615926"/>
    <w:rsid w:val="0061598E"/>
    <w:rsid w:val="006160B7"/>
    <w:rsid w:val="00620413"/>
    <w:rsid w:val="0062062D"/>
    <w:rsid w:val="00620D4B"/>
    <w:rsid w:val="00620EB4"/>
    <w:rsid w:val="00621142"/>
    <w:rsid w:val="00621696"/>
    <w:rsid w:val="00621878"/>
    <w:rsid w:val="006221C2"/>
    <w:rsid w:val="006225FE"/>
    <w:rsid w:val="0062346A"/>
    <w:rsid w:val="0062378D"/>
    <w:rsid w:val="006237B5"/>
    <w:rsid w:val="00623813"/>
    <w:rsid w:val="006238BB"/>
    <w:rsid w:val="00623C3F"/>
    <w:rsid w:val="00623C42"/>
    <w:rsid w:val="00625420"/>
    <w:rsid w:val="006272C2"/>
    <w:rsid w:val="00627319"/>
    <w:rsid w:val="006309C4"/>
    <w:rsid w:val="00630C36"/>
    <w:rsid w:val="0063156F"/>
    <w:rsid w:val="006317C0"/>
    <w:rsid w:val="00631F96"/>
    <w:rsid w:val="006329BD"/>
    <w:rsid w:val="00633F41"/>
    <w:rsid w:val="0063441F"/>
    <w:rsid w:val="00635619"/>
    <w:rsid w:val="0063580C"/>
    <w:rsid w:val="00637EA2"/>
    <w:rsid w:val="00642200"/>
    <w:rsid w:val="006432AC"/>
    <w:rsid w:val="006436D4"/>
    <w:rsid w:val="006445DD"/>
    <w:rsid w:val="00644935"/>
    <w:rsid w:val="00644CFA"/>
    <w:rsid w:val="00644F93"/>
    <w:rsid w:val="00645279"/>
    <w:rsid w:val="006452B3"/>
    <w:rsid w:val="00645312"/>
    <w:rsid w:val="00645618"/>
    <w:rsid w:val="0064580D"/>
    <w:rsid w:val="00645B7B"/>
    <w:rsid w:val="00646501"/>
    <w:rsid w:val="006465D7"/>
    <w:rsid w:val="006466AD"/>
    <w:rsid w:val="00647D75"/>
    <w:rsid w:val="00650789"/>
    <w:rsid w:val="00650A66"/>
    <w:rsid w:val="00650C35"/>
    <w:rsid w:val="00650DD7"/>
    <w:rsid w:val="00651397"/>
    <w:rsid w:val="00651861"/>
    <w:rsid w:val="006519F8"/>
    <w:rsid w:val="00652171"/>
    <w:rsid w:val="0065341A"/>
    <w:rsid w:val="00653479"/>
    <w:rsid w:val="00653B5B"/>
    <w:rsid w:val="00654865"/>
    <w:rsid w:val="00654B19"/>
    <w:rsid w:val="00655164"/>
    <w:rsid w:val="0065568B"/>
    <w:rsid w:val="006556F8"/>
    <w:rsid w:val="00656274"/>
    <w:rsid w:val="00656F4E"/>
    <w:rsid w:val="006574A7"/>
    <w:rsid w:val="00657648"/>
    <w:rsid w:val="006577D0"/>
    <w:rsid w:val="00657869"/>
    <w:rsid w:val="00660453"/>
    <w:rsid w:val="00660B16"/>
    <w:rsid w:val="006610DB"/>
    <w:rsid w:val="0066170E"/>
    <w:rsid w:val="00661B01"/>
    <w:rsid w:val="00663BC8"/>
    <w:rsid w:val="00664E2E"/>
    <w:rsid w:val="0066511C"/>
    <w:rsid w:val="00665681"/>
    <w:rsid w:val="00665ABD"/>
    <w:rsid w:val="00665E80"/>
    <w:rsid w:val="00666245"/>
    <w:rsid w:val="00667596"/>
    <w:rsid w:val="00670276"/>
    <w:rsid w:val="006707B8"/>
    <w:rsid w:val="00671587"/>
    <w:rsid w:val="00672009"/>
    <w:rsid w:val="00672661"/>
    <w:rsid w:val="00672674"/>
    <w:rsid w:val="00672905"/>
    <w:rsid w:val="00672EB2"/>
    <w:rsid w:val="006732FD"/>
    <w:rsid w:val="006735C8"/>
    <w:rsid w:val="00674220"/>
    <w:rsid w:val="0067477A"/>
    <w:rsid w:val="006754BF"/>
    <w:rsid w:val="0067716A"/>
    <w:rsid w:val="006775A2"/>
    <w:rsid w:val="00680031"/>
    <w:rsid w:val="00680078"/>
    <w:rsid w:val="0068195E"/>
    <w:rsid w:val="00682D85"/>
    <w:rsid w:val="0068341E"/>
    <w:rsid w:val="006838BD"/>
    <w:rsid w:val="00683D92"/>
    <w:rsid w:val="00683F41"/>
    <w:rsid w:val="006848CF"/>
    <w:rsid w:val="0068523D"/>
    <w:rsid w:val="00686307"/>
    <w:rsid w:val="006866C7"/>
    <w:rsid w:val="00686903"/>
    <w:rsid w:val="006871DF"/>
    <w:rsid w:val="00687565"/>
    <w:rsid w:val="00690CE6"/>
    <w:rsid w:val="00690D18"/>
    <w:rsid w:val="00690E50"/>
    <w:rsid w:val="00691821"/>
    <w:rsid w:val="00691DEF"/>
    <w:rsid w:val="00692064"/>
    <w:rsid w:val="0069223A"/>
    <w:rsid w:val="006922B5"/>
    <w:rsid w:val="00692C25"/>
    <w:rsid w:val="00693448"/>
    <w:rsid w:val="006936B3"/>
    <w:rsid w:val="00693724"/>
    <w:rsid w:val="006937FF"/>
    <w:rsid w:val="006939F3"/>
    <w:rsid w:val="006941AE"/>
    <w:rsid w:val="00694247"/>
    <w:rsid w:val="00695D9E"/>
    <w:rsid w:val="006973EA"/>
    <w:rsid w:val="006A0AC1"/>
    <w:rsid w:val="006A0AD0"/>
    <w:rsid w:val="006A0E7E"/>
    <w:rsid w:val="006A117F"/>
    <w:rsid w:val="006A129F"/>
    <w:rsid w:val="006A1333"/>
    <w:rsid w:val="006A1471"/>
    <w:rsid w:val="006A1737"/>
    <w:rsid w:val="006A225A"/>
    <w:rsid w:val="006A3313"/>
    <w:rsid w:val="006A39D2"/>
    <w:rsid w:val="006A47EA"/>
    <w:rsid w:val="006A5244"/>
    <w:rsid w:val="006A565A"/>
    <w:rsid w:val="006A589A"/>
    <w:rsid w:val="006A6854"/>
    <w:rsid w:val="006A7188"/>
    <w:rsid w:val="006B0BEA"/>
    <w:rsid w:val="006B11D8"/>
    <w:rsid w:val="006B14D3"/>
    <w:rsid w:val="006B21F5"/>
    <w:rsid w:val="006B23F9"/>
    <w:rsid w:val="006B27B1"/>
    <w:rsid w:val="006B2922"/>
    <w:rsid w:val="006B2E33"/>
    <w:rsid w:val="006B3B9D"/>
    <w:rsid w:val="006B42BC"/>
    <w:rsid w:val="006B482F"/>
    <w:rsid w:val="006B50C5"/>
    <w:rsid w:val="006B51E5"/>
    <w:rsid w:val="006B57ED"/>
    <w:rsid w:val="006B6F82"/>
    <w:rsid w:val="006B7F32"/>
    <w:rsid w:val="006C046D"/>
    <w:rsid w:val="006C0D32"/>
    <w:rsid w:val="006C11BD"/>
    <w:rsid w:val="006C1E35"/>
    <w:rsid w:val="006C21DE"/>
    <w:rsid w:val="006C224D"/>
    <w:rsid w:val="006C2388"/>
    <w:rsid w:val="006C23D4"/>
    <w:rsid w:val="006C2E36"/>
    <w:rsid w:val="006C36C7"/>
    <w:rsid w:val="006C3B8D"/>
    <w:rsid w:val="006C412F"/>
    <w:rsid w:val="006C4455"/>
    <w:rsid w:val="006C473B"/>
    <w:rsid w:val="006C4DA1"/>
    <w:rsid w:val="006C518E"/>
    <w:rsid w:val="006C6194"/>
    <w:rsid w:val="006C64FE"/>
    <w:rsid w:val="006C6F2F"/>
    <w:rsid w:val="006C738A"/>
    <w:rsid w:val="006C7596"/>
    <w:rsid w:val="006C7F1A"/>
    <w:rsid w:val="006D001C"/>
    <w:rsid w:val="006D0EF3"/>
    <w:rsid w:val="006D14CA"/>
    <w:rsid w:val="006D1633"/>
    <w:rsid w:val="006D2BB4"/>
    <w:rsid w:val="006D31D4"/>
    <w:rsid w:val="006D334E"/>
    <w:rsid w:val="006D335A"/>
    <w:rsid w:val="006D387E"/>
    <w:rsid w:val="006D4102"/>
    <w:rsid w:val="006D4414"/>
    <w:rsid w:val="006D68C9"/>
    <w:rsid w:val="006D71F7"/>
    <w:rsid w:val="006D7779"/>
    <w:rsid w:val="006D7780"/>
    <w:rsid w:val="006D7D08"/>
    <w:rsid w:val="006E0225"/>
    <w:rsid w:val="006E0466"/>
    <w:rsid w:val="006E09C3"/>
    <w:rsid w:val="006E0B64"/>
    <w:rsid w:val="006E0C36"/>
    <w:rsid w:val="006E1139"/>
    <w:rsid w:val="006E16FB"/>
    <w:rsid w:val="006E18F7"/>
    <w:rsid w:val="006E1990"/>
    <w:rsid w:val="006E3743"/>
    <w:rsid w:val="006E4DA5"/>
    <w:rsid w:val="006E4FEC"/>
    <w:rsid w:val="006E52B9"/>
    <w:rsid w:val="006E5966"/>
    <w:rsid w:val="006E6B5E"/>
    <w:rsid w:val="006E6E4C"/>
    <w:rsid w:val="006E7B88"/>
    <w:rsid w:val="006F1A8F"/>
    <w:rsid w:val="006F243C"/>
    <w:rsid w:val="006F270B"/>
    <w:rsid w:val="006F2E66"/>
    <w:rsid w:val="006F3CCB"/>
    <w:rsid w:val="006F3FAE"/>
    <w:rsid w:val="006F4145"/>
    <w:rsid w:val="006F4464"/>
    <w:rsid w:val="006F4ECA"/>
    <w:rsid w:val="006F4ED8"/>
    <w:rsid w:val="006F561A"/>
    <w:rsid w:val="006F6D2E"/>
    <w:rsid w:val="006F7371"/>
    <w:rsid w:val="007001A4"/>
    <w:rsid w:val="007012AF"/>
    <w:rsid w:val="00702166"/>
    <w:rsid w:val="007021C7"/>
    <w:rsid w:val="007026C5"/>
    <w:rsid w:val="00703580"/>
    <w:rsid w:val="0070365F"/>
    <w:rsid w:val="00703734"/>
    <w:rsid w:val="0070433E"/>
    <w:rsid w:val="007045D2"/>
    <w:rsid w:val="00704BDA"/>
    <w:rsid w:val="007050E1"/>
    <w:rsid w:val="00705B04"/>
    <w:rsid w:val="007060C5"/>
    <w:rsid w:val="007064D2"/>
    <w:rsid w:val="00706703"/>
    <w:rsid w:val="007067FF"/>
    <w:rsid w:val="00707664"/>
    <w:rsid w:val="007078A6"/>
    <w:rsid w:val="00710628"/>
    <w:rsid w:val="007106B2"/>
    <w:rsid w:val="00710873"/>
    <w:rsid w:val="00712830"/>
    <w:rsid w:val="00712D5F"/>
    <w:rsid w:val="00712E40"/>
    <w:rsid w:val="00712EB3"/>
    <w:rsid w:val="00712F95"/>
    <w:rsid w:val="0071524B"/>
    <w:rsid w:val="00716CB0"/>
    <w:rsid w:val="00716CC9"/>
    <w:rsid w:val="0071756F"/>
    <w:rsid w:val="00717798"/>
    <w:rsid w:val="007200B3"/>
    <w:rsid w:val="00720907"/>
    <w:rsid w:val="00720B62"/>
    <w:rsid w:val="007216A2"/>
    <w:rsid w:val="00721779"/>
    <w:rsid w:val="007218D9"/>
    <w:rsid w:val="0072218F"/>
    <w:rsid w:val="00722F06"/>
    <w:rsid w:val="00723A54"/>
    <w:rsid w:val="00723F64"/>
    <w:rsid w:val="007267B2"/>
    <w:rsid w:val="00726A5E"/>
    <w:rsid w:val="00726AAC"/>
    <w:rsid w:val="00726E09"/>
    <w:rsid w:val="00726F08"/>
    <w:rsid w:val="00727129"/>
    <w:rsid w:val="00730CF9"/>
    <w:rsid w:val="00730FAC"/>
    <w:rsid w:val="007312A4"/>
    <w:rsid w:val="007314BB"/>
    <w:rsid w:val="007314F7"/>
    <w:rsid w:val="0073150B"/>
    <w:rsid w:val="00731F75"/>
    <w:rsid w:val="00732051"/>
    <w:rsid w:val="00732298"/>
    <w:rsid w:val="007325DA"/>
    <w:rsid w:val="007328D6"/>
    <w:rsid w:val="00732D74"/>
    <w:rsid w:val="00734824"/>
    <w:rsid w:val="00734C37"/>
    <w:rsid w:val="00735501"/>
    <w:rsid w:val="00735C30"/>
    <w:rsid w:val="007365C4"/>
    <w:rsid w:val="00737908"/>
    <w:rsid w:val="00740012"/>
    <w:rsid w:val="007401C2"/>
    <w:rsid w:val="00740B02"/>
    <w:rsid w:val="00740CDD"/>
    <w:rsid w:val="00740E7B"/>
    <w:rsid w:val="007422CC"/>
    <w:rsid w:val="00742A50"/>
    <w:rsid w:val="0074369B"/>
    <w:rsid w:val="00743749"/>
    <w:rsid w:val="00743CDC"/>
    <w:rsid w:val="007440E3"/>
    <w:rsid w:val="007446CB"/>
    <w:rsid w:val="007469F6"/>
    <w:rsid w:val="00747562"/>
    <w:rsid w:val="0074786E"/>
    <w:rsid w:val="00750337"/>
    <w:rsid w:val="00750378"/>
    <w:rsid w:val="00750683"/>
    <w:rsid w:val="00750CAB"/>
    <w:rsid w:val="00751E4A"/>
    <w:rsid w:val="00752216"/>
    <w:rsid w:val="007545D2"/>
    <w:rsid w:val="00754630"/>
    <w:rsid w:val="00754D30"/>
    <w:rsid w:val="00754E77"/>
    <w:rsid w:val="00755387"/>
    <w:rsid w:val="00756383"/>
    <w:rsid w:val="00756610"/>
    <w:rsid w:val="007566B8"/>
    <w:rsid w:val="00756E1C"/>
    <w:rsid w:val="007579FF"/>
    <w:rsid w:val="0076019A"/>
    <w:rsid w:val="007607A9"/>
    <w:rsid w:val="007613BA"/>
    <w:rsid w:val="0076144E"/>
    <w:rsid w:val="00761658"/>
    <w:rsid w:val="00761D1A"/>
    <w:rsid w:val="007623C7"/>
    <w:rsid w:val="0076269B"/>
    <w:rsid w:val="00762B50"/>
    <w:rsid w:val="00762D07"/>
    <w:rsid w:val="0076311C"/>
    <w:rsid w:val="00763450"/>
    <w:rsid w:val="00763AC4"/>
    <w:rsid w:val="00763D1A"/>
    <w:rsid w:val="007640AD"/>
    <w:rsid w:val="00764B0A"/>
    <w:rsid w:val="00764FFD"/>
    <w:rsid w:val="00765458"/>
    <w:rsid w:val="00765DAB"/>
    <w:rsid w:val="00766FB4"/>
    <w:rsid w:val="00770924"/>
    <w:rsid w:val="007720C6"/>
    <w:rsid w:val="00772550"/>
    <w:rsid w:val="00773D87"/>
    <w:rsid w:val="00774C3E"/>
    <w:rsid w:val="007753C8"/>
    <w:rsid w:val="00775BEE"/>
    <w:rsid w:val="007763BF"/>
    <w:rsid w:val="007766E6"/>
    <w:rsid w:val="007771B3"/>
    <w:rsid w:val="00777FC3"/>
    <w:rsid w:val="00780A22"/>
    <w:rsid w:val="00780F08"/>
    <w:rsid w:val="00781842"/>
    <w:rsid w:val="00781AA5"/>
    <w:rsid w:val="007822BA"/>
    <w:rsid w:val="00782E8F"/>
    <w:rsid w:val="00783D6C"/>
    <w:rsid w:val="00784EB4"/>
    <w:rsid w:val="007857C5"/>
    <w:rsid w:val="00786B90"/>
    <w:rsid w:val="00786ED3"/>
    <w:rsid w:val="007871B2"/>
    <w:rsid w:val="007876A1"/>
    <w:rsid w:val="00787AEE"/>
    <w:rsid w:val="00790684"/>
    <w:rsid w:val="007907C9"/>
    <w:rsid w:val="007911B3"/>
    <w:rsid w:val="007911EF"/>
    <w:rsid w:val="00791BB6"/>
    <w:rsid w:val="00793608"/>
    <w:rsid w:val="007939EC"/>
    <w:rsid w:val="0079461B"/>
    <w:rsid w:val="00794B48"/>
    <w:rsid w:val="0079504B"/>
    <w:rsid w:val="00795254"/>
    <w:rsid w:val="00795A84"/>
    <w:rsid w:val="00797886"/>
    <w:rsid w:val="007A0FF7"/>
    <w:rsid w:val="007A1DA4"/>
    <w:rsid w:val="007A1EB2"/>
    <w:rsid w:val="007A2971"/>
    <w:rsid w:val="007A32D4"/>
    <w:rsid w:val="007A35A9"/>
    <w:rsid w:val="007A3A02"/>
    <w:rsid w:val="007A5C3B"/>
    <w:rsid w:val="007A5F03"/>
    <w:rsid w:val="007A61E0"/>
    <w:rsid w:val="007A67CE"/>
    <w:rsid w:val="007A6F52"/>
    <w:rsid w:val="007B00F3"/>
    <w:rsid w:val="007B043D"/>
    <w:rsid w:val="007B15C5"/>
    <w:rsid w:val="007B1D53"/>
    <w:rsid w:val="007B1DD9"/>
    <w:rsid w:val="007B244D"/>
    <w:rsid w:val="007B3515"/>
    <w:rsid w:val="007B36CC"/>
    <w:rsid w:val="007B3B65"/>
    <w:rsid w:val="007B3C01"/>
    <w:rsid w:val="007B469F"/>
    <w:rsid w:val="007B5479"/>
    <w:rsid w:val="007B5768"/>
    <w:rsid w:val="007B71A4"/>
    <w:rsid w:val="007C1A8D"/>
    <w:rsid w:val="007C1BBF"/>
    <w:rsid w:val="007C2B05"/>
    <w:rsid w:val="007C460C"/>
    <w:rsid w:val="007C4C57"/>
    <w:rsid w:val="007C5133"/>
    <w:rsid w:val="007C53EB"/>
    <w:rsid w:val="007C5C92"/>
    <w:rsid w:val="007C6D20"/>
    <w:rsid w:val="007C6FAC"/>
    <w:rsid w:val="007C7A8D"/>
    <w:rsid w:val="007D0263"/>
    <w:rsid w:val="007D0554"/>
    <w:rsid w:val="007D0599"/>
    <w:rsid w:val="007D0739"/>
    <w:rsid w:val="007D0D63"/>
    <w:rsid w:val="007D0FB8"/>
    <w:rsid w:val="007D1068"/>
    <w:rsid w:val="007D117B"/>
    <w:rsid w:val="007D1FA6"/>
    <w:rsid w:val="007D2256"/>
    <w:rsid w:val="007D299D"/>
    <w:rsid w:val="007D2B06"/>
    <w:rsid w:val="007D445C"/>
    <w:rsid w:val="007D4E97"/>
    <w:rsid w:val="007D56C6"/>
    <w:rsid w:val="007D56E8"/>
    <w:rsid w:val="007D646C"/>
    <w:rsid w:val="007D69CD"/>
    <w:rsid w:val="007D7719"/>
    <w:rsid w:val="007D776B"/>
    <w:rsid w:val="007E031E"/>
    <w:rsid w:val="007E0EC3"/>
    <w:rsid w:val="007E1700"/>
    <w:rsid w:val="007E1809"/>
    <w:rsid w:val="007E198D"/>
    <w:rsid w:val="007E294F"/>
    <w:rsid w:val="007E2BDB"/>
    <w:rsid w:val="007E31CF"/>
    <w:rsid w:val="007E40EB"/>
    <w:rsid w:val="007E4195"/>
    <w:rsid w:val="007E4B64"/>
    <w:rsid w:val="007E5C49"/>
    <w:rsid w:val="007E6090"/>
    <w:rsid w:val="007E6AC1"/>
    <w:rsid w:val="007E6BC0"/>
    <w:rsid w:val="007F0332"/>
    <w:rsid w:val="007F043A"/>
    <w:rsid w:val="007F0559"/>
    <w:rsid w:val="007F1705"/>
    <w:rsid w:val="007F1B84"/>
    <w:rsid w:val="007F267E"/>
    <w:rsid w:val="007F320B"/>
    <w:rsid w:val="007F3622"/>
    <w:rsid w:val="007F3B84"/>
    <w:rsid w:val="007F3E76"/>
    <w:rsid w:val="007F4316"/>
    <w:rsid w:val="007F45E3"/>
    <w:rsid w:val="007F4FC2"/>
    <w:rsid w:val="007F56E0"/>
    <w:rsid w:val="007F601E"/>
    <w:rsid w:val="007F613D"/>
    <w:rsid w:val="007F6434"/>
    <w:rsid w:val="007F66BD"/>
    <w:rsid w:val="007F7923"/>
    <w:rsid w:val="00800296"/>
    <w:rsid w:val="00800E51"/>
    <w:rsid w:val="00801509"/>
    <w:rsid w:val="008017B7"/>
    <w:rsid w:val="00802227"/>
    <w:rsid w:val="008034D4"/>
    <w:rsid w:val="008038AF"/>
    <w:rsid w:val="00805654"/>
    <w:rsid w:val="008056DB"/>
    <w:rsid w:val="00806AB4"/>
    <w:rsid w:val="0080710B"/>
    <w:rsid w:val="00807730"/>
    <w:rsid w:val="00807BB9"/>
    <w:rsid w:val="00810E35"/>
    <w:rsid w:val="00811A10"/>
    <w:rsid w:val="00812608"/>
    <w:rsid w:val="00812690"/>
    <w:rsid w:val="00812F6D"/>
    <w:rsid w:val="00813462"/>
    <w:rsid w:val="0081376F"/>
    <w:rsid w:val="00813D6A"/>
    <w:rsid w:val="00814209"/>
    <w:rsid w:val="0081435C"/>
    <w:rsid w:val="00814DD8"/>
    <w:rsid w:val="00815244"/>
    <w:rsid w:val="0081569B"/>
    <w:rsid w:val="008165CD"/>
    <w:rsid w:val="008166C5"/>
    <w:rsid w:val="00816732"/>
    <w:rsid w:val="008168E6"/>
    <w:rsid w:val="00817C78"/>
    <w:rsid w:val="008201D9"/>
    <w:rsid w:val="008205E9"/>
    <w:rsid w:val="00820B42"/>
    <w:rsid w:val="008214BF"/>
    <w:rsid w:val="0082199D"/>
    <w:rsid w:val="00822224"/>
    <w:rsid w:val="0082264D"/>
    <w:rsid w:val="00822D19"/>
    <w:rsid w:val="00824005"/>
    <w:rsid w:val="008241C9"/>
    <w:rsid w:val="0082465F"/>
    <w:rsid w:val="008246E7"/>
    <w:rsid w:val="00824AA7"/>
    <w:rsid w:val="00824B64"/>
    <w:rsid w:val="00825DB7"/>
    <w:rsid w:val="008260E5"/>
    <w:rsid w:val="00826B3C"/>
    <w:rsid w:val="00826C56"/>
    <w:rsid w:val="00826D9E"/>
    <w:rsid w:val="00827A91"/>
    <w:rsid w:val="008308A9"/>
    <w:rsid w:val="00831A30"/>
    <w:rsid w:val="00832074"/>
    <w:rsid w:val="00832386"/>
    <w:rsid w:val="0083291E"/>
    <w:rsid w:val="00833483"/>
    <w:rsid w:val="00833C30"/>
    <w:rsid w:val="0083411D"/>
    <w:rsid w:val="0083453B"/>
    <w:rsid w:val="008347C1"/>
    <w:rsid w:val="00834B25"/>
    <w:rsid w:val="00835207"/>
    <w:rsid w:val="0083535D"/>
    <w:rsid w:val="00835DC7"/>
    <w:rsid w:val="0083696F"/>
    <w:rsid w:val="00837976"/>
    <w:rsid w:val="00837DF8"/>
    <w:rsid w:val="00837EED"/>
    <w:rsid w:val="00837F01"/>
    <w:rsid w:val="00837F6F"/>
    <w:rsid w:val="00841D90"/>
    <w:rsid w:val="00843D1B"/>
    <w:rsid w:val="008449B5"/>
    <w:rsid w:val="00844E48"/>
    <w:rsid w:val="0084535B"/>
    <w:rsid w:val="008455CD"/>
    <w:rsid w:val="00845B6E"/>
    <w:rsid w:val="00845C60"/>
    <w:rsid w:val="008462CB"/>
    <w:rsid w:val="00846EEB"/>
    <w:rsid w:val="008471E8"/>
    <w:rsid w:val="00847B7A"/>
    <w:rsid w:val="00847E2F"/>
    <w:rsid w:val="008501C5"/>
    <w:rsid w:val="008503CB"/>
    <w:rsid w:val="00850947"/>
    <w:rsid w:val="00850B5D"/>
    <w:rsid w:val="00850E55"/>
    <w:rsid w:val="00852C00"/>
    <w:rsid w:val="00852CBC"/>
    <w:rsid w:val="00853106"/>
    <w:rsid w:val="00854215"/>
    <w:rsid w:val="0085433D"/>
    <w:rsid w:val="0085535A"/>
    <w:rsid w:val="00855890"/>
    <w:rsid w:val="00856ACB"/>
    <w:rsid w:val="00856B0C"/>
    <w:rsid w:val="0085717C"/>
    <w:rsid w:val="00857867"/>
    <w:rsid w:val="00862286"/>
    <w:rsid w:val="00862AFF"/>
    <w:rsid w:val="008637B1"/>
    <w:rsid w:val="008642DB"/>
    <w:rsid w:val="00864CBF"/>
    <w:rsid w:val="00864E17"/>
    <w:rsid w:val="008658A3"/>
    <w:rsid w:val="00865A89"/>
    <w:rsid w:val="00865D8C"/>
    <w:rsid w:val="008661B2"/>
    <w:rsid w:val="00870782"/>
    <w:rsid w:val="0087163C"/>
    <w:rsid w:val="00871A50"/>
    <w:rsid w:val="00871B1C"/>
    <w:rsid w:val="00872238"/>
    <w:rsid w:val="008725BC"/>
    <w:rsid w:val="008743BC"/>
    <w:rsid w:val="00875BA9"/>
    <w:rsid w:val="00876E1B"/>
    <w:rsid w:val="00877515"/>
    <w:rsid w:val="008778C7"/>
    <w:rsid w:val="00877E8B"/>
    <w:rsid w:val="00880217"/>
    <w:rsid w:val="00880828"/>
    <w:rsid w:val="00881154"/>
    <w:rsid w:val="008811EE"/>
    <w:rsid w:val="00881B5C"/>
    <w:rsid w:val="00883064"/>
    <w:rsid w:val="0088372B"/>
    <w:rsid w:val="00883B59"/>
    <w:rsid w:val="00884970"/>
    <w:rsid w:val="00884A73"/>
    <w:rsid w:val="0088554C"/>
    <w:rsid w:val="00885632"/>
    <w:rsid w:val="00886494"/>
    <w:rsid w:val="0088785E"/>
    <w:rsid w:val="00891EA1"/>
    <w:rsid w:val="00892261"/>
    <w:rsid w:val="008932E9"/>
    <w:rsid w:val="00893326"/>
    <w:rsid w:val="00893B5E"/>
    <w:rsid w:val="00894253"/>
    <w:rsid w:val="0089519E"/>
    <w:rsid w:val="008951B7"/>
    <w:rsid w:val="00895A91"/>
    <w:rsid w:val="008967AE"/>
    <w:rsid w:val="00897C13"/>
    <w:rsid w:val="008A09D9"/>
    <w:rsid w:val="008A1AF7"/>
    <w:rsid w:val="008A341E"/>
    <w:rsid w:val="008A411A"/>
    <w:rsid w:val="008A4321"/>
    <w:rsid w:val="008A43D1"/>
    <w:rsid w:val="008A4E88"/>
    <w:rsid w:val="008A568D"/>
    <w:rsid w:val="008A5B8E"/>
    <w:rsid w:val="008A672C"/>
    <w:rsid w:val="008A6D7E"/>
    <w:rsid w:val="008A6F01"/>
    <w:rsid w:val="008A7E4D"/>
    <w:rsid w:val="008B031F"/>
    <w:rsid w:val="008B04C5"/>
    <w:rsid w:val="008B1076"/>
    <w:rsid w:val="008B1B35"/>
    <w:rsid w:val="008B2EC6"/>
    <w:rsid w:val="008B3124"/>
    <w:rsid w:val="008B3B60"/>
    <w:rsid w:val="008B3E52"/>
    <w:rsid w:val="008B51C5"/>
    <w:rsid w:val="008B5D4B"/>
    <w:rsid w:val="008B6564"/>
    <w:rsid w:val="008B69A0"/>
    <w:rsid w:val="008B69FB"/>
    <w:rsid w:val="008C0036"/>
    <w:rsid w:val="008C0412"/>
    <w:rsid w:val="008C0B68"/>
    <w:rsid w:val="008C11EE"/>
    <w:rsid w:val="008C15B5"/>
    <w:rsid w:val="008C234E"/>
    <w:rsid w:val="008C2362"/>
    <w:rsid w:val="008C25C7"/>
    <w:rsid w:val="008C2E21"/>
    <w:rsid w:val="008C2E97"/>
    <w:rsid w:val="008C3697"/>
    <w:rsid w:val="008C36E7"/>
    <w:rsid w:val="008C3B1B"/>
    <w:rsid w:val="008C51B0"/>
    <w:rsid w:val="008C52DB"/>
    <w:rsid w:val="008C5B0A"/>
    <w:rsid w:val="008C5BC6"/>
    <w:rsid w:val="008C5FFB"/>
    <w:rsid w:val="008C6E06"/>
    <w:rsid w:val="008C7067"/>
    <w:rsid w:val="008C7EA5"/>
    <w:rsid w:val="008D01CB"/>
    <w:rsid w:val="008D0D06"/>
    <w:rsid w:val="008D0D10"/>
    <w:rsid w:val="008D0FC1"/>
    <w:rsid w:val="008D139B"/>
    <w:rsid w:val="008D1D11"/>
    <w:rsid w:val="008D2B63"/>
    <w:rsid w:val="008D2D37"/>
    <w:rsid w:val="008D3208"/>
    <w:rsid w:val="008D42B3"/>
    <w:rsid w:val="008D42CD"/>
    <w:rsid w:val="008D4838"/>
    <w:rsid w:val="008D4C95"/>
    <w:rsid w:val="008D4F3F"/>
    <w:rsid w:val="008D5075"/>
    <w:rsid w:val="008D52AA"/>
    <w:rsid w:val="008D63BC"/>
    <w:rsid w:val="008D653E"/>
    <w:rsid w:val="008D6B13"/>
    <w:rsid w:val="008E020D"/>
    <w:rsid w:val="008E094C"/>
    <w:rsid w:val="008E09D4"/>
    <w:rsid w:val="008E0CBB"/>
    <w:rsid w:val="008E238E"/>
    <w:rsid w:val="008E25C8"/>
    <w:rsid w:val="008E2EDF"/>
    <w:rsid w:val="008E3045"/>
    <w:rsid w:val="008E4269"/>
    <w:rsid w:val="008E439B"/>
    <w:rsid w:val="008E4602"/>
    <w:rsid w:val="008E487B"/>
    <w:rsid w:val="008E5BA1"/>
    <w:rsid w:val="008E624F"/>
    <w:rsid w:val="008E6DCE"/>
    <w:rsid w:val="008E7591"/>
    <w:rsid w:val="008E78BF"/>
    <w:rsid w:val="008F00A7"/>
    <w:rsid w:val="008F04AB"/>
    <w:rsid w:val="008F0E49"/>
    <w:rsid w:val="008F151B"/>
    <w:rsid w:val="008F17C5"/>
    <w:rsid w:val="008F6367"/>
    <w:rsid w:val="008F7AE5"/>
    <w:rsid w:val="00900A9F"/>
    <w:rsid w:val="00900E95"/>
    <w:rsid w:val="00901CD3"/>
    <w:rsid w:val="00902492"/>
    <w:rsid w:val="00903698"/>
    <w:rsid w:val="009037F3"/>
    <w:rsid w:val="009042A5"/>
    <w:rsid w:val="00904821"/>
    <w:rsid w:val="00904FA0"/>
    <w:rsid w:val="00905515"/>
    <w:rsid w:val="00906214"/>
    <w:rsid w:val="0090631D"/>
    <w:rsid w:val="00906516"/>
    <w:rsid w:val="00906C3F"/>
    <w:rsid w:val="00906EFC"/>
    <w:rsid w:val="009074F6"/>
    <w:rsid w:val="0090750B"/>
    <w:rsid w:val="00907E9B"/>
    <w:rsid w:val="00910747"/>
    <w:rsid w:val="00910A16"/>
    <w:rsid w:val="00911ABF"/>
    <w:rsid w:val="00911F62"/>
    <w:rsid w:val="00912010"/>
    <w:rsid w:val="0091342F"/>
    <w:rsid w:val="0091374F"/>
    <w:rsid w:val="00913820"/>
    <w:rsid w:val="0091421C"/>
    <w:rsid w:val="00914D15"/>
    <w:rsid w:val="00915162"/>
    <w:rsid w:val="009157BA"/>
    <w:rsid w:val="00916610"/>
    <w:rsid w:val="00916804"/>
    <w:rsid w:val="00917A58"/>
    <w:rsid w:val="0092033B"/>
    <w:rsid w:val="009223E1"/>
    <w:rsid w:val="00922C61"/>
    <w:rsid w:val="00922C6B"/>
    <w:rsid w:val="0092312C"/>
    <w:rsid w:val="009237F8"/>
    <w:rsid w:val="0092486D"/>
    <w:rsid w:val="00924992"/>
    <w:rsid w:val="009265A4"/>
    <w:rsid w:val="0092741B"/>
    <w:rsid w:val="0093088A"/>
    <w:rsid w:val="00931230"/>
    <w:rsid w:val="00931256"/>
    <w:rsid w:val="0093188D"/>
    <w:rsid w:val="00931E46"/>
    <w:rsid w:val="00931ED0"/>
    <w:rsid w:val="009323EC"/>
    <w:rsid w:val="00933DA8"/>
    <w:rsid w:val="00934717"/>
    <w:rsid w:val="00934760"/>
    <w:rsid w:val="009348B3"/>
    <w:rsid w:val="009355A3"/>
    <w:rsid w:val="009355D6"/>
    <w:rsid w:val="00935E6D"/>
    <w:rsid w:val="009360F4"/>
    <w:rsid w:val="0093621C"/>
    <w:rsid w:val="00936A48"/>
    <w:rsid w:val="009370CB"/>
    <w:rsid w:val="0093727A"/>
    <w:rsid w:val="00937D24"/>
    <w:rsid w:val="00937E45"/>
    <w:rsid w:val="00937F04"/>
    <w:rsid w:val="009410DD"/>
    <w:rsid w:val="00941A05"/>
    <w:rsid w:val="0094292F"/>
    <w:rsid w:val="00942D22"/>
    <w:rsid w:val="00943787"/>
    <w:rsid w:val="00943D0C"/>
    <w:rsid w:val="009443DA"/>
    <w:rsid w:val="00944430"/>
    <w:rsid w:val="00944A56"/>
    <w:rsid w:val="009452FA"/>
    <w:rsid w:val="0094570A"/>
    <w:rsid w:val="009458FC"/>
    <w:rsid w:val="009460EC"/>
    <w:rsid w:val="009462AC"/>
    <w:rsid w:val="0094666E"/>
    <w:rsid w:val="0094783B"/>
    <w:rsid w:val="009502AC"/>
    <w:rsid w:val="009509E8"/>
    <w:rsid w:val="00951A26"/>
    <w:rsid w:val="00953ACF"/>
    <w:rsid w:val="00954219"/>
    <w:rsid w:val="00954A00"/>
    <w:rsid w:val="00955356"/>
    <w:rsid w:val="0095566C"/>
    <w:rsid w:val="009557A1"/>
    <w:rsid w:val="00955D57"/>
    <w:rsid w:val="00956651"/>
    <w:rsid w:val="00956E75"/>
    <w:rsid w:val="00956FED"/>
    <w:rsid w:val="00957DBC"/>
    <w:rsid w:val="0096032B"/>
    <w:rsid w:val="00960478"/>
    <w:rsid w:val="00960C38"/>
    <w:rsid w:val="00960C7C"/>
    <w:rsid w:val="00961314"/>
    <w:rsid w:val="009619DE"/>
    <w:rsid w:val="00961BE2"/>
    <w:rsid w:val="00962642"/>
    <w:rsid w:val="00962661"/>
    <w:rsid w:val="00962C47"/>
    <w:rsid w:val="009630CD"/>
    <w:rsid w:val="00963998"/>
    <w:rsid w:val="009639E5"/>
    <w:rsid w:val="009640D1"/>
    <w:rsid w:val="00964624"/>
    <w:rsid w:val="00964C9A"/>
    <w:rsid w:val="00965715"/>
    <w:rsid w:val="00965E83"/>
    <w:rsid w:val="00966282"/>
    <w:rsid w:val="009701EA"/>
    <w:rsid w:val="00971225"/>
    <w:rsid w:val="009717BF"/>
    <w:rsid w:val="00971AA2"/>
    <w:rsid w:val="00972ABF"/>
    <w:rsid w:val="00972C69"/>
    <w:rsid w:val="009734EB"/>
    <w:rsid w:val="009737FC"/>
    <w:rsid w:val="00974CBD"/>
    <w:rsid w:val="009766C9"/>
    <w:rsid w:val="0097794D"/>
    <w:rsid w:val="0098022A"/>
    <w:rsid w:val="00980A34"/>
    <w:rsid w:val="00980C25"/>
    <w:rsid w:val="00981233"/>
    <w:rsid w:val="009812C2"/>
    <w:rsid w:val="00982113"/>
    <w:rsid w:val="0098229D"/>
    <w:rsid w:val="009823B0"/>
    <w:rsid w:val="009823B8"/>
    <w:rsid w:val="00982804"/>
    <w:rsid w:val="009829BE"/>
    <w:rsid w:val="00982C33"/>
    <w:rsid w:val="00984CEF"/>
    <w:rsid w:val="009852D6"/>
    <w:rsid w:val="0098534E"/>
    <w:rsid w:val="0098578B"/>
    <w:rsid w:val="009857A2"/>
    <w:rsid w:val="00985B06"/>
    <w:rsid w:val="00985D26"/>
    <w:rsid w:val="009865A1"/>
    <w:rsid w:val="00986B89"/>
    <w:rsid w:val="00987A6E"/>
    <w:rsid w:val="00987BEE"/>
    <w:rsid w:val="00990362"/>
    <w:rsid w:val="00990BDB"/>
    <w:rsid w:val="00990EBE"/>
    <w:rsid w:val="00991105"/>
    <w:rsid w:val="00991B9C"/>
    <w:rsid w:val="00991FE5"/>
    <w:rsid w:val="00992E75"/>
    <w:rsid w:val="0099367A"/>
    <w:rsid w:val="00993D51"/>
    <w:rsid w:val="0099432B"/>
    <w:rsid w:val="00994DFA"/>
    <w:rsid w:val="00995868"/>
    <w:rsid w:val="0099624D"/>
    <w:rsid w:val="009968D8"/>
    <w:rsid w:val="009973A1"/>
    <w:rsid w:val="00997D4F"/>
    <w:rsid w:val="00997E26"/>
    <w:rsid w:val="009A07BD"/>
    <w:rsid w:val="009A0944"/>
    <w:rsid w:val="009A0A76"/>
    <w:rsid w:val="009A0E6F"/>
    <w:rsid w:val="009A18D2"/>
    <w:rsid w:val="009A1F1F"/>
    <w:rsid w:val="009A344D"/>
    <w:rsid w:val="009A36A5"/>
    <w:rsid w:val="009A3985"/>
    <w:rsid w:val="009A4B3E"/>
    <w:rsid w:val="009A4D0E"/>
    <w:rsid w:val="009A57B8"/>
    <w:rsid w:val="009A5E0B"/>
    <w:rsid w:val="009A682D"/>
    <w:rsid w:val="009A6970"/>
    <w:rsid w:val="009A6B90"/>
    <w:rsid w:val="009A6FF5"/>
    <w:rsid w:val="009A70DA"/>
    <w:rsid w:val="009A7195"/>
    <w:rsid w:val="009A77E2"/>
    <w:rsid w:val="009B02DD"/>
    <w:rsid w:val="009B06EA"/>
    <w:rsid w:val="009B0784"/>
    <w:rsid w:val="009B0A11"/>
    <w:rsid w:val="009B10C7"/>
    <w:rsid w:val="009B1728"/>
    <w:rsid w:val="009B179A"/>
    <w:rsid w:val="009B1A64"/>
    <w:rsid w:val="009B1CBB"/>
    <w:rsid w:val="009B1CF5"/>
    <w:rsid w:val="009B1F0E"/>
    <w:rsid w:val="009B2323"/>
    <w:rsid w:val="009B3CFD"/>
    <w:rsid w:val="009B4390"/>
    <w:rsid w:val="009B43CE"/>
    <w:rsid w:val="009B534B"/>
    <w:rsid w:val="009B584B"/>
    <w:rsid w:val="009B7138"/>
    <w:rsid w:val="009B7BB8"/>
    <w:rsid w:val="009C056A"/>
    <w:rsid w:val="009C314F"/>
    <w:rsid w:val="009C3D5F"/>
    <w:rsid w:val="009C3F6E"/>
    <w:rsid w:val="009C4016"/>
    <w:rsid w:val="009C4A37"/>
    <w:rsid w:val="009C4DC5"/>
    <w:rsid w:val="009C5210"/>
    <w:rsid w:val="009C6995"/>
    <w:rsid w:val="009C6B26"/>
    <w:rsid w:val="009C7A51"/>
    <w:rsid w:val="009D0822"/>
    <w:rsid w:val="009D0DC5"/>
    <w:rsid w:val="009D0FAB"/>
    <w:rsid w:val="009D0FFE"/>
    <w:rsid w:val="009D1389"/>
    <w:rsid w:val="009D1F93"/>
    <w:rsid w:val="009D20BC"/>
    <w:rsid w:val="009D2661"/>
    <w:rsid w:val="009D2A08"/>
    <w:rsid w:val="009D374F"/>
    <w:rsid w:val="009D43E1"/>
    <w:rsid w:val="009D4615"/>
    <w:rsid w:val="009D4969"/>
    <w:rsid w:val="009D5554"/>
    <w:rsid w:val="009D5722"/>
    <w:rsid w:val="009D57C9"/>
    <w:rsid w:val="009D5B41"/>
    <w:rsid w:val="009D6B0A"/>
    <w:rsid w:val="009D7EBB"/>
    <w:rsid w:val="009E0DF7"/>
    <w:rsid w:val="009E129F"/>
    <w:rsid w:val="009E17E7"/>
    <w:rsid w:val="009E1845"/>
    <w:rsid w:val="009E26A6"/>
    <w:rsid w:val="009E27C5"/>
    <w:rsid w:val="009E2B0C"/>
    <w:rsid w:val="009E3650"/>
    <w:rsid w:val="009E41F6"/>
    <w:rsid w:val="009E48F6"/>
    <w:rsid w:val="009E61ED"/>
    <w:rsid w:val="009E62BE"/>
    <w:rsid w:val="009E6356"/>
    <w:rsid w:val="009E65AF"/>
    <w:rsid w:val="009E7169"/>
    <w:rsid w:val="009E7522"/>
    <w:rsid w:val="009E7A90"/>
    <w:rsid w:val="009F1244"/>
    <w:rsid w:val="009F1C67"/>
    <w:rsid w:val="009F217B"/>
    <w:rsid w:val="009F2B7B"/>
    <w:rsid w:val="009F3FC3"/>
    <w:rsid w:val="009F49C2"/>
    <w:rsid w:val="009F4F09"/>
    <w:rsid w:val="009F4FF2"/>
    <w:rsid w:val="009F556A"/>
    <w:rsid w:val="009F5F1C"/>
    <w:rsid w:val="009F6A82"/>
    <w:rsid w:val="009F75EC"/>
    <w:rsid w:val="00A008AB"/>
    <w:rsid w:val="00A0183B"/>
    <w:rsid w:val="00A01CE7"/>
    <w:rsid w:val="00A02B34"/>
    <w:rsid w:val="00A02D35"/>
    <w:rsid w:val="00A031F1"/>
    <w:rsid w:val="00A036F5"/>
    <w:rsid w:val="00A03E45"/>
    <w:rsid w:val="00A04290"/>
    <w:rsid w:val="00A0435B"/>
    <w:rsid w:val="00A04990"/>
    <w:rsid w:val="00A056BE"/>
    <w:rsid w:val="00A058B3"/>
    <w:rsid w:val="00A06549"/>
    <w:rsid w:val="00A071D8"/>
    <w:rsid w:val="00A07748"/>
    <w:rsid w:val="00A100D0"/>
    <w:rsid w:val="00A10EA6"/>
    <w:rsid w:val="00A124EB"/>
    <w:rsid w:val="00A128B7"/>
    <w:rsid w:val="00A12F6D"/>
    <w:rsid w:val="00A130DF"/>
    <w:rsid w:val="00A132E7"/>
    <w:rsid w:val="00A13724"/>
    <w:rsid w:val="00A13DFE"/>
    <w:rsid w:val="00A15501"/>
    <w:rsid w:val="00A157EB"/>
    <w:rsid w:val="00A15BE5"/>
    <w:rsid w:val="00A1661A"/>
    <w:rsid w:val="00A20567"/>
    <w:rsid w:val="00A20667"/>
    <w:rsid w:val="00A21BED"/>
    <w:rsid w:val="00A2215B"/>
    <w:rsid w:val="00A221E1"/>
    <w:rsid w:val="00A224C9"/>
    <w:rsid w:val="00A2287F"/>
    <w:rsid w:val="00A22DC8"/>
    <w:rsid w:val="00A2352B"/>
    <w:rsid w:val="00A235E6"/>
    <w:rsid w:val="00A23A7A"/>
    <w:rsid w:val="00A2422D"/>
    <w:rsid w:val="00A243DD"/>
    <w:rsid w:val="00A24BE1"/>
    <w:rsid w:val="00A24C33"/>
    <w:rsid w:val="00A25454"/>
    <w:rsid w:val="00A256DB"/>
    <w:rsid w:val="00A26085"/>
    <w:rsid w:val="00A2658D"/>
    <w:rsid w:val="00A26FC2"/>
    <w:rsid w:val="00A27392"/>
    <w:rsid w:val="00A27852"/>
    <w:rsid w:val="00A30917"/>
    <w:rsid w:val="00A30D25"/>
    <w:rsid w:val="00A314BD"/>
    <w:rsid w:val="00A31CF5"/>
    <w:rsid w:val="00A320EA"/>
    <w:rsid w:val="00A3274E"/>
    <w:rsid w:val="00A33861"/>
    <w:rsid w:val="00A34275"/>
    <w:rsid w:val="00A344A5"/>
    <w:rsid w:val="00A344E6"/>
    <w:rsid w:val="00A34599"/>
    <w:rsid w:val="00A3519F"/>
    <w:rsid w:val="00A36690"/>
    <w:rsid w:val="00A371D0"/>
    <w:rsid w:val="00A37B14"/>
    <w:rsid w:val="00A37BD0"/>
    <w:rsid w:val="00A42820"/>
    <w:rsid w:val="00A431D9"/>
    <w:rsid w:val="00A43881"/>
    <w:rsid w:val="00A44427"/>
    <w:rsid w:val="00A4454D"/>
    <w:rsid w:val="00A45E39"/>
    <w:rsid w:val="00A45E58"/>
    <w:rsid w:val="00A461F3"/>
    <w:rsid w:val="00A4636C"/>
    <w:rsid w:val="00A46804"/>
    <w:rsid w:val="00A46A7B"/>
    <w:rsid w:val="00A46ABD"/>
    <w:rsid w:val="00A46D8D"/>
    <w:rsid w:val="00A47115"/>
    <w:rsid w:val="00A47EA4"/>
    <w:rsid w:val="00A502CB"/>
    <w:rsid w:val="00A506F0"/>
    <w:rsid w:val="00A50882"/>
    <w:rsid w:val="00A50A5E"/>
    <w:rsid w:val="00A51304"/>
    <w:rsid w:val="00A513FA"/>
    <w:rsid w:val="00A51AD6"/>
    <w:rsid w:val="00A524AF"/>
    <w:rsid w:val="00A52B0D"/>
    <w:rsid w:val="00A52E03"/>
    <w:rsid w:val="00A5379F"/>
    <w:rsid w:val="00A5415B"/>
    <w:rsid w:val="00A54617"/>
    <w:rsid w:val="00A547F7"/>
    <w:rsid w:val="00A5627C"/>
    <w:rsid w:val="00A578C7"/>
    <w:rsid w:val="00A57ACA"/>
    <w:rsid w:val="00A60B77"/>
    <w:rsid w:val="00A60C69"/>
    <w:rsid w:val="00A61035"/>
    <w:rsid w:val="00A6105F"/>
    <w:rsid w:val="00A6198A"/>
    <w:rsid w:val="00A62483"/>
    <w:rsid w:val="00A63562"/>
    <w:rsid w:val="00A63772"/>
    <w:rsid w:val="00A642F4"/>
    <w:rsid w:val="00A64E39"/>
    <w:rsid w:val="00A65D2A"/>
    <w:rsid w:val="00A66902"/>
    <w:rsid w:val="00A66E0B"/>
    <w:rsid w:val="00A66FB6"/>
    <w:rsid w:val="00A7023E"/>
    <w:rsid w:val="00A7035A"/>
    <w:rsid w:val="00A7055B"/>
    <w:rsid w:val="00A70D7C"/>
    <w:rsid w:val="00A711AD"/>
    <w:rsid w:val="00A72159"/>
    <w:rsid w:val="00A7349A"/>
    <w:rsid w:val="00A734CD"/>
    <w:rsid w:val="00A73DD1"/>
    <w:rsid w:val="00A75498"/>
    <w:rsid w:val="00A76841"/>
    <w:rsid w:val="00A76C6D"/>
    <w:rsid w:val="00A76C9B"/>
    <w:rsid w:val="00A7764A"/>
    <w:rsid w:val="00A80576"/>
    <w:rsid w:val="00A80586"/>
    <w:rsid w:val="00A80B4E"/>
    <w:rsid w:val="00A81169"/>
    <w:rsid w:val="00A82057"/>
    <w:rsid w:val="00A8296F"/>
    <w:rsid w:val="00A82DDC"/>
    <w:rsid w:val="00A837B0"/>
    <w:rsid w:val="00A83A90"/>
    <w:rsid w:val="00A84763"/>
    <w:rsid w:val="00A85547"/>
    <w:rsid w:val="00A85A67"/>
    <w:rsid w:val="00A86BB0"/>
    <w:rsid w:val="00A875F7"/>
    <w:rsid w:val="00A87966"/>
    <w:rsid w:val="00A90A7F"/>
    <w:rsid w:val="00A90D0B"/>
    <w:rsid w:val="00A90FDC"/>
    <w:rsid w:val="00A910FB"/>
    <w:rsid w:val="00A911B2"/>
    <w:rsid w:val="00A91B1F"/>
    <w:rsid w:val="00A91FDE"/>
    <w:rsid w:val="00A92E6C"/>
    <w:rsid w:val="00A92FA1"/>
    <w:rsid w:val="00A9388C"/>
    <w:rsid w:val="00A938EE"/>
    <w:rsid w:val="00A93A88"/>
    <w:rsid w:val="00A9474C"/>
    <w:rsid w:val="00A9496F"/>
    <w:rsid w:val="00A94BBB"/>
    <w:rsid w:val="00A95247"/>
    <w:rsid w:val="00A958EA"/>
    <w:rsid w:val="00A96223"/>
    <w:rsid w:val="00A963D1"/>
    <w:rsid w:val="00A979B0"/>
    <w:rsid w:val="00AA0E2C"/>
    <w:rsid w:val="00AA1010"/>
    <w:rsid w:val="00AA1073"/>
    <w:rsid w:val="00AA2179"/>
    <w:rsid w:val="00AA21EA"/>
    <w:rsid w:val="00AA31BA"/>
    <w:rsid w:val="00AA3476"/>
    <w:rsid w:val="00AA3A9C"/>
    <w:rsid w:val="00AA4316"/>
    <w:rsid w:val="00AA4565"/>
    <w:rsid w:val="00AA555D"/>
    <w:rsid w:val="00AA6169"/>
    <w:rsid w:val="00AA7526"/>
    <w:rsid w:val="00AB0EC8"/>
    <w:rsid w:val="00AB13FB"/>
    <w:rsid w:val="00AB19E5"/>
    <w:rsid w:val="00AB1EBA"/>
    <w:rsid w:val="00AB1FC6"/>
    <w:rsid w:val="00AB2334"/>
    <w:rsid w:val="00AB25D5"/>
    <w:rsid w:val="00AB31D4"/>
    <w:rsid w:val="00AB3C2A"/>
    <w:rsid w:val="00AB3E49"/>
    <w:rsid w:val="00AB4FCE"/>
    <w:rsid w:val="00AB5187"/>
    <w:rsid w:val="00AB70BC"/>
    <w:rsid w:val="00AB7373"/>
    <w:rsid w:val="00AB7776"/>
    <w:rsid w:val="00AB7F0C"/>
    <w:rsid w:val="00AC174D"/>
    <w:rsid w:val="00AC1DD8"/>
    <w:rsid w:val="00AC1FCC"/>
    <w:rsid w:val="00AC290D"/>
    <w:rsid w:val="00AC3420"/>
    <w:rsid w:val="00AC37C0"/>
    <w:rsid w:val="00AC40B5"/>
    <w:rsid w:val="00AC4D7B"/>
    <w:rsid w:val="00AC510D"/>
    <w:rsid w:val="00AC5134"/>
    <w:rsid w:val="00AC5A58"/>
    <w:rsid w:val="00AC5BA2"/>
    <w:rsid w:val="00AC6685"/>
    <w:rsid w:val="00AC6698"/>
    <w:rsid w:val="00AC6858"/>
    <w:rsid w:val="00AC6FA2"/>
    <w:rsid w:val="00AC741A"/>
    <w:rsid w:val="00AD0EA0"/>
    <w:rsid w:val="00AD1247"/>
    <w:rsid w:val="00AD1571"/>
    <w:rsid w:val="00AD1E68"/>
    <w:rsid w:val="00AD31B3"/>
    <w:rsid w:val="00AD34BC"/>
    <w:rsid w:val="00AD35AE"/>
    <w:rsid w:val="00AD43E9"/>
    <w:rsid w:val="00AD5A28"/>
    <w:rsid w:val="00AD60F9"/>
    <w:rsid w:val="00AD6847"/>
    <w:rsid w:val="00AD6F38"/>
    <w:rsid w:val="00AD7946"/>
    <w:rsid w:val="00AD7AB1"/>
    <w:rsid w:val="00AE077D"/>
    <w:rsid w:val="00AE0DA0"/>
    <w:rsid w:val="00AE0DF1"/>
    <w:rsid w:val="00AE16CE"/>
    <w:rsid w:val="00AE2602"/>
    <w:rsid w:val="00AE27E1"/>
    <w:rsid w:val="00AE336D"/>
    <w:rsid w:val="00AE39ED"/>
    <w:rsid w:val="00AE4064"/>
    <w:rsid w:val="00AE546F"/>
    <w:rsid w:val="00AE640D"/>
    <w:rsid w:val="00AE6593"/>
    <w:rsid w:val="00AE7045"/>
    <w:rsid w:val="00AE71E4"/>
    <w:rsid w:val="00AF143B"/>
    <w:rsid w:val="00AF159E"/>
    <w:rsid w:val="00AF2AC7"/>
    <w:rsid w:val="00AF30F1"/>
    <w:rsid w:val="00AF315B"/>
    <w:rsid w:val="00AF347E"/>
    <w:rsid w:val="00AF3979"/>
    <w:rsid w:val="00AF3D78"/>
    <w:rsid w:val="00AF43E7"/>
    <w:rsid w:val="00AF4750"/>
    <w:rsid w:val="00AF4CF8"/>
    <w:rsid w:val="00AF6A71"/>
    <w:rsid w:val="00AF6CB7"/>
    <w:rsid w:val="00B00D47"/>
    <w:rsid w:val="00B00F82"/>
    <w:rsid w:val="00B01F0B"/>
    <w:rsid w:val="00B0293C"/>
    <w:rsid w:val="00B02A4F"/>
    <w:rsid w:val="00B04375"/>
    <w:rsid w:val="00B04823"/>
    <w:rsid w:val="00B051C5"/>
    <w:rsid w:val="00B05A31"/>
    <w:rsid w:val="00B05C61"/>
    <w:rsid w:val="00B05F59"/>
    <w:rsid w:val="00B077DA"/>
    <w:rsid w:val="00B1027B"/>
    <w:rsid w:val="00B1091A"/>
    <w:rsid w:val="00B10A3E"/>
    <w:rsid w:val="00B10F1A"/>
    <w:rsid w:val="00B10F71"/>
    <w:rsid w:val="00B12066"/>
    <w:rsid w:val="00B12557"/>
    <w:rsid w:val="00B12817"/>
    <w:rsid w:val="00B12E55"/>
    <w:rsid w:val="00B12F7E"/>
    <w:rsid w:val="00B12FC2"/>
    <w:rsid w:val="00B13169"/>
    <w:rsid w:val="00B13292"/>
    <w:rsid w:val="00B1356B"/>
    <w:rsid w:val="00B13661"/>
    <w:rsid w:val="00B13C2A"/>
    <w:rsid w:val="00B15DB5"/>
    <w:rsid w:val="00B16D19"/>
    <w:rsid w:val="00B17275"/>
    <w:rsid w:val="00B179BD"/>
    <w:rsid w:val="00B20894"/>
    <w:rsid w:val="00B20AAA"/>
    <w:rsid w:val="00B214C8"/>
    <w:rsid w:val="00B216F8"/>
    <w:rsid w:val="00B2176E"/>
    <w:rsid w:val="00B21D65"/>
    <w:rsid w:val="00B22618"/>
    <w:rsid w:val="00B22786"/>
    <w:rsid w:val="00B22EA8"/>
    <w:rsid w:val="00B2375D"/>
    <w:rsid w:val="00B24211"/>
    <w:rsid w:val="00B24448"/>
    <w:rsid w:val="00B2583E"/>
    <w:rsid w:val="00B25A1F"/>
    <w:rsid w:val="00B25BBD"/>
    <w:rsid w:val="00B26943"/>
    <w:rsid w:val="00B27E00"/>
    <w:rsid w:val="00B30EBA"/>
    <w:rsid w:val="00B313F5"/>
    <w:rsid w:val="00B31728"/>
    <w:rsid w:val="00B32C9A"/>
    <w:rsid w:val="00B340EF"/>
    <w:rsid w:val="00B343E5"/>
    <w:rsid w:val="00B349E4"/>
    <w:rsid w:val="00B351FE"/>
    <w:rsid w:val="00B355C2"/>
    <w:rsid w:val="00B359DB"/>
    <w:rsid w:val="00B36063"/>
    <w:rsid w:val="00B36EB6"/>
    <w:rsid w:val="00B3700E"/>
    <w:rsid w:val="00B37158"/>
    <w:rsid w:val="00B40393"/>
    <w:rsid w:val="00B407C1"/>
    <w:rsid w:val="00B40A30"/>
    <w:rsid w:val="00B40EE6"/>
    <w:rsid w:val="00B41451"/>
    <w:rsid w:val="00B4156F"/>
    <w:rsid w:val="00B42D80"/>
    <w:rsid w:val="00B42DD4"/>
    <w:rsid w:val="00B43F99"/>
    <w:rsid w:val="00B47014"/>
    <w:rsid w:val="00B50C58"/>
    <w:rsid w:val="00B51161"/>
    <w:rsid w:val="00B5180C"/>
    <w:rsid w:val="00B51889"/>
    <w:rsid w:val="00B51B00"/>
    <w:rsid w:val="00B52AC1"/>
    <w:rsid w:val="00B53603"/>
    <w:rsid w:val="00B54A95"/>
    <w:rsid w:val="00B54B6A"/>
    <w:rsid w:val="00B54CB6"/>
    <w:rsid w:val="00B55821"/>
    <w:rsid w:val="00B55926"/>
    <w:rsid w:val="00B559DC"/>
    <w:rsid w:val="00B55A87"/>
    <w:rsid w:val="00B56B55"/>
    <w:rsid w:val="00B56E9A"/>
    <w:rsid w:val="00B57169"/>
    <w:rsid w:val="00B57B82"/>
    <w:rsid w:val="00B57F19"/>
    <w:rsid w:val="00B60396"/>
    <w:rsid w:val="00B60C9C"/>
    <w:rsid w:val="00B61F36"/>
    <w:rsid w:val="00B635C8"/>
    <w:rsid w:val="00B63785"/>
    <w:rsid w:val="00B64521"/>
    <w:rsid w:val="00B64F78"/>
    <w:rsid w:val="00B657C3"/>
    <w:rsid w:val="00B65CFA"/>
    <w:rsid w:val="00B71178"/>
    <w:rsid w:val="00B71E60"/>
    <w:rsid w:val="00B72C34"/>
    <w:rsid w:val="00B72CB2"/>
    <w:rsid w:val="00B72CEF"/>
    <w:rsid w:val="00B72F63"/>
    <w:rsid w:val="00B7382E"/>
    <w:rsid w:val="00B738FB"/>
    <w:rsid w:val="00B73CC3"/>
    <w:rsid w:val="00B73E33"/>
    <w:rsid w:val="00B74D01"/>
    <w:rsid w:val="00B750A8"/>
    <w:rsid w:val="00B7574A"/>
    <w:rsid w:val="00B75C6E"/>
    <w:rsid w:val="00B760EA"/>
    <w:rsid w:val="00B76BB2"/>
    <w:rsid w:val="00B80090"/>
    <w:rsid w:val="00B80F0F"/>
    <w:rsid w:val="00B810F3"/>
    <w:rsid w:val="00B81110"/>
    <w:rsid w:val="00B81815"/>
    <w:rsid w:val="00B820BA"/>
    <w:rsid w:val="00B82669"/>
    <w:rsid w:val="00B82F39"/>
    <w:rsid w:val="00B8322D"/>
    <w:rsid w:val="00B8362D"/>
    <w:rsid w:val="00B857AA"/>
    <w:rsid w:val="00B85821"/>
    <w:rsid w:val="00B85BEF"/>
    <w:rsid w:val="00B85DC7"/>
    <w:rsid w:val="00B86412"/>
    <w:rsid w:val="00B8739E"/>
    <w:rsid w:val="00B900B0"/>
    <w:rsid w:val="00B90B77"/>
    <w:rsid w:val="00B90F76"/>
    <w:rsid w:val="00B91DD5"/>
    <w:rsid w:val="00B91F86"/>
    <w:rsid w:val="00B92121"/>
    <w:rsid w:val="00B92393"/>
    <w:rsid w:val="00B924E8"/>
    <w:rsid w:val="00B924F7"/>
    <w:rsid w:val="00B93575"/>
    <w:rsid w:val="00B93677"/>
    <w:rsid w:val="00B937DD"/>
    <w:rsid w:val="00B94263"/>
    <w:rsid w:val="00B9426D"/>
    <w:rsid w:val="00B9443D"/>
    <w:rsid w:val="00B951D2"/>
    <w:rsid w:val="00B95671"/>
    <w:rsid w:val="00B95BC8"/>
    <w:rsid w:val="00B95F8B"/>
    <w:rsid w:val="00B96040"/>
    <w:rsid w:val="00B96ACB"/>
    <w:rsid w:val="00B96EA3"/>
    <w:rsid w:val="00B96F47"/>
    <w:rsid w:val="00B9740A"/>
    <w:rsid w:val="00B97633"/>
    <w:rsid w:val="00BA0DFF"/>
    <w:rsid w:val="00BA1088"/>
    <w:rsid w:val="00BA126B"/>
    <w:rsid w:val="00BA145F"/>
    <w:rsid w:val="00BA16EA"/>
    <w:rsid w:val="00BA1A9D"/>
    <w:rsid w:val="00BA1C0C"/>
    <w:rsid w:val="00BA2AB7"/>
    <w:rsid w:val="00BA3300"/>
    <w:rsid w:val="00BA34A6"/>
    <w:rsid w:val="00BA3A3A"/>
    <w:rsid w:val="00BA4496"/>
    <w:rsid w:val="00BA4FC2"/>
    <w:rsid w:val="00BA542B"/>
    <w:rsid w:val="00BA56A2"/>
    <w:rsid w:val="00BA56D0"/>
    <w:rsid w:val="00BA630D"/>
    <w:rsid w:val="00BA6B09"/>
    <w:rsid w:val="00BA7711"/>
    <w:rsid w:val="00BB122F"/>
    <w:rsid w:val="00BB131C"/>
    <w:rsid w:val="00BB1931"/>
    <w:rsid w:val="00BB34EE"/>
    <w:rsid w:val="00BB37C3"/>
    <w:rsid w:val="00BB3820"/>
    <w:rsid w:val="00BB39FE"/>
    <w:rsid w:val="00BB41E2"/>
    <w:rsid w:val="00BB4554"/>
    <w:rsid w:val="00BB4C70"/>
    <w:rsid w:val="00BB6B60"/>
    <w:rsid w:val="00BB6DD8"/>
    <w:rsid w:val="00BB72B3"/>
    <w:rsid w:val="00BB796B"/>
    <w:rsid w:val="00BC0AEB"/>
    <w:rsid w:val="00BC0C7C"/>
    <w:rsid w:val="00BC0CFA"/>
    <w:rsid w:val="00BC0FA8"/>
    <w:rsid w:val="00BC11AF"/>
    <w:rsid w:val="00BC161A"/>
    <w:rsid w:val="00BC25F6"/>
    <w:rsid w:val="00BC283F"/>
    <w:rsid w:val="00BC2E19"/>
    <w:rsid w:val="00BC4A4C"/>
    <w:rsid w:val="00BC6F96"/>
    <w:rsid w:val="00BC74F2"/>
    <w:rsid w:val="00BC7F88"/>
    <w:rsid w:val="00BD016F"/>
    <w:rsid w:val="00BD08CD"/>
    <w:rsid w:val="00BD0D06"/>
    <w:rsid w:val="00BD0DE1"/>
    <w:rsid w:val="00BD1D36"/>
    <w:rsid w:val="00BD3DD9"/>
    <w:rsid w:val="00BD416C"/>
    <w:rsid w:val="00BD4373"/>
    <w:rsid w:val="00BD459C"/>
    <w:rsid w:val="00BD4689"/>
    <w:rsid w:val="00BD4FA4"/>
    <w:rsid w:val="00BD65B2"/>
    <w:rsid w:val="00BD6637"/>
    <w:rsid w:val="00BD681B"/>
    <w:rsid w:val="00BD6A8F"/>
    <w:rsid w:val="00BD738C"/>
    <w:rsid w:val="00BD7E83"/>
    <w:rsid w:val="00BE016E"/>
    <w:rsid w:val="00BE0528"/>
    <w:rsid w:val="00BE0547"/>
    <w:rsid w:val="00BE07F9"/>
    <w:rsid w:val="00BE1816"/>
    <w:rsid w:val="00BE33F8"/>
    <w:rsid w:val="00BE4B68"/>
    <w:rsid w:val="00BE4B82"/>
    <w:rsid w:val="00BE4D38"/>
    <w:rsid w:val="00BE52AA"/>
    <w:rsid w:val="00BE5E42"/>
    <w:rsid w:val="00BE614C"/>
    <w:rsid w:val="00BE6696"/>
    <w:rsid w:val="00BF04F0"/>
    <w:rsid w:val="00BF0E96"/>
    <w:rsid w:val="00BF11BC"/>
    <w:rsid w:val="00BF1E3C"/>
    <w:rsid w:val="00BF24B9"/>
    <w:rsid w:val="00BF26A4"/>
    <w:rsid w:val="00BF2C83"/>
    <w:rsid w:val="00BF332F"/>
    <w:rsid w:val="00BF3C8A"/>
    <w:rsid w:val="00BF434B"/>
    <w:rsid w:val="00BF477B"/>
    <w:rsid w:val="00BF4E1C"/>
    <w:rsid w:val="00BF5196"/>
    <w:rsid w:val="00BF611A"/>
    <w:rsid w:val="00BF6144"/>
    <w:rsid w:val="00BF61FE"/>
    <w:rsid w:val="00BF722D"/>
    <w:rsid w:val="00BF7DEB"/>
    <w:rsid w:val="00C00619"/>
    <w:rsid w:val="00C012E8"/>
    <w:rsid w:val="00C017B5"/>
    <w:rsid w:val="00C0273F"/>
    <w:rsid w:val="00C030E2"/>
    <w:rsid w:val="00C0318E"/>
    <w:rsid w:val="00C03C03"/>
    <w:rsid w:val="00C03C3D"/>
    <w:rsid w:val="00C03EEA"/>
    <w:rsid w:val="00C058D7"/>
    <w:rsid w:val="00C05AE3"/>
    <w:rsid w:val="00C109E6"/>
    <w:rsid w:val="00C113A0"/>
    <w:rsid w:val="00C11E2B"/>
    <w:rsid w:val="00C1385D"/>
    <w:rsid w:val="00C13892"/>
    <w:rsid w:val="00C13C37"/>
    <w:rsid w:val="00C14CAD"/>
    <w:rsid w:val="00C14E7E"/>
    <w:rsid w:val="00C15CA3"/>
    <w:rsid w:val="00C166C1"/>
    <w:rsid w:val="00C170FE"/>
    <w:rsid w:val="00C17950"/>
    <w:rsid w:val="00C17F43"/>
    <w:rsid w:val="00C2157F"/>
    <w:rsid w:val="00C21A22"/>
    <w:rsid w:val="00C22414"/>
    <w:rsid w:val="00C22B3B"/>
    <w:rsid w:val="00C238EA"/>
    <w:rsid w:val="00C23DF3"/>
    <w:rsid w:val="00C242C3"/>
    <w:rsid w:val="00C24640"/>
    <w:rsid w:val="00C246E5"/>
    <w:rsid w:val="00C24DA2"/>
    <w:rsid w:val="00C25213"/>
    <w:rsid w:val="00C25BCE"/>
    <w:rsid w:val="00C25F17"/>
    <w:rsid w:val="00C261AA"/>
    <w:rsid w:val="00C27255"/>
    <w:rsid w:val="00C27EA9"/>
    <w:rsid w:val="00C300BA"/>
    <w:rsid w:val="00C313B9"/>
    <w:rsid w:val="00C32323"/>
    <w:rsid w:val="00C34196"/>
    <w:rsid w:val="00C34F15"/>
    <w:rsid w:val="00C350FB"/>
    <w:rsid w:val="00C35652"/>
    <w:rsid w:val="00C359CE"/>
    <w:rsid w:val="00C35B6F"/>
    <w:rsid w:val="00C364C0"/>
    <w:rsid w:val="00C371FA"/>
    <w:rsid w:val="00C40BED"/>
    <w:rsid w:val="00C413F3"/>
    <w:rsid w:val="00C41F4C"/>
    <w:rsid w:val="00C424B9"/>
    <w:rsid w:val="00C4320F"/>
    <w:rsid w:val="00C44D53"/>
    <w:rsid w:val="00C450BD"/>
    <w:rsid w:val="00C45622"/>
    <w:rsid w:val="00C4579D"/>
    <w:rsid w:val="00C47674"/>
    <w:rsid w:val="00C479FB"/>
    <w:rsid w:val="00C47AE3"/>
    <w:rsid w:val="00C5068F"/>
    <w:rsid w:val="00C50ACC"/>
    <w:rsid w:val="00C51BE4"/>
    <w:rsid w:val="00C51F6B"/>
    <w:rsid w:val="00C5214C"/>
    <w:rsid w:val="00C52917"/>
    <w:rsid w:val="00C52D86"/>
    <w:rsid w:val="00C533E4"/>
    <w:rsid w:val="00C55DA6"/>
    <w:rsid w:val="00C55EBC"/>
    <w:rsid w:val="00C56CAF"/>
    <w:rsid w:val="00C56CD0"/>
    <w:rsid w:val="00C57983"/>
    <w:rsid w:val="00C6030D"/>
    <w:rsid w:val="00C61564"/>
    <w:rsid w:val="00C6284C"/>
    <w:rsid w:val="00C62BFE"/>
    <w:rsid w:val="00C63627"/>
    <w:rsid w:val="00C6373C"/>
    <w:rsid w:val="00C638B2"/>
    <w:rsid w:val="00C63940"/>
    <w:rsid w:val="00C6490E"/>
    <w:rsid w:val="00C64C0A"/>
    <w:rsid w:val="00C65931"/>
    <w:rsid w:val="00C65A68"/>
    <w:rsid w:val="00C6636E"/>
    <w:rsid w:val="00C66880"/>
    <w:rsid w:val="00C66B35"/>
    <w:rsid w:val="00C675E7"/>
    <w:rsid w:val="00C678FC"/>
    <w:rsid w:val="00C679F1"/>
    <w:rsid w:val="00C67A83"/>
    <w:rsid w:val="00C710C1"/>
    <w:rsid w:val="00C71455"/>
    <w:rsid w:val="00C72233"/>
    <w:rsid w:val="00C722E5"/>
    <w:rsid w:val="00C72839"/>
    <w:rsid w:val="00C72FA2"/>
    <w:rsid w:val="00C7329B"/>
    <w:rsid w:val="00C73476"/>
    <w:rsid w:val="00C73C5F"/>
    <w:rsid w:val="00C7537A"/>
    <w:rsid w:val="00C759D9"/>
    <w:rsid w:val="00C76AE6"/>
    <w:rsid w:val="00C80CA8"/>
    <w:rsid w:val="00C80CFA"/>
    <w:rsid w:val="00C812B8"/>
    <w:rsid w:val="00C814FE"/>
    <w:rsid w:val="00C818A3"/>
    <w:rsid w:val="00C82288"/>
    <w:rsid w:val="00C8238A"/>
    <w:rsid w:val="00C827E2"/>
    <w:rsid w:val="00C84AB3"/>
    <w:rsid w:val="00C85FD9"/>
    <w:rsid w:val="00C86440"/>
    <w:rsid w:val="00C866A2"/>
    <w:rsid w:val="00C86D27"/>
    <w:rsid w:val="00C86D6A"/>
    <w:rsid w:val="00C87152"/>
    <w:rsid w:val="00C87615"/>
    <w:rsid w:val="00C87672"/>
    <w:rsid w:val="00C87D8D"/>
    <w:rsid w:val="00C87EC7"/>
    <w:rsid w:val="00C91800"/>
    <w:rsid w:val="00C91CC0"/>
    <w:rsid w:val="00C93019"/>
    <w:rsid w:val="00C930F3"/>
    <w:rsid w:val="00C93A9E"/>
    <w:rsid w:val="00C93D86"/>
    <w:rsid w:val="00C93FA9"/>
    <w:rsid w:val="00C94380"/>
    <w:rsid w:val="00C94894"/>
    <w:rsid w:val="00C94C1A"/>
    <w:rsid w:val="00C953A9"/>
    <w:rsid w:val="00C97857"/>
    <w:rsid w:val="00CA00AF"/>
    <w:rsid w:val="00CA0B43"/>
    <w:rsid w:val="00CA0E9C"/>
    <w:rsid w:val="00CA3E1E"/>
    <w:rsid w:val="00CA4672"/>
    <w:rsid w:val="00CA5733"/>
    <w:rsid w:val="00CA66AF"/>
    <w:rsid w:val="00CA6796"/>
    <w:rsid w:val="00CA6863"/>
    <w:rsid w:val="00CA7817"/>
    <w:rsid w:val="00CA79AF"/>
    <w:rsid w:val="00CA7C96"/>
    <w:rsid w:val="00CB0295"/>
    <w:rsid w:val="00CB033A"/>
    <w:rsid w:val="00CB08EE"/>
    <w:rsid w:val="00CB1913"/>
    <w:rsid w:val="00CB2562"/>
    <w:rsid w:val="00CB56DC"/>
    <w:rsid w:val="00CB5D26"/>
    <w:rsid w:val="00CB5F46"/>
    <w:rsid w:val="00CB6111"/>
    <w:rsid w:val="00CB6406"/>
    <w:rsid w:val="00CB72BF"/>
    <w:rsid w:val="00CB72F6"/>
    <w:rsid w:val="00CB7839"/>
    <w:rsid w:val="00CB7B82"/>
    <w:rsid w:val="00CC09BA"/>
    <w:rsid w:val="00CC118C"/>
    <w:rsid w:val="00CC1B71"/>
    <w:rsid w:val="00CC2784"/>
    <w:rsid w:val="00CC309E"/>
    <w:rsid w:val="00CC348F"/>
    <w:rsid w:val="00CC471F"/>
    <w:rsid w:val="00CC5A48"/>
    <w:rsid w:val="00CC5C35"/>
    <w:rsid w:val="00CC672E"/>
    <w:rsid w:val="00CC6B1D"/>
    <w:rsid w:val="00CC6CEF"/>
    <w:rsid w:val="00CC782D"/>
    <w:rsid w:val="00CC794C"/>
    <w:rsid w:val="00CD0949"/>
    <w:rsid w:val="00CD0B97"/>
    <w:rsid w:val="00CD0CA8"/>
    <w:rsid w:val="00CD0D55"/>
    <w:rsid w:val="00CD0DB9"/>
    <w:rsid w:val="00CD1130"/>
    <w:rsid w:val="00CD188B"/>
    <w:rsid w:val="00CD2C1F"/>
    <w:rsid w:val="00CD2FA7"/>
    <w:rsid w:val="00CD373B"/>
    <w:rsid w:val="00CD46EB"/>
    <w:rsid w:val="00CD4CBE"/>
    <w:rsid w:val="00CD5577"/>
    <w:rsid w:val="00CD5DA7"/>
    <w:rsid w:val="00CD6447"/>
    <w:rsid w:val="00CD6F13"/>
    <w:rsid w:val="00CD7A53"/>
    <w:rsid w:val="00CD7A88"/>
    <w:rsid w:val="00CE08F0"/>
    <w:rsid w:val="00CE0A9A"/>
    <w:rsid w:val="00CE154C"/>
    <w:rsid w:val="00CE20A1"/>
    <w:rsid w:val="00CE3412"/>
    <w:rsid w:val="00CE3740"/>
    <w:rsid w:val="00CE4123"/>
    <w:rsid w:val="00CE43C4"/>
    <w:rsid w:val="00CE4403"/>
    <w:rsid w:val="00CE54F5"/>
    <w:rsid w:val="00CE55A0"/>
    <w:rsid w:val="00CE5689"/>
    <w:rsid w:val="00CE5D02"/>
    <w:rsid w:val="00CE65BC"/>
    <w:rsid w:val="00CE6D30"/>
    <w:rsid w:val="00CE76A3"/>
    <w:rsid w:val="00CE7D93"/>
    <w:rsid w:val="00CE7E29"/>
    <w:rsid w:val="00CE7F02"/>
    <w:rsid w:val="00CF09FC"/>
    <w:rsid w:val="00CF0B5D"/>
    <w:rsid w:val="00CF0FF9"/>
    <w:rsid w:val="00CF1A33"/>
    <w:rsid w:val="00CF2ED6"/>
    <w:rsid w:val="00CF2F68"/>
    <w:rsid w:val="00CF2FF0"/>
    <w:rsid w:val="00CF31A6"/>
    <w:rsid w:val="00CF39A7"/>
    <w:rsid w:val="00CF41F7"/>
    <w:rsid w:val="00CF4BD2"/>
    <w:rsid w:val="00CF6255"/>
    <w:rsid w:val="00CF6A02"/>
    <w:rsid w:val="00CF7137"/>
    <w:rsid w:val="00CF7EB1"/>
    <w:rsid w:val="00D00758"/>
    <w:rsid w:val="00D0090E"/>
    <w:rsid w:val="00D00A7E"/>
    <w:rsid w:val="00D01218"/>
    <w:rsid w:val="00D0123A"/>
    <w:rsid w:val="00D013D5"/>
    <w:rsid w:val="00D01BCD"/>
    <w:rsid w:val="00D020DE"/>
    <w:rsid w:val="00D0265E"/>
    <w:rsid w:val="00D02712"/>
    <w:rsid w:val="00D02D23"/>
    <w:rsid w:val="00D02D6A"/>
    <w:rsid w:val="00D03A8B"/>
    <w:rsid w:val="00D0413E"/>
    <w:rsid w:val="00D05092"/>
    <w:rsid w:val="00D051E7"/>
    <w:rsid w:val="00D05D27"/>
    <w:rsid w:val="00D07CC0"/>
    <w:rsid w:val="00D10382"/>
    <w:rsid w:val="00D104D1"/>
    <w:rsid w:val="00D10AEE"/>
    <w:rsid w:val="00D10E87"/>
    <w:rsid w:val="00D10F5E"/>
    <w:rsid w:val="00D124DE"/>
    <w:rsid w:val="00D1259D"/>
    <w:rsid w:val="00D13D80"/>
    <w:rsid w:val="00D142ED"/>
    <w:rsid w:val="00D1450C"/>
    <w:rsid w:val="00D1493F"/>
    <w:rsid w:val="00D14E8F"/>
    <w:rsid w:val="00D151D2"/>
    <w:rsid w:val="00D1523F"/>
    <w:rsid w:val="00D15C77"/>
    <w:rsid w:val="00D16309"/>
    <w:rsid w:val="00D17A77"/>
    <w:rsid w:val="00D20301"/>
    <w:rsid w:val="00D203A8"/>
    <w:rsid w:val="00D20A1C"/>
    <w:rsid w:val="00D20EEB"/>
    <w:rsid w:val="00D21213"/>
    <w:rsid w:val="00D2144D"/>
    <w:rsid w:val="00D21B5D"/>
    <w:rsid w:val="00D22D28"/>
    <w:rsid w:val="00D23A18"/>
    <w:rsid w:val="00D24319"/>
    <w:rsid w:val="00D24B15"/>
    <w:rsid w:val="00D24BDA"/>
    <w:rsid w:val="00D256DB"/>
    <w:rsid w:val="00D2575A"/>
    <w:rsid w:val="00D25DC3"/>
    <w:rsid w:val="00D263C3"/>
    <w:rsid w:val="00D264D4"/>
    <w:rsid w:val="00D2665B"/>
    <w:rsid w:val="00D271E3"/>
    <w:rsid w:val="00D27C2B"/>
    <w:rsid w:val="00D27F50"/>
    <w:rsid w:val="00D3013E"/>
    <w:rsid w:val="00D30C2D"/>
    <w:rsid w:val="00D31386"/>
    <w:rsid w:val="00D316E1"/>
    <w:rsid w:val="00D31908"/>
    <w:rsid w:val="00D31B12"/>
    <w:rsid w:val="00D31EB8"/>
    <w:rsid w:val="00D323E3"/>
    <w:rsid w:val="00D328A4"/>
    <w:rsid w:val="00D32C03"/>
    <w:rsid w:val="00D3438A"/>
    <w:rsid w:val="00D34482"/>
    <w:rsid w:val="00D347AE"/>
    <w:rsid w:val="00D356C4"/>
    <w:rsid w:val="00D3662C"/>
    <w:rsid w:val="00D37461"/>
    <w:rsid w:val="00D3778F"/>
    <w:rsid w:val="00D401D6"/>
    <w:rsid w:val="00D40844"/>
    <w:rsid w:val="00D40B80"/>
    <w:rsid w:val="00D40E04"/>
    <w:rsid w:val="00D424C2"/>
    <w:rsid w:val="00D42644"/>
    <w:rsid w:val="00D4303F"/>
    <w:rsid w:val="00D4324E"/>
    <w:rsid w:val="00D4357C"/>
    <w:rsid w:val="00D4359A"/>
    <w:rsid w:val="00D445CB"/>
    <w:rsid w:val="00D44F43"/>
    <w:rsid w:val="00D4590F"/>
    <w:rsid w:val="00D45C98"/>
    <w:rsid w:val="00D461F2"/>
    <w:rsid w:val="00D46328"/>
    <w:rsid w:val="00D46634"/>
    <w:rsid w:val="00D46B68"/>
    <w:rsid w:val="00D4707A"/>
    <w:rsid w:val="00D47081"/>
    <w:rsid w:val="00D47172"/>
    <w:rsid w:val="00D4729B"/>
    <w:rsid w:val="00D501E7"/>
    <w:rsid w:val="00D51A2E"/>
    <w:rsid w:val="00D53227"/>
    <w:rsid w:val="00D5399E"/>
    <w:rsid w:val="00D53FB5"/>
    <w:rsid w:val="00D55746"/>
    <w:rsid w:val="00D569B9"/>
    <w:rsid w:val="00D56C49"/>
    <w:rsid w:val="00D56CD7"/>
    <w:rsid w:val="00D60F5D"/>
    <w:rsid w:val="00D61132"/>
    <w:rsid w:val="00D61AB8"/>
    <w:rsid w:val="00D6248C"/>
    <w:rsid w:val="00D624A1"/>
    <w:rsid w:val="00D62E86"/>
    <w:rsid w:val="00D63240"/>
    <w:rsid w:val="00D642A0"/>
    <w:rsid w:val="00D651AC"/>
    <w:rsid w:val="00D65C1C"/>
    <w:rsid w:val="00D65F20"/>
    <w:rsid w:val="00D66C62"/>
    <w:rsid w:val="00D66D5B"/>
    <w:rsid w:val="00D700AC"/>
    <w:rsid w:val="00D70344"/>
    <w:rsid w:val="00D704D1"/>
    <w:rsid w:val="00D70F2F"/>
    <w:rsid w:val="00D71FF9"/>
    <w:rsid w:val="00D7330D"/>
    <w:rsid w:val="00D73F5F"/>
    <w:rsid w:val="00D74AB1"/>
    <w:rsid w:val="00D765A4"/>
    <w:rsid w:val="00D7666B"/>
    <w:rsid w:val="00D77A78"/>
    <w:rsid w:val="00D77C0C"/>
    <w:rsid w:val="00D80376"/>
    <w:rsid w:val="00D805FF"/>
    <w:rsid w:val="00D81F1E"/>
    <w:rsid w:val="00D81F79"/>
    <w:rsid w:val="00D83631"/>
    <w:rsid w:val="00D836C0"/>
    <w:rsid w:val="00D84D09"/>
    <w:rsid w:val="00D84ED8"/>
    <w:rsid w:val="00D866DF"/>
    <w:rsid w:val="00D872FE"/>
    <w:rsid w:val="00D8731B"/>
    <w:rsid w:val="00D8743F"/>
    <w:rsid w:val="00D8753E"/>
    <w:rsid w:val="00D91B6C"/>
    <w:rsid w:val="00D91B9E"/>
    <w:rsid w:val="00D91BD7"/>
    <w:rsid w:val="00D94FCD"/>
    <w:rsid w:val="00D955AE"/>
    <w:rsid w:val="00D95911"/>
    <w:rsid w:val="00D9592A"/>
    <w:rsid w:val="00D960BF"/>
    <w:rsid w:val="00D96FDA"/>
    <w:rsid w:val="00D97273"/>
    <w:rsid w:val="00DA0B55"/>
    <w:rsid w:val="00DA0FED"/>
    <w:rsid w:val="00DA2979"/>
    <w:rsid w:val="00DA2E29"/>
    <w:rsid w:val="00DA2FF9"/>
    <w:rsid w:val="00DA5542"/>
    <w:rsid w:val="00DA59BD"/>
    <w:rsid w:val="00DA6556"/>
    <w:rsid w:val="00DA6672"/>
    <w:rsid w:val="00DA67D6"/>
    <w:rsid w:val="00DA6856"/>
    <w:rsid w:val="00DA702E"/>
    <w:rsid w:val="00DA7E52"/>
    <w:rsid w:val="00DB0319"/>
    <w:rsid w:val="00DB0A66"/>
    <w:rsid w:val="00DB0C3D"/>
    <w:rsid w:val="00DB0D7B"/>
    <w:rsid w:val="00DB0E14"/>
    <w:rsid w:val="00DB110E"/>
    <w:rsid w:val="00DB2912"/>
    <w:rsid w:val="00DB35AC"/>
    <w:rsid w:val="00DB3BF9"/>
    <w:rsid w:val="00DB4157"/>
    <w:rsid w:val="00DB4E55"/>
    <w:rsid w:val="00DB50B7"/>
    <w:rsid w:val="00DB5787"/>
    <w:rsid w:val="00DB59D3"/>
    <w:rsid w:val="00DB5AC0"/>
    <w:rsid w:val="00DB5DD4"/>
    <w:rsid w:val="00DB6C20"/>
    <w:rsid w:val="00DB70FD"/>
    <w:rsid w:val="00DC0383"/>
    <w:rsid w:val="00DC065C"/>
    <w:rsid w:val="00DC0DFF"/>
    <w:rsid w:val="00DC195A"/>
    <w:rsid w:val="00DC21CB"/>
    <w:rsid w:val="00DC515C"/>
    <w:rsid w:val="00DC57C5"/>
    <w:rsid w:val="00DC5B2E"/>
    <w:rsid w:val="00DC637D"/>
    <w:rsid w:val="00DC6BA3"/>
    <w:rsid w:val="00DC7010"/>
    <w:rsid w:val="00DC717E"/>
    <w:rsid w:val="00DC75A6"/>
    <w:rsid w:val="00DD12AB"/>
    <w:rsid w:val="00DD29E1"/>
    <w:rsid w:val="00DD3BC3"/>
    <w:rsid w:val="00DD3FDA"/>
    <w:rsid w:val="00DD42F2"/>
    <w:rsid w:val="00DD6EB8"/>
    <w:rsid w:val="00DD7BBC"/>
    <w:rsid w:val="00DE009E"/>
    <w:rsid w:val="00DE064B"/>
    <w:rsid w:val="00DE15E9"/>
    <w:rsid w:val="00DE38A6"/>
    <w:rsid w:val="00DE39D2"/>
    <w:rsid w:val="00DE3D0A"/>
    <w:rsid w:val="00DE522F"/>
    <w:rsid w:val="00DE5C45"/>
    <w:rsid w:val="00DE5DC9"/>
    <w:rsid w:val="00DE5DD2"/>
    <w:rsid w:val="00DE73D8"/>
    <w:rsid w:val="00DE746A"/>
    <w:rsid w:val="00DE799F"/>
    <w:rsid w:val="00DE7F27"/>
    <w:rsid w:val="00DF01C0"/>
    <w:rsid w:val="00DF0C83"/>
    <w:rsid w:val="00DF149F"/>
    <w:rsid w:val="00DF1F18"/>
    <w:rsid w:val="00DF4C56"/>
    <w:rsid w:val="00DF5075"/>
    <w:rsid w:val="00DF64AE"/>
    <w:rsid w:val="00DF6991"/>
    <w:rsid w:val="00DF7048"/>
    <w:rsid w:val="00E005D2"/>
    <w:rsid w:val="00E00643"/>
    <w:rsid w:val="00E0281B"/>
    <w:rsid w:val="00E03B9D"/>
    <w:rsid w:val="00E04932"/>
    <w:rsid w:val="00E0494E"/>
    <w:rsid w:val="00E04F88"/>
    <w:rsid w:val="00E04F97"/>
    <w:rsid w:val="00E051E5"/>
    <w:rsid w:val="00E05424"/>
    <w:rsid w:val="00E057C4"/>
    <w:rsid w:val="00E05F1B"/>
    <w:rsid w:val="00E05FCD"/>
    <w:rsid w:val="00E06FB9"/>
    <w:rsid w:val="00E071F1"/>
    <w:rsid w:val="00E07FC7"/>
    <w:rsid w:val="00E10377"/>
    <w:rsid w:val="00E10F93"/>
    <w:rsid w:val="00E115B8"/>
    <w:rsid w:val="00E11B87"/>
    <w:rsid w:val="00E11C0D"/>
    <w:rsid w:val="00E1242D"/>
    <w:rsid w:val="00E133CE"/>
    <w:rsid w:val="00E14298"/>
    <w:rsid w:val="00E145B7"/>
    <w:rsid w:val="00E14714"/>
    <w:rsid w:val="00E14BCC"/>
    <w:rsid w:val="00E15067"/>
    <w:rsid w:val="00E15174"/>
    <w:rsid w:val="00E15714"/>
    <w:rsid w:val="00E15947"/>
    <w:rsid w:val="00E16FF7"/>
    <w:rsid w:val="00E17C08"/>
    <w:rsid w:val="00E17F06"/>
    <w:rsid w:val="00E204CE"/>
    <w:rsid w:val="00E2063F"/>
    <w:rsid w:val="00E20BCD"/>
    <w:rsid w:val="00E21607"/>
    <w:rsid w:val="00E22355"/>
    <w:rsid w:val="00E22640"/>
    <w:rsid w:val="00E22DAE"/>
    <w:rsid w:val="00E22EE7"/>
    <w:rsid w:val="00E2308E"/>
    <w:rsid w:val="00E2374C"/>
    <w:rsid w:val="00E24007"/>
    <w:rsid w:val="00E24426"/>
    <w:rsid w:val="00E249ED"/>
    <w:rsid w:val="00E2503A"/>
    <w:rsid w:val="00E25375"/>
    <w:rsid w:val="00E25E3B"/>
    <w:rsid w:val="00E26247"/>
    <w:rsid w:val="00E2667C"/>
    <w:rsid w:val="00E26979"/>
    <w:rsid w:val="00E27F7C"/>
    <w:rsid w:val="00E30345"/>
    <w:rsid w:val="00E30946"/>
    <w:rsid w:val="00E30E47"/>
    <w:rsid w:val="00E30ED6"/>
    <w:rsid w:val="00E329FC"/>
    <w:rsid w:val="00E32BB8"/>
    <w:rsid w:val="00E33850"/>
    <w:rsid w:val="00E33C81"/>
    <w:rsid w:val="00E33CE8"/>
    <w:rsid w:val="00E34169"/>
    <w:rsid w:val="00E342A1"/>
    <w:rsid w:val="00E34782"/>
    <w:rsid w:val="00E34CF0"/>
    <w:rsid w:val="00E34D60"/>
    <w:rsid w:val="00E3518F"/>
    <w:rsid w:val="00E35E6A"/>
    <w:rsid w:val="00E37512"/>
    <w:rsid w:val="00E3794F"/>
    <w:rsid w:val="00E408D6"/>
    <w:rsid w:val="00E41C29"/>
    <w:rsid w:val="00E41E5E"/>
    <w:rsid w:val="00E426A9"/>
    <w:rsid w:val="00E4342C"/>
    <w:rsid w:val="00E43F5B"/>
    <w:rsid w:val="00E454A1"/>
    <w:rsid w:val="00E456C1"/>
    <w:rsid w:val="00E45F37"/>
    <w:rsid w:val="00E46251"/>
    <w:rsid w:val="00E46671"/>
    <w:rsid w:val="00E46CCA"/>
    <w:rsid w:val="00E502F7"/>
    <w:rsid w:val="00E5115C"/>
    <w:rsid w:val="00E515DB"/>
    <w:rsid w:val="00E51E77"/>
    <w:rsid w:val="00E52243"/>
    <w:rsid w:val="00E522A8"/>
    <w:rsid w:val="00E522E3"/>
    <w:rsid w:val="00E53965"/>
    <w:rsid w:val="00E53E07"/>
    <w:rsid w:val="00E53E6C"/>
    <w:rsid w:val="00E5417D"/>
    <w:rsid w:val="00E545E6"/>
    <w:rsid w:val="00E54A69"/>
    <w:rsid w:val="00E555E3"/>
    <w:rsid w:val="00E5643A"/>
    <w:rsid w:val="00E5649D"/>
    <w:rsid w:val="00E564C0"/>
    <w:rsid w:val="00E5790B"/>
    <w:rsid w:val="00E60748"/>
    <w:rsid w:val="00E61956"/>
    <w:rsid w:val="00E6197D"/>
    <w:rsid w:val="00E61B3A"/>
    <w:rsid w:val="00E628A6"/>
    <w:rsid w:val="00E62E85"/>
    <w:rsid w:val="00E63C31"/>
    <w:rsid w:val="00E63E14"/>
    <w:rsid w:val="00E6448B"/>
    <w:rsid w:val="00E64750"/>
    <w:rsid w:val="00E64C7B"/>
    <w:rsid w:val="00E657AA"/>
    <w:rsid w:val="00E6589B"/>
    <w:rsid w:val="00E66A74"/>
    <w:rsid w:val="00E66B15"/>
    <w:rsid w:val="00E672E7"/>
    <w:rsid w:val="00E67AB9"/>
    <w:rsid w:val="00E67AD1"/>
    <w:rsid w:val="00E67FB1"/>
    <w:rsid w:val="00E70668"/>
    <w:rsid w:val="00E70F77"/>
    <w:rsid w:val="00E71DA1"/>
    <w:rsid w:val="00E7250B"/>
    <w:rsid w:val="00E735E6"/>
    <w:rsid w:val="00E73982"/>
    <w:rsid w:val="00E73F6D"/>
    <w:rsid w:val="00E73F77"/>
    <w:rsid w:val="00E74D02"/>
    <w:rsid w:val="00E751F9"/>
    <w:rsid w:val="00E756E3"/>
    <w:rsid w:val="00E757FC"/>
    <w:rsid w:val="00E75857"/>
    <w:rsid w:val="00E75CAD"/>
    <w:rsid w:val="00E769A3"/>
    <w:rsid w:val="00E7798C"/>
    <w:rsid w:val="00E779E0"/>
    <w:rsid w:val="00E77D59"/>
    <w:rsid w:val="00E80A0F"/>
    <w:rsid w:val="00E80EB7"/>
    <w:rsid w:val="00E81D9F"/>
    <w:rsid w:val="00E82149"/>
    <w:rsid w:val="00E82BDE"/>
    <w:rsid w:val="00E82CB4"/>
    <w:rsid w:val="00E8323B"/>
    <w:rsid w:val="00E83E7C"/>
    <w:rsid w:val="00E84B33"/>
    <w:rsid w:val="00E852F9"/>
    <w:rsid w:val="00E86170"/>
    <w:rsid w:val="00E86A56"/>
    <w:rsid w:val="00E87B59"/>
    <w:rsid w:val="00E9091C"/>
    <w:rsid w:val="00E92171"/>
    <w:rsid w:val="00E92E24"/>
    <w:rsid w:val="00E93686"/>
    <w:rsid w:val="00E9437C"/>
    <w:rsid w:val="00E94688"/>
    <w:rsid w:val="00E94AEC"/>
    <w:rsid w:val="00E95E2F"/>
    <w:rsid w:val="00E96A90"/>
    <w:rsid w:val="00E96BE4"/>
    <w:rsid w:val="00E96C2D"/>
    <w:rsid w:val="00E9737E"/>
    <w:rsid w:val="00EA0F46"/>
    <w:rsid w:val="00EA1323"/>
    <w:rsid w:val="00EA14F8"/>
    <w:rsid w:val="00EA18A5"/>
    <w:rsid w:val="00EA19BD"/>
    <w:rsid w:val="00EA1E5E"/>
    <w:rsid w:val="00EA2357"/>
    <w:rsid w:val="00EA25D9"/>
    <w:rsid w:val="00EA31AC"/>
    <w:rsid w:val="00EA439D"/>
    <w:rsid w:val="00EA4679"/>
    <w:rsid w:val="00EA512B"/>
    <w:rsid w:val="00EA5886"/>
    <w:rsid w:val="00EA6772"/>
    <w:rsid w:val="00EA6B12"/>
    <w:rsid w:val="00EA6C27"/>
    <w:rsid w:val="00EA729E"/>
    <w:rsid w:val="00EA72E9"/>
    <w:rsid w:val="00EA7939"/>
    <w:rsid w:val="00EA7C0E"/>
    <w:rsid w:val="00EA7C26"/>
    <w:rsid w:val="00EB0986"/>
    <w:rsid w:val="00EB0D2A"/>
    <w:rsid w:val="00EB1F7B"/>
    <w:rsid w:val="00EB2128"/>
    <w:rsid w:val="00EB233D"/>
    <w:rsid w:val="00EB250C"/>
    <w:rsid w:val="00EB3107"/>
    <w:rsid w:val="00EB3856"/>
    <w:rsid w:val="00EB3E56"/>
    <w:rsid w:val="00EB4048"/>
    <w:rsid w:val="00EB4C9B"/>
    <w:rsid w:val="00EB4CA3"/>
    <w:rsid w:val="00EB4FB5"/>
    <w:rsid w:val="00EB56A2"/>
    <w:rsid w:val="00EB5EE9"/>
    <w:rsid w:val="00EB60C7"/>
    <w:rsid w:val="00EB638F"/>
    <w:rsid w:val="00EB6821"/>
    <w:rsid w:val="00EB6B23"/>
    <w:rsid w:val="00EB6C98"/>
    <w:rsid w:val="00EB7CBB"/>
    <w:rsid w:val="00EB7FC9"/>
    <w:rsid w:val="00EC130D"/>
    <w:rsid w:val="00EC1875"/>
    <w:rsid w:val="00EC1FC3"/>
    <w:rsid w:val="00EC2EE6"/>
    <w:rsid w:val="00EC5617"/>
    <w:rsid w:val="00EC6339"/>
    <w:rsid w:val="00EC6C39"/>
    <w:rsid w:val="00EC7A1A"/>
    <w:rsid w:val="00EC7AE6"/>
    <w:rsid w:val="00ED1907"/>
    <w:rsid w:val="00ED21C6"/>
    <w:rsid w:val="00ED2735"/>
    <w:rsid w:val="00ED2A99"/>
    <w:rsid w:val="00ED3133"/>
    <w:rsid w:val="00ED5835"/>
    <w:rsid w:val="00ED58E5"/>
    <w:rsid w:val="00ED5A87"/>
    <w:rsid w:val="00ED5E27"/>
    <w:rsid w:val="00ED5E92"/>
    <w:rsid w:val="00ED6777"/>
    <w:rsid w:val="00ED67AA"/>
    <w:rsid w:val="00ED73A7"/>
    <w:rsid w:val="00EE05C7"/>
    <w:rsid w:val="00EE0C74"/>
    <w:rsid w:val="00EE0CB5"/>
    <w:rsid w:val="00EE12C1"/>
    <w:rsid w:val="00EE1687"/>
    <w:rsid w:val="00EE29CA"/>
    <w:rsid w:val="00EE2D1E"/>
    <w:rsid w:val="00EE3D05"/>
    <w:rsid w:val="00EE40A5"/>
    <w:rsid w:val="00EE4611"/>
    <w:rsid w:val="00EE4AA9"/>
    <w:rsid w:val="00EE537D"/>
    <w:rsid w:val="00EE7737"/>
    <w:rsid w:val="00EE7A69"/>
    <w:rsid w:val="00EE7B33"/>
    <w:rsid w:val="00EE7CF1"/>
    <w:rsid w:val="00EF0E2B"/>
    <w:rsid w:val="00EF1035"/>
    <w:rsid w:val="00EF149B"/>
    <w:rsid w:val="00EF183F"/>
    <w:rsid w:val="00EF2184"/>
    <w:rsid w:val="00EF250E"/>
    <w:rsid w:val="00EF2916"/>
    <w:rsid w:val="00EF31C2"/>
    <w:rsid w:val="00EF35A8"/>
    <w:rsid w:val="00EF3683"/>
    <w:rsid w:val="00EF3AB4"/>
    <w:rsid w:val="00EF3D3F"/>
    <w:rsid w:val="00EF47D2"/>
    <w:rsid w:val="00EF4904"/>
    <w:rsid w:val="00EF4CB9"/>
    <w:rsid w:val="00EF5F71"/>
    <w:rsid w:val="00EF62C6"/>
    <w:rsid w:val="00EF6DE7"/>
    <w:rsid w:val="00F000BA"/>
    <w:rsid w:val="00F00642"/>
    <w:rsid w:val="00F03105"/>
    <w:rsid w:val="00F032E1"/>
    <w:rsid w:val="00F0355D"/>
    <w:rsid w:val="00F04078"/>
    <w:rsid w:val="00F04393"/>
    <w:rsid w:val="00F04768"/>
    <w:rsid w:val="00F05DF7"/>
    <w:rsid w:val="00F06374"/>
    <w:rsid w:val="00F06C5A"/>
    <w:rsid w:val="00F0745D"/>
    <w:rsid w:val="00F07F46"/>
    <w:rsid w:val="00F11F71"/>
    <w:rsid w:val="00F12BB4"/>
    <w:rsid w:val="00F13526"/>
    <w:rsid w:val="00F137A0"/>
    <w:rsid w:val="00F137F7"/>
    <w:rsid w:val="00F14106"/>
    <w:rsid w:val="00F14B57"/>
    <w:rsid w:val="00F164C8"/>
    <w:rsid w:val="00F1752D"/>
    <w:rsid w:val="00F17E3C"/>
    <w:rsid w:val="00F204A9"/>
    <w:rsid w:val="00F20B70"/>
    <w:rsid w:val="00F2227A"/>
    <w:rsid w:val="00F238C3"/>
    <w:rsid w:val="00F23DB6"/>
    <w:rsid w:val="00F24096"/>
    <w:rsid w:val="00F24C04"/>
    <w:rsid w:val="00F24CA2"/>
    <w:rsid w:val="00F24F75"/>
    <w:rsid w:val="00F26392"/>
    <w:rsid w:val="00F26682"/>
    <w:rsid w:val="00F26BB4"/>
    <w:rsid w:val="00F272C8"/>
    <w:rsid w:val="00F27697"/>
    <w:rsid w:val="00F27EC1"/>
    <w:rsid w:val="00F30D92"/>
    <w:rsid w:val="00F30E04"/>
    <w:rsid w:val="00F32690"/>
    <w:rsid w:val="00F32AFC"/>
    <w:rsid w:val="00F33530"/>
    <w:rsid w:val="00F336DE"/>
    <w:rsid w:val="00F337EA"/>
    <w:rsid w:val="00F33B0B"/>
    <w:rsid w:val="00F343E8"/>
    <w:rsid w:val="00F364A3"/>
    <w:rsid w:val="00F36616"/>
    <w:rsid w:val="00F41D76"/>
    <w:rsid w:val="00F42031"/>
    <w:rsid w:val="00F421E8"/>
    <w:rsid w:val="00F43975"/>
    <w:rsid w:val="00F44E08"/>
    <w:rsid w:val="00F45966"/>
    <w:rsid w:val="00F462CE"/>
    <w:rsid w:val="00F47A29"/>
    <w:rsid w:val="00F50231"/>
    <w:rsid w:val="00F502AF"/>
    <w:rsid w:val="00F50F30"/>
    <w:rsid w:val="00F526DF"/>
    <w:rsid w:val="00F5494F"/>
    <w:rsid w:val="00F550BE"/>
    <w:rsid w:val="00F55E26"/>
    <w:rsid w:val="00F56697"/>
    <w:rsid w:val="00F56BC4"/>
    <w:rsid w:val="00F578EF"/>
    <w:rsid w:val="00F603FA"/>
    <w:rsid w:val="00F61579"/>
    <w:rsid w:val="00F616AF"/>
    <w:rsid w:val="00F61F33"/>
    <w:rsid w:val="00F63471"/>
    <w:rsid w:val="00F63932"/>
    <w:rsid w:val="00F63A99"/>
    <w:rsid w:val="00F63B2C"/>
    <w:rsid w:val="00F641E4"/>
    <w:rsid w:val="00F6460A"/>
    <w:rsid w:val="00F6470F"/>
    <w:rsid w:val="00F64DEE"/>
    <w:rsid w:val="00F65C10"/>
    <w:rsid w:val="00F65D30"/>
    <w:rsid w:val="00F65FE6"/>
    <w:rsid w:val="00F667F1"/>
    <w:rsid w:val="00F67801"/>
    <w:rsid w:val="00F705DB"/>
    <w:rsid w:val="00F7099E"/>
    <w:rsid w:val="00F712C9"/>
    <w:rsid w:val="00F71465"/>
    <w:rsid w:val="00F71DC8"/>
    <w:rsid w:val="00F7201D"/>
    <w:rsid w:val="00F7209C"/>
    <w:rsid w:val="00F72B0E"/>
    <w:rsid w:val="00F733FB"/>
    <w:rsid w:val="00F733FD"/>
    <w:rsid w:val="00F73796"/>
    <w:rsid w:val="00F73B89"/>
    <w:rsid w:val="00F73C21"/>
    <w:rsid w:val="00F74615"/>
    <w:rsid w:val="00F74A0C"/>
    <w:rsid w:val="00F75BA9"/>
    <w:rsid w:val="00F75D81"/>
    <w:rsid w:val="00F76146"/>
    <w:rsid w:val="00F76159"/>
    <w:rsid w:val="00F77868"/>
    <w:rsid w:val="00F8078A"/>
    <w:rsid w:val="00F80AB2"/>
    <w:rsid w:val="00F80B05"/>
    <w:rsid w:val="00F8132D"/>
    <w:rsid w:val="00F81A82"/>
    <w:rsid w:val="00F81FE6"/>
    <w:rsid w:val="00F82388"/>
    <w:rsid w:val="00F82BE6"/>
    <w:rsid w:val="00F834A6"/>
    <w:rsid w:val="00F841B9"/>
    <w:rsid w:val="00F862D0"/>
    <w:rsid w:val="00F867E4"/>
    <w:rsid w:val="00F86B19"/>
    <w:rsid w:val="00F86D6D"/>
    <w:rsid w:val="00F871C9"/>
    <w:rsid w:val="00F87404"/>
    <w:rsid w:val="00F87E42"/>
    <w:rsid w:val="00F90593"/>
    <w:rsid w:val="00F908B5"/>
    <w:rsid w:val="00F90DD2"/>
    <w:rsid w:val="00F9139E"/>
    <w:rsid w:val="00F9351B"/>
    <w:rsid w:val="00F93EEA"/>
    <w:rsid w:val="00F94530"/>
    <w:rsid w:val="00F94810"/>
    <w:rsid w:val="00F95265"/>
    <w:rsid w:val="00F955C7"/>
    <w:rsid w:val="00F969D1"/>
    <w:rsid w:val="00F96A2F"/>
    <w:rsid w:val="00F96B58"/>
    <w:rsid w:val="00F96D06"/>
    <w:rsid w:val="00F9711A"/>
    <w:rsid w:val="00F97ABD"/>
    <w:rsid w:val="00FA09D8"/>
    <w:rsid w:val="00FA0CBD"/>
    <w:rsid w:val="00FA0F33"/>
    <w:rsid w:val="00FA0F9C"/>
    <w:rsid w:val="00FA18FA"/>
    <w:rsid w:val="00FA2518"/>
    <w:rsid w:val="00FA306A"/>
    <w:rsid w:val="00FA338A"/>
    <w:rsid w:val="00FA33DF"/>
    <w:rsid w:val="00FA3ACF"/>
    <w:rsid w:val="00FA4B9D"/>
    <w:rsid w:val="00FA567A"/>
    <w:rsid w:val="00FA6344"/>
    <w:rsid w:val="00FA6676"/>
    <w:rsid w:val="00FA7103"/>
    <w:rsid w:val="00FA75F1"/>
    <w:rsid w:val="00FB0090"/>
    <w:rsid w:val="00FB02EE"/>
    <w:rsid w:val="00FB1292"/>
    <w:rsid w:val="00FB1A53"/>
    <w:rsid w:val="00FB280C"/>
    <w:rsid w:val="00FB2930"/>
    <w:rsid w:val="00FB34EE"/>
    <w:rsid w:val="00FB3D60"/>
    <w:rsid w:val="00FB405B"/>
    <w:rsid w:val="00FB5956"/>
    <w:rsid w:val="00FB6386"/>
    <w:rsid w:val="00FB6780"/>
    <w:rsid w:val="00FB7086"/>
    <w:rsid w:val="00FB775B"/>
    <w:rsid w:val="00FC04F6"/>
    <w:rsid w:val="00FC099F"/>
    <w:rsid w:val="00FC0EE2"/>
    <w:rsid w:val="00FC1016"/>
    <w:rsid w:val="00FC1882"/>
    <w:rsid w:val="00FC1DED"/>
    <w:rsid w:val="00FC21D2"/>
    <w:rsid w:val="00FC294F"/>
    <w:rsid w:val="00FC2A1B"/>
    <w:rsid w:val="00FC2B75"/>
    <w:rsid w:val="00FC312D"/>
    <w:rsid w:val="00FC3E1E"/>
    <w:rsid w:val="00FC4028"/>
    <w:rsid w:val="00FC4312"/>
    <w:rsid w:val="00FC48AB"/>
    <w:rsid w:val="00FC5A06"/>
    <w:rsid w:val="00FC68BA"/>
    <w:rsid w:val="00FC6BBA"/>
    <w:rsid w:val="00FD02B0"/>
    <w:rsid w:val="00FD0655"/>
    <w:rsid w:val="00FD13AD"/>
    <w:rsid w:val="00FD1769"/>
    <w:rsid w:val="00FD192F"/>
    <w:rsid w:val="00FD1D53"/>
    <w:rsid w:val="00FD36B8"/>
    <w:rsid w:val="00FD3749"/>
    <w:rsid w:val="00FD41E9"/>
    <w:rsid w:val="00FD426A"/>
    <w:rsid w:val="00FD436A"/>
    <w:rsid w:val="00FD45BF"/>
    <w:rsid w:val="00FD4619"/>
    <w:rsid w:val="00FD464C"/>
    <w:rsid w:val="00FD4F2E"/>
    <w:rsid w:val="00FD5BF8"/>
    <w:rsid w:val="00FD5D9C"/>
    <w:rsid w:val="00FD6164"/>
    <w:rsid w:val="00FD62FF"/>
    <w:rsid w:val="00FD6941"/>
    <w:rsid w:val="00FD6A39"/>
    <w:rsid w:val="00FD6DD0"/>
    <w:rsid w:val="00FD7231"/>
    <w:rsid w:val="00FD72A4"/>
    <w:rsid w:val="00FD7D86"/>
    <w:rsid w:val="00FE0D24"/>
    <w:rsid w:val="00FE1B79"/>
    <w:rsid w:val="00FE46B4"/>
    <w:rsid w:val="00FE4FB2"/>
    <w:rsid w:val="00FE514F"/>
    <w:rsid w:val="00FE5332"/>
    <w:rsid w:val="00FE5CF6"/>
    <w:rsid w:val="00FE5D6A"/>
    <w:rsid w:val="00FE61D6"/>
    <w:rsid w:val="00FE64F6"/>
    <w:rsid w:val="00FE68D5"/>
    <w:rsid w:val="00FE69AD"/>
    <w:rsid w:val="00FE6BC3"/>
    <w:rsid w:val="00FE7943"/>
    <w:rsid w:val="00FE7C2D"/>
    <w:rsid w:val="00FE7D5A"/>
    <w:rsid w:val="00FF0232"/>
    <w:rsid w:val="00FF0BAC"/>
    <w:rsid w:val="00FF18AF"/>
    <w:rsid w:val="00FF1C80"/>
    <w:rsid w:val="00FF22B1"/>
    <w:rsid w:val="00FF26A4"/>
    <w:rsid w:val="00FF38C5"/>
    <w:rsid w:val="00FF4979"/>
    <w:rsid w:val="00FF52E1"/>
    <w:rsid w:val="00FF58D0"/>
    <w:rsid w:val="00FF5CB3"/>
    <w:rsid w:val="00FF5D9C"/>
    <w:rsid w:val="00FF60A9"/>
    <w:rsid w:val="00FF6644"/>
    <w:rsid w:val="00FF7D00"/>
    <w:rsid w:val="0CF07141"/>
    <w:rsid w:val="0D856A2F"/>
    <w:rsid w:val="11C00535"/>
    <w:rsid w:val="14580491"/>
    <w:rsid w:val="2E674D7F"/>
    <w:rsid w:val="2F4A3437"/>
    <w:rsid w:val="35432AA3"/>
    <w:rsid w:val="3A3B7724"/>
    <w:rsid w:val="3C91222F"/>
    <w:rsid w:val="3E6D5913"/>
    <w:rsid w:val="3E8410A3"/>
    <w:rsid w:val="40544AF3"/>
    <w:rsid w:val="4231521A"/>
    <w:rsid w:val="59733EF3"/>
    <w:rsid w:val="5B4A4AF7"/>
    <w:rsid w:val="5BAA37E4"/>
    <w:rsid w:val="5F405DAE"/>
    <w:rsid w:val="60803497"/>
    <w:rsid w:val="6774004E"/>
    <w:rsid w:val="67D71931"/>
    <w:rsid w:val="6CA2551B"/>
    <w:rsid w:val="749E4A39"/>
    <w:rsid w:val="78504440"/>
    <w:rsid w:val="7CAF47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59"/>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175"/>
    <w:qFormat/>
    <w:uiPriority w:val="9"/>
    <w:pPr>
      <w:keepNext/>
      <w:keepLines/>
      <w:spacing w:before="260" w:after="260" w:line="416" w:lineRule="auto"/>
      <w:outlineLvl w:val="1"/>
    </w:pPr>
    <w:rPr>
      <w:rFonts w:ascii="Cambria" w:hAnsi="Cambria"/>
      <w:b/>
      <w:bCs/>
      <w:kern w:val="0"/>
      <w:sz w:val="32"/>
      <w:szCs w:val="32"/>
    </w:rPr>
  </w:style>
  <w:style w:type="paragraph" w:styleId="2">
    <w:name w:val="heading 3"/>
    <w:basedOn w:val="1"/>
    <w:next w:val="1"/>
    <w:link w:val="153"/>
    <w:qFormat/>
    <w:uiPriority w:val="9"/>
    <w:pPr>
      <w:keepNext/>
      <w:keepLines/>
      <w:spacing w:before="260" w:after="260" w:line="416" w:lineRule="auto"/>
      <w:outlineLvl w:val="2"/>
    </w:pPr>
    <w:rPr>
      <w:b/>
      <w:bCs/>
      <w:kern w:val="0"/>
      <w:sz w:val="32"/>
      <w:szCs w:val="32"/>
    </w:rPr>
  </w:style>
  <w:style w:type="paragraph" w:styleId="6">
    <w:name w:val="heading 4"/>
    <w:basedOn w:val="1"/>
    <w:next w:val="1"/>
    <w:link w:val="178"/>
    <w:qFormat/>
    <w:uiPriority w:val="9"/>
    <w:pPr>
      <w:numPr>
        <w:ilvl w:val="0"/>
        <w:numId w:val="1"/>
      </w:numPr>
      <w:tabs>
        <w:tab w:val="left" w:pos="315"/>
      </w:tabs>
      <w:spacing w:before="120" w:after="120"/>
      <w:outlineLvl w:val="3"/>
    </w:pPr>
    <w:rPr>
      <w:rFonts w:ascii="Cambria" w:hAnsi="Cambria" w:eastAsia="黑体"/>
      <w:bCs/>
      <w:sz w:val="24"/>
      <w:szCs w:val="28"/>
    </w:rPr>
  </w:style>
  <w:style w:type="paragraph" w:styleId="7">
    <w:name w:val="heading 5"/>
    <w:basedOn w:val="1"/>
    <w:next w:val="1"/>
    <w:link w:val="165"/>
    <w:qFormat/>
    <w:uiPriority w:val="0"/>
    <w:pPr>
      <w:tabs>
        <w:tab w:val="left" w:pos="420"/>
      </w:tabs>
      <w:spacing w:beforeLines="50" w:afterLines="50"/>
      <w:outlineLvl w:val="4"/>
    </w:pPr>
    <w:rPr>
      <w:bCs/>
      <w:szCs w:val="28"/>
    </w:rPr>
  </w:style>
  <w:style w:type="paragraph" w:styleId="8">
    <w:name w:val="heading 6"/>
    <w:basedOn w:val="1"/>
    <w:next w:val="1"/>
    <w:link w:val="148"/>
    <w:qFormat/>
    <w:uiPriority w:val="9"/>
    <w:pPr>
      <w:numPr>
        <w:ilvl w:val="2"/>
        <w:numId w:val="1"/>
      </w:numPr>
      <w:tabs>
        <w:tab w:val="left" w:pos="945"/>
      </w:tabs>
      <w:outlineLvl w:val="5"/>
    </w:pPr>
    <w:rPr>
      <w:rFonts w:ascii="Cambria" w:hAnsi="Cambria"/>
      <w:bCs/>
      <w:szCs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center"/>
      <w:outlineLvl w:val="6"/>
    </w:pPr>
    <w:rPr>
      <w:rFonts w:ascii="Times New Roman" w:hAnsi="Times New Roman"/>
      <w:bCs/>
      <w:kern w:val="0"/>
      <w:sz w:val="24"/>
      <w:szCs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szCs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firstLine="420" w:firstLineChars="200"/>
      <w:jc w:val="center"/>
    </w:pPr>
    <w:rPr>
      <w:rFonts w:ascii="Times New Roman" w:hAnsi="Times New Roman"/>
      <w:b/>
      <w:kern w:val="0"/>
      <w:sz w:val="44"/>
      <w:szCs w:val="20"/>
    </w:rPr>
  </w:style>
  <w:style w:type="paragraph" w:styleId="12">
    <w:name w:val="toc 7"/>
    <w:basedOn w:val="1"/>
    <w:next w:val="1"/>
    <w:unhideWhenUsed/>
    <w:qFormat/>
    <w:uiPriority w:val="39"/>
    <w:pPr>
      <w:ind w:left="1260"/>
      <w:jc w:val="left"/>
    </w:pPr>
    <w:rPr>
      <w:sz w:val="18"/>
      <w:szCs w:val="18"/>
    </w:rPr>
  </w:style>
  <w:style w:type="paragraph" w:styleId="13">
    <w:name w:val="Document Map"/>
    <w:basedOn w:val="1"/>
    <w:semiHidden/>
    <w:qFormat/>
    <w:uiPriority w:val="0"/>
    <w:pPr>
      <w:shd w:val="clear" w:color="auto" w:fill="000080"/>
    </w:pPr>
  </w:style>
  <w:style w:type="paragraph" w:styleId="14">
    <w:name w:val="toa heading"/>
    <w:basedOn w:val="1"/>
    <w:next w:val="1"/>
    <w:unhideWhenUsed/>
    <w:qFormat/>
    <w:uiPriority w:val="0"/>
    <w:pPr>
      <w:spacing w:before="120"/>
    </w:pPr>
    <w:rPr>
      <w:rFonts w:ascii="Cambria" w:hAnsi="Cambria"/>
      <w:sz w:val="24"/>
      <w:szCs w:val="24"/>
    </w:rPr>
  </w:style>
  <w:style w:type="paragraph" w:styleId="15">
    <w:name w:val="annotation text"/>
    <w:basedOn w:val="1"/>
    <w:semiHidden/>
    <w:qFormat/>
    <w:uiPriority w:val="0"/>
    <w:pPr>
      <w:jc w:val="left"/>
    </w:pPr>
  </w:style>
  <w:style w:type="paragraph" w:styleId="16">
    <w:name w:val="Body Text"/>
    <w:basedOn w:val="1"/>
    <w:link w:val="177"/>
    <w:qFormat/>
    <w:uiPriority w:val="0"/>
    <w:rPr>
      <w:rFonts w:ascii="Times New Roman" w:hAnsi="Times New Roman"/>
      <w:sz w:val="28"/>
      <w:szCs w:val="24"/>
    </w:rPr>
  </w:style>
  <w:style w:type="paragraph" w:styleId="17">
    <w:name w:val="Body Text Indent"/>
    <w:basedOn w:val="1"/>
    <w:qFormat/>
    <w:uiPriority w:val="0"/>
    <w:pPr>
      <w:ind w:firstLine="1120" w:firstLineChars="400"/>
    </w:pPr>
    <w:rPr>
      <w:rFonts w:ascii="Times New Roman" w:hAnsi="Times New Roman"/>
      <w:sz w:val="28"/>
      <w:szCs w:val="24"/>
    </w:rPr>
  </w:style>
  <w:style w:type="paragraph" w:styleId="18">
    <w:name w:val="toc 5"/>
    <w:basedOn w:val="1"/>
    <w:next w:val="1"/>
    <w:unhideWhenUsed/>
    <w:qFormat/>
    <w:uiPriority w:val="39"/>
    <w:pPr>
      <w:ind w:left="840"/>
      <w:jc w:val="left"/>
    </w:pPr>
    <w:rPr>
      <w:sz w:val="18"/>
      <w:szCs w:val="18"/>
    </w:rPr>
  </w:style>
  <w:style w:type="paragraph" w:styleId="19">
    <w:name w:val="toc 3"/>
    <w:basedOn w:val="1"/>
    <w:next w:val="1"/>
    <w:unhideWhenUsed/>
    <w:qFormat/>
    <w:uiPriority w:val="39"/>
    <w:pPr>
      <w:tabs>
        <w:tab w:val="left" w:pos="740"/>
        <w:tab w:val="right" w:leader="dot" w:pos="9060"/>
      </w:tabs>
      <w:ind w:left="420"/>
      <w:jc w:val="left"/>
    </w:pPr>
    <w:rPr>
      <w:iCs/>
      <w:sz w:val="20"/>
      <w:szCs w:val="20"/>
    </w:rPr>
  </w:style>
  <w:style w:type="paragraph" w:styleId="20">
    <w:name w:val="Plain Text"/>
    <w:basedOn w:val="1"/>
    <w:qFormat/>
    <w:uiPriority w:val="0"/>
    <w:rPr>
      <w:rFonts w:ascii="宋体" w:hAnsi="Courier New" w:cs="Courier New"/>
      <w:szCs w:val="21"/>
    </w:rPr>
  </w:style>
  <w:style w:type="paragraph" w:styleId="21">
    <w:name w:val="toc 8"/>
    <w:basedOn w:val="1"/>
    <w:next w:val="1"/>
    <w:unhideWhenUsed/>
    <w:qFormat/>
    <w:uiPriority w:val="39"/>
    <w:pPr>
      <w:ind w:left="1470"/>
      <w:jc w:val="left"/>
    </w:pPr>
    <w:rPr>
      <w:sz w:val="18"/>
      <w:szCs w:val="18"/>
    </w:rPr>
  </w:style>
  <w:style w:type="paragraph" w:styleId="22">
    <w:name w:val="Date"/>
    <w:basedOn w:val="1"/>
    <w:next w:val="1"/>
    <w:qFormat/>
    <w:uiPriority w:val="0"/>
    <w:pPr>
      <w:ind w:left="100" w:leftChars="2500"/>
    </w:pPr>
    <w:rPr>
      <w:rFonts w:ascii="Times New Roman" w:hAnsi="Times New Roman"/>
      <w:szCs w:val="24"/>
    </w:rPr>
  </w:style>
  <w:style w:type="paragraph" w:styleId="23">
    <w:name w:val="Body Text Indent 2"/>
    <w:basedOn w:val="1"/>
    <w:qFormat/>
    <w:uiPriority w:val="0"/>
    <w:pPr>
      <w:ind w:left="206" w:hanging="206" w:hangingChars="98"/>
    </w:pPr>
    <w:rPr>
      <w:rFonts w:ascii="Times New Roman" w:hAnsi="Times New Roman"/>
      <w:szCs w:val="24"/>
    </w:rPr>
  </w:style>
  <w:style w:type="paragraph" w:styleId="24">
    <w:name w:val="endnote text"/>
    <w:basedOn w:val="1"/>
    <w:semiHidden/>
    <w:qFormat/>
    <w:uiPriority w:val="0"/>
    <w:pPr>
      <w:snapToGrid w:val="0"/>
      <w:jc w:val="left"/>
    </w:pPr>
    <w:rPr>
      <w:rFonts w:ascii="Times New Roman" w:hAnsi="Times New Roman"/>
      <w:szCs w:val="24"/>
    </w:rPr>
  </w:style>
  <w:style w:type="paragraph" w:styleId="25">
    <w:name w:val="Balloon Text"/>
    <w:basedOn w:val="1"/>
    <w:link w:val="147"/>
    <w:unhideWhenUsed/>
    <w:qFormat/>
    <w:uiPriority w:val="99"/>
    <w:rPr>
      <w:kern w:val="0"/>
      <w:sz w:val="18"/>
      <w:szCs w:val="18"/>
    </w:rPr>
  </w:style>
  <w:style w:type="paragraph" w:styleId="26">
    <w:name w:val="footer"/>
    <w:basedOn w:val="1"/>
    <w:link w:val="160"/>
    <w:unhideWhenUsed/>
    <w:qFormat/>
    <w:uiPriority w:val="99"/>
    <w:pPr>
      <w:tabs>
        <w:tab w:val="center" w:pos="4153"/>
        <w:tab w:val="right" w:pos="8306"/>
      </w:tabs>
      <w:snapToGrid w:val="0"/>
      <w:jc w:val="left"/>
    </w:pPr>
    <w:rPr>
      <w:kern w:val="0"/>
      <w:sz w:val="18"/>
      <w:szCs w:val="18"/>
    </w:rPr>
  </w:style>
  <w:style w:type="paragraph" w:styleId="27">
    <w:name w:val="header"/>
    <w:basedOn w:val="1"/>
    <w:link w:val="17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unhideWhenUsed/>
    <w:qFormat/>
    <w:uiPriority w:val="39"/>
    <w:pPr>
      <w:tabs>
        <w:tab w:val="right" w:leader="dot" w:pos="9060"/>
      </w:tabs>
      <w:spacing w:line="400" w:lineRule="exact"/>
      <w:jc w:val="left"/>
    </w:pPr>
    <w:rPr>
      <w:b/>
      <w:bCs/>
      <w:caps/>
      <w:sz w:val="20"/>
      <w:szCs w:val="20"/>
    </w:rPr>
  </w:style>
  <w:style w:type="paragraph" w:styleId="29">
    <w:name w:val="toc 4"/>
    <w:basedOn w:val="1"/>
    <w:next w:val="1"/>
    <w:unhideWhenUsed/>
    <w:qFormat/>
    <w:uiPriority w:val="39"/>
    <w:pPr>
      <w:ind w:left="630"/>
      <w:jc w:val="left"/>
    </w:pPr>
    <w:rPr>
      <w:sz w:val="18"/>
      <w:szCs w:val="18"/>
    </w:rPr>
  </w:style>
  <w:style w:type="paragraph" w:styleId="30">
    <w:name w:val="Subtitle"/>
    <w:basedOn w:val="1"/>
    <w:next w:val="1"/>
    <w:link w:val="157"/>
    <w:qFormat/>
    <w:uiPriority w:val="11"/>
    <w:pPr>
      <w:spacing w:before="240" w:after="60" w:line="312" w:lineRule="auto"/>
      <w:jc w:val="center"/>
      <w:outlineLvl w:val="1"/>
    </w:pPr>
    <w:rPr>
      <w:rFonts w:ascii="Cambria" w:hAnsi="Cambria"/>
      <w:b/>
      <w:bCs/>
      <w:kern w:val="28"/>
      <w:sz w:val="32"/>
      <w:szCs w:val="32"/>
    </w:rPr>
  </w:style>
  <w:style w:type="paragraph" w:styleId="31">
    <w:name w:val="footnote text"/>
    <w:basedOn w:val="1"/>
    <w:link w:val="155"/>
    <w:unhideWhenUsed/>
    <w:qFormat/>
    <w:uiPriority w:val="99"/>
    <w:pPr>
      <w:snapToGrid w:val="0"/>
      <w:jc w:val="left"/>
    </w:pPr>
    <w:rPr>
      <w:kern w:val="0"/>
      <w:sz w:val="18"/>
      <w:szCs w:val="18"/>
    </w:rPr>
  </w:style>
  <w:style w:type="paragraph" w:styleId="32">
    <w:name w:val="toc 6"/>
    <w:basedOn w:val="1"/>
    <w:next w:val="1"/>
    <w:unhideWhenUsed/>
    <w:qFormat/>
    <w:uiPriority w:val="39"/>
    <w:pPr>
      <w:ind w:left="1050"/>
      <w:jc w:val="left"/>
    </w:pPr>
    <w:rPr>
      <w:sz w:val="18"/>
      <w:szCs w:val="18"/>
    </w:rPr>
  </w:style>
  <w:style w:type="paragraph" w:styleId="33">
    <w:name w:val="Body Text Indent 3"/>
    <w:basedOn w:val="1"/>
    <w:link w:val="168"/>
    <w:qFormat/>
    <w:uiPriority w:val="99"/>
    <w:pPr>
      <w:spacing w:line="420" w:lineRule="exact"/>
      <w:ind w:firstLine="420" w:firstLineChars="200"/>
    </w:pPr>
    <w:rPr>
      <w:rFonts w:ascii="Times New Roman" w:hAnsi="Times New Roman"/>
      <w:szCs w:val="24"/>
    </w:rPr>
  </w:style>
  <w:style w:type="paragraph" w:styleId="34">
    <w:name w:val="toc 2"/>
    <w:basedOn w:val="1"/>
    <w:next w:val="1"/>
    <w:unhideWhenUsed/>
    <w:qFormat/>
    <w:uiPriority w:val="39"/>
    <w:pPr>
      <w:tabs>
        <w:tab w:val="right" w:leader="dot" w:pos="9344"/>
      </w:tabs>
      <w:ind w:left="210"/>
      <w:jc w:val="left"/>
    </w:pPr>
    <w:rPr>
      <w:rFonts w:ascii="Times New Roman" w:hAnsi="Times New Roman"/>
      <w:b/>
      <w:bCs/>
      <w:smallCaps/>
      <w:sz w:val="20"/>
      <w:szCs w:val="20"/>
    </w:rPr>
  </w:style>
  <w:style w:type="paragraph" w:styleId="35">
    <w:name w:val="toc 9"/>
    <w:basedOn w:val="1"/>
    <w:next w:val="1"/>
    <w:unhideWhenUsed/>
    <w:qFormat/>
    <w:uiPriority w:val="39"/>
    <w:pPr>
      <w:ind w:left="1680"/>
      <w:jc w:val="left"/>
    </w:pPr>
    <w:rPr>
      <w:sz w:val="18"/>
      <w:szCs w:val="18"/>
    </w:rPr>
  </w:style>
  <w:style w:type="paragraph" w:styleId="36">
    <w:name w:val="Body Text 2"/>
    <w:basedOn w:val="1"/>
    <w:qFormat/>
    <w:uiPriority w:val="0"/>
    <w:pPr>
      <w:spacing w:after="120" w:line="480" w:lineRule="auto"/>
    </w:pPr>
    <w:rPr>
      <w:rFonts w:ascii="Times New Roman" w:hAnsi="Times New Roman"/>
      <w:szCs w:val="24"/>
    </w:rPr>
  </w:style>
  <w:style w:type="paragraph" w:styleId="37">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8">
    <w:name w:val="index 1"/>
    <w:basedOn w:val="1"/>
    <w:next w:val="1"/>
    <w:semiHidden/>
    <w:qFormat/>
    <w:uiPriority w:val="0"/>
    <w:rPr>
      <w:rFonts w:ascii="Times New Roman" w:hAnsi="Times New Roman"/>
      <w:szCs w:val="24"/>
    </w:rPr>
  </w:style>
  <w:style w:type="paragraph" w:styleId="39">
    <w:name w:val="Title"/>
    <w:basedOn w:val="1"/>
    <w:qFormat/>
    <w:uiPriority w:val="0"/>
    <w:pPr>
      <w:widowControl/>
      <w:spacing w:before="240" w:after="60"/>
      <w:jc w:val="center"/>
      <w:outlineLvl w:val="0"/>
    </w:pPr>
    <w:rPr>
      <w:rFonts w:ascii="Arial" w:hAnsi="Arial" w:cs="Arial"/>
      <w:b/>
      <w:bCs/>
      <w:kern w:val="0"/>
      <w:sz w:val="44"/>
      <w:szCs w:val="32"/>
    </w:rPr>
  </w:style>
  <w:style w:type="paragraph" w:styleId="40">
    <w:name w:val="annotation subject"/>
    <w:basedOn w:val="15"/>
    <w:next w:val="15"/>
    <w:semiHidden/>
    <w:qFormat/>
    <w:uiPriority w:val="0"/>
    <w:rPr>
      <w:b/>
      <w:bCs/>
    </w:rPr>
  </w:style>
  <w:style w:type="paragraph" w:styleId="41">
    <w:name w:val="Body Text First Indent"/>
    <w:basedOn w:val="16"/>
    <w:link w:val="151"/>
    <w:unhideWhenUsed/>
    <w:qFormat/>
    <w:uiPriority w:val="99"/>
    <w:pPr>
      <w:spacing w:after="120"/>
      <w:ind w:firstLine="420" w:firstLineChars="100"/>
    </w:pPr>
    <w:rPr>
      <w:sz w:val="21"/>
      <w:szCs w:val="22"/>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page number"/>
    <w:basedOn w:val="44"/>
    <w:qFormat/>
    <w:uiPriority w:val="0"/>
  </w:style>
  <w:style w:type="character" w:styleId="46">
    <w:name w:val="FollowedHyperlink"/>
    <w:unhideWhenUsed/>
    <w:qFormat/>
    <w:uiPriority w:val="99"/>
    <w:rPr>
      <w:color w:val="800080"/>
      <w:u w:val="single"/>
    </w:rPr>
  </w:style>
  <w:style w:type="character" w:styleId="47">
    <w:name w:val="Hyperlink"/>
    <w:unhideWhenUsed/>
    <w:qFormat/>
    <w:uiPriority w:val="99"/>
    <w:rPr>
      <w:color w:val="0000FF"/>
      <w:u w:val="single"/>
    </w:rPr>
  </w:style>
  <w:style w:type="character" w:styleId="48">
    <w:name w:val="annotation reference"/>
    <w:semiHidden/>
    <w:qFormat/>
    <w:uiPriority w:val="0"/>
    <w:rPr>
      <w:sz w:val="21"/>
      <w:szCs w:val="21"/>
    </w:rPr>
  </w:style>
  <w:style w:type="character" w:styleId="49">
    <w:name w:val="footnote reference"/>
    <w:qFormat/>
    <w:uiPriority w:val="0"/>
    <w:rPr>
      <w:vertAlign w:val="superscript"/>
    </w:rPr>
  </w:style>
  <w:style w:type="paragraph" w:customStyle="1" w:styleId="50">
    <w:name w:val="DAS正文"/>
    <w:basedOn w:val="1"/>
    <w:qFormat/>
    <w:uiPriority w:val="0"/>
    <w:pPr>
      <w:ind w:right="181" w:firstLine="480" w:firstLineChars="200"/>
    </w:pPr>
    <w:rPr>
      <w:rFonts w:ascii="Verdana" w:hAnsi="Verdana"/>
      <w:szCs w:val="24"/>
    </w:rPr>
  </w:style>
  <w:style w:type="paragraph" w:customStyle="1" w:styleId="51">
    <w:name w:val=" 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52">
    <w:name w:val="CM105"/>
    <w:basedOn w:val="53"/>
    <w:next w:val="53"/>
    <w:qFormat/>
    <w:uiPriority w:val="99"/>
    <w:rPr>
      <w:rFonts w:cs="Times New Roman"/>
      <w:color w:val="auto"/>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List Paragraph"/>
    <w:basedOn w:val="1"/>
    <w:qFormat/>
    <w:uiPriority w:val="0"/>
    <w:pPr>
      <w:ind w:firstLine="420" w:firstLineChars="200"/>
    </w:pPr>
  </w:style>
  <w:style w:type="paragraph" w:customStyle="1" w:styleId="55">
    <w:name w:val="CM12"/>
    <w:basedOn w:val="53"/>
    <w:next w:val="53"/>
    <w:qFormat/>
    <w:uiPriority w:val="99"/>
    <w:pPr>
      <w:spacing w:line="313" w:lineRule="atLeast"/>
    </w:pPr>
    <w:rPr>
      <w:rFonts w:cs="Times New Roman"/>
      <w:color w:val="auto"/>
    </w:rPr>
  </w:style>
  <w:style w:type="paragraph" w:customStyle="1" w:styleId="56">
    <w:name w:val="CM19"/>
    <w:basedOn w:val="53"/>
    <w:next w:val="53"/>
    <w:qFormat/>
    <w:uiPriority w:val="99"/>
    <w:pPr>
      <w:spacing w:line="440" w:lineRule="atLeast"/>
    </w:pPr>
    <w:rPr>
      <w:rFonts w:cs="Times New Roman"/>
      <w:color w:val="auto"/>
    </w:rPr>
  </w:style>
  <w:style w:type="paragraph" w:customStyle="1" w:styleId="57">
    <w:name w:val="CM45"/>
    <w:basedOn w:val="53"/>
    <w:next w:val="53"/>
    <w:qFormat/>
    <w:uiPriority w:val="99"/>
    <w:rPr>
      <w:rFonts w:cs="Times New Roman"/>
      <w:color w:val="auto"/>
    </w:rPr>
  </w:style>
  <w:style w:type="paragraph" w:customStyle="1" w:styleId="58">
    <w:name w:val="CM110"/>
    <w:basedOn w:val="53"/>
    <w:next w:val="53"/>
    <w:qFormat/>
    <w:uiPriority w:val="99"/>
    <w:rPr>
      <w:rFonts w:cs="Times New Roman"/>
      <w:color w:val="auto"/>
    </w:rPr>
  </w:style>
  <w:style w:type="paragraph" w:customStyle="1" w:styleId="59">
    <w:name w:val="CM34"/>
    <w:basedOn w:val="53"/>
    <w:next w:val="53"/>
    <w:qFormat/>
    <w:uiPriority w:val="99"/>
    <w:rPr>
      <w:rFonts w:cs="Times New Roman"/>
      <w:color w:val="auto"/>
    </w:rPr>
  </w:style>
  <w:style w:type="paragraph" w:customStyle="1" w:styleId="60">
    <w:name w:val="CM10"/>
    <w:basedOn w:val="53"/>
    <w:next w:val="53"/>
    <w:qFormat/>
    <w:uiPriority w:val="99"/>
    <w:rPr>
      <w:rFonts w:cs="Times New Roman"/>
      <w:color w:val="auto"/>
    </w:rPr>
  </w:style>
  <w:style w:type="paragraph" w:customStyle="1" w:styleId="61">
    <w:name w:val="CM17"/>
    <w:basedOn w:val="53"/>
    <w:next w:val="53"/>
    <w:qFormat/>
    <w:uiPriority w:val="99"/>
    <w:pPr>
      <w:spacing w:line="440" w:lineRule="atLeast"/>
    </w:pPr>
    <w:rPr>
      <w:rFonts w:cs="Times New Roman"/>
      <w:color w:val="auto"/>
    </w:rPr>
  </w:style>
  <w:style w:type="paragraph" w:customStyle="1" w:styleId="62">
    <w:name w:val="CM43"/>
    <w:basedOn w:val="53"/>
    <w:next w:val="53"/>
    <w:qFormat/>
    <w:uiPriority w:val="99"/>
    <w:pPr>
      <w:spacing w:line="440" w:lineRule="atLeast"/>
    </w:pPr>
    <w:rPr>
      <w:rFonts w:cs="Times New Roman"/>
      <w:color w:val="auto"/>
    </w:rPr>
  </w:style>
  <w:style w:type="paragraph" w:customStyle="1" w:styleId="63">
    <w:name w:val="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64">
    <w:name w:val="xl25"/>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65">
    <w:name w:val="CM54"/>
    <w:basedOn w:val="53"/>
    <w:next w:val="53"/>
    <w:qFormat/>
    <w:uiPriority w:val="99"/>
    <w:rPr>
      <w:rFonts w:cs="Times New Roman"/>
      <w:color w:val="auto"/>
    </w:rPr>
  </w:style>
  <w:style w:type="paragraph" w:customStyle="1" w:styleId="66">
    <w:name w:val="CM35"/>
    <w:basedOn w:val="53"/>
    <w:next w:val="53"/>
    <w:qFormat/>
    <w:uiPriority w:val="99"/>
    <w:pPr>
      <w:spacing w:line="400" w:lineRule="atLeast"/>
    </w:pPr>
    <w:rPr>
      <w:rFonts w:cs="Times New Roman"/>
      <w:color w:val="auto"/>
    </w:rPr>
  </w:style>
  <w:style w:type="paragraph" w:customStyle="1" w:styleId="67">
    <w:name w:val="CM84"/>
    <w:basedOn w:val="53"/>
    <w:next w:val="53"/>
    <w:qFormat/>
    <w:uiPriority w:val="99"/>
    <w:pPr>
      <w:spacing w:line="400" w:lineRule="atLeast"/>
    </w:pPr>
    <w:rPr>
      <w:rFonts w:cs="Times New Roman"/>
      <w:color w:val="auto"/>
    </w:rPr>
  </w:style>
  <w:style w:type="paragraph" w:customStyle="1" w:styleId="68">
    <w:name w:val="正文文本 (2)"/>
    <w:basedOn w:val="1"/>
    <w:link w:val="169"/>
    <w:qFormat/>
    <w:uiPriority w:val="0"/>
    <w:pPr>
      <w:shd w:val="clear" w:color="auto" w:fill="FFFFFF"/>
      <w:spacing w:before="300" w:line="439" w:lineRule="exact"/>
      <w:jc w:val="distribute"/>
    </w:pPr>
    <w:rPr>
      <w:rFonts w:ascii="宋体" w:hAnsi="宋体"/>
      <w:kern w:val="0"/>
      <w:sz w:val="22"/>
    </w:rPr>
  </w:style>
  <w:style w:type="paragraph" w:customStyle="1" w:styleId="69">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70">
    <w:name w:val="CM70"/>
    <w:basedOn w:val="53"/>
    <w:next w:val="53"/>
    <w:qFormat/>
    <w:uiPriority w:val="99"/>
    <w:pPr>
      <w:spacing w:line="400" w:lineRule="atLeast"/>
    </w:pPr>
    <w:rPr>
      <w:rFonts w:cs="Times New Roman"/>
      <w:color w:val="auto"/>
    </w:rPr>
  </w:style>
  <w:style w:type="paragraph" w:customStyle="1" w:styleId="71">
    <w:name w:val="CM52"/>
    <w:basedOn w:val="53"/>
    <w:next w:val="53"/>
    <w:qFormat/>
    <w:uiPriority w:val="99"/>
    <w:pPr>
      <w:spacing w:line="400" w:lineRule="atLeast"/>
    </w:pPr>
    <w:rPr>
      <w:rFonts w:cs="Times New Roman"/>
      <w:color w:val="auto"/>
    </w:rPr>
  </w:style>
  <w:style w:type="paragraph" w:customStyle="1" w:styleId="72">
    <w:name w:val="CM104"/>
    <w:basedOn w:val="53"/>
    <w:next w:val="53"/>
    <w:qFormat/>
    <w:uiPriority w:val="99"/>
    <w:rPr>
      <w:rFonts w:cs="Times New Roman"/>
      <w:color w:val="auto"/>
    </w:rPr>
  </w:style>
  <w:style w:type="paragraph" w:customStyle="1" w:styleId="73">
    <w:name w:val="CM57"/>
    <w:basedOn w:val="53"/>
    <w:next w:val="53"/>
    <w:qFormat/>
    <w:uiPriority w:val="99"/>
    <w:pPr>
      <w:spacing w:line="400" w:lineRule="atLeast"/>
    </w:pPr>
    <w:rPr>
      <w:rFonts w:cs="Times New Roman"/>
      <w:color w:val="auto"/>
    </w:rPr>
  </w:style>
  <w:style w:type="paragraph" w:customStyle="1" w:styleId="74">
    <w:name w:val="CM6"/>
    <w:basedOn w:val="53"/>
    <w:next w:val="53"/>
    <w:qFormat/>
    <w:uiPriority w:val="99"/>
    <w:pPr>
      <w:spacing w:line="318" w:lineRule="atLeast"/>
    </w:pPr>
    <w:rPr>
      <w:rFonts w:cs="Times New Roman"/>
      <w:color w:val="auto"/>
    </w:rPr>
  </w:style>
  <w:style w:type="paragraph" w:customStyle="1" w:styleId="75">
    <w:name w:val="Char Char"/>
    <w:basedOn w:val="1"/>
    <w:qFormat/>
    <w:uiPriority w:val="0"/>
    <w:rPr>
      <w:rFonts w:ascii="Tahoma" w:hAnsi="Tahoma"/>
      <w:sz w:val="24"/>
      <w:szCs w:val="20"/>
    </w:rPr>
  </w:style>
  <w:style w:type="paragraph" w:customStyle="1" w:styleId="76">
    <w:name w:val="CM55"/>
    <w:basedOn w:val="53"/>
    <w:next w:val="53"/>
    <w:qFormat/>
    <w:uiPriority w:val="0"/>
    <w:pPr>
      <w:spacing w:line="400" w:lineRule="atLeast"/>
    </w:pPr>
    <w:rPr>
      <w:rFonts w:cs="Times New Roman"/>
      <w:color w:val="auto"/>
    </w:rPr>
  </w:style>
  <w:style w:type="paragraph" w:customStyle="1" w:styleId="77">
    <w:name w:val="CM97"/>
    <w:basedOn w:val="53"/>
    <w:next w:val="53"/>
    <w:qFormat/>
    <w:uiPriority w:val="99"/>
    <w:rPr>
      <w:rFonts w:cs="Times New Roman"/>
      <w:color w:val="auto"/>
    </w:rPr>
  </w:style>
  <w:style w:type="paragraph" w:customStyle="1" w:styleId="78">
    <w:name w:val="CM40"/>
    <w:basedOn w:val="53"/>
    <w:next w:val="53"/>
    <w:qFormat/>
    <w:uiPriority w:val="99"/>
    <w:pPr>
      <w:spacing w:line="400" w:lineRule="atLeast"/>
    </w:pPr>
    <w:rPr>
      <w:rFonts w:cs="Times New Roman"/>
      <w:color w:val="auto"/>
    </w:rPr>
  </w:style>
  <w:style w:type="paragraph" w:customStyle="1" w:styleId="79">
    <w:name w:val="CM87"/>
    <w:basedOn w:val="53"/>
    <w:next w:val="53"/>
    <w:qFormat/>
    <w:uiPriority w:val="99"/>
    <w:pPr>
      <w:spacing w:line="440" w:lineRule="atLeast"/>
    </w:pPr>
    <w:rPr>
      <w:rFonts w:cs="Times New Roman"/>
      <w:color w:val="auto"/>
    </w:rPr>
  </w:style>
  <w:style w:type="paragraph" w:customStyle="1" w:styleId="80">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81">
    <w:name w:val=" Char Char Char Char Char Char Char"/>
    <w:basedOn w:val="13"/>
    <w:qFormat/>
    <w:uiPriority w:val="0"/>
    <w:rPr>
      <w:rFonts w:ascii="Tahoma" w:hAnsi="Tahoma"/>
      <w:sz w:val="24"/>
    </w:rPr>
  </w:style>
  <w:style w:type="paragraph" w:customStyle="1" w:styleId="82">
    <w:name w:val="CM98"/>
    <w:basedOn w:val="53"/>
    <w:next w:val="53"/>
    <w:qFormat/>
    <w:uiPriority w:val="99"/>
    <w:rPr>
      <w:rFonts w:cs="Times New Roman"/>
      <w:color w:val="auto"/>
    </w:rPr>
  </w:style>
  <w:style w:type="paragraph" w:customStyle="1" w:styleId="83">
    <w:name w:val="CM22"/>
    <w:basedOn w:val="53"/>
    <w:next w:val="53"/>
    <w:qFormat/>
    <w:uiPriority w:val="99"/>
    <w:rPr>
      <w:rFonts w:cs="Times New Roman"/>
      <w:color w:val="auto"/>
    </w:rPr>
  </w:style>
  <w:style w:type="paragraph" w:customStyle="1" w:styleId="84">
    <w:name w:val="CM107"/>
    <w:basedOn w:val="53"/>
    <w:next w:val="53"/>
    <w:qFormat/>
    <w:uiPriority w:val="99"/>
    <w:rPr>
      <w:rFonts w:cs="Times New Roman"/>
      <w:color w:val="auto"/>
    </w:rPr>
  </w:style>
  <w:style w:type="paragraph" w:customStyle="1" w:styleId="85">
    <w:name w:val="CM26"/>
    <w:basedOn w:val="53"/>
    <w:next w:val="53"/>
    <w:qFormat/>
    <w:uiPriority w:val="99"/>
    <w:pPr>
      <w:spacing w:line="400" w:lineRule="atLeast"/>
    </w:pPr>
    <w:rPr>
      <w:rFonts w:cs="Times New Roman"/>
      <w:color w:val="auto"/>
    </w:rPr>
  </w:style>
  <w:style w:type="paragraph" w:customStyle="1" w:styleId="86">
    <w:name w:val=" Char"/>
    <w:basedOn w:val="1"/>
    <w:qFormat/>
    <w:uiPriority w:val="0"/>
    <w:pPr>
      <w:spacing w:line="360" w:lineRule="auto"/>
      <w:ind w:firstLine="200" w:firstLineChars="200"/>
    </w:pPr>
    <w:rPr>
      <w:rFonts w:ascii="宋体" w:hAnsi="宋体" w:cs="宋体"/>
      <w:sz w:val="24"/>
      <w:szCs w:val="24"/>
    </w:rPr>
  </w:style>
  <w:style w:type="paragraph" w:customStyle="1" w:styleId="87">
    <w:name w:val="CM2"/>
    <w:basedOn w:val="53"/>
    <w:next w:val="53"/>
    <w:qFormat/>
    <w:uiPriority w:val="99"/>
    <w:pPr>
      <w:spacing w:line="500" w:lineRule="atLeast"/>
    </w:pPr>
    <w:rPr>
      <w:rFonts w:cs="Times New Roman"/>
      <w:color w:val="auto"/>
    </w:rPr>
  </w:style>
  <w:style w:type="paragraph" w:customStyle="1" w:styleId="88">
    <w:name w:val="CM88"/>
    <w:basedOn w:val="53"/>
    <w:next w:val="53"/>
    <w:qFormat/>
    <w:uiPriority w:val="99"/>
    <w:pPr>
      <w:spacing w:line="440" w:lineRule="atLeast"/>
    </w:pPr>
    <w:rPr>
      <w:rFonts w:cs="Times New Roman"/>
      <w:color w:val="auto"/>
    </w:rPr>
  </w:style>
  <w:style w:type="paragraph" w:customStyle="1" w:styleId="89">
    <w:name w:val="CM24"/>
    <w:basedOn w:val="53"/>
    <w:next w:val="53"/>
    <w:qFormat/>
    <w:uiPriority w:val="99"/>
    <w:pPr>
      <w:spacing w:line="400" w:lineRule="atLeast"/>
    </w:pPr>
    <w:rPr>
      <w:rFonts w:cs="Times New Roman"/>
      <w:color w:val="auto"/>
    </w:rPr>
  </w:style>
  <w:style w:type="paragraph" w:customStyle="1" w:styleId="90">
    <w:name w:val="CM60"/>
    <w:basedOn w:val="53"/>
    <w:next w:val="53"/>
    <w:qFormat/>
    <w:uiPriority w:val="99"/>
    <w:pPr>
      <w:spacing w:line="400" w:lineRule="atLeast"/>
    </w:pPr>
    <w:rPr>
      <w:rFonts w:cs="Times New Roman"/>
      <w:color w:val="auto"/>
    </w:rPr>
  </w:style>
  <w:style w:type="paragraph" w:customStyle="1" w:styleId="91">
    <w:name w:val="正文文本 (7)"/>
    <w:basedOn w:val="1"/>
    <w:link w:val="150"/>
    <w:qFormat/>
    <w:uiPriority w:val="0"/>
    <w:pPr>
      <w:shd w:val="clear" w:color="auto" w:fill="FFFFFF"/>
      <w:spacing w:before="120" w:after="300" w:line="0" w:lineRule="atLeast"/>
      <w:jc w:val="center"/>
    </w:pPr>
    <w:rPr>
      <w:rFonts w:ascii="宋体" w:hAnsi="宋体"/>
      <w:spacing w:val="10"/>
      <w:kern w:val="0"/>
      <w:sz w:val="22"/>
    </w:rPr>
  </w:style>
  <w:style w:type="paragraph" w:customStyle="1" w:styleId="92">
    <w:name w:val="CM99"/>
    <w:basedOn w:val="53"/>
    <w:next w:val="53"/>
    <w:qFormat/>
    <w:uiPriority w:val="99"/>
    <w:rPr>
      <w:rFonts w:cs="Times New Roman"/>
      <w:color w:val="auto"/>
    </w:rPr>
  </w:style>
  <w:style w:type="paragraph" w:customStyle="1" w:styleId="93">
    <w:name w:val="CM7"/>
    <w:basedOn w:val="53"/>
    <w:next w:val="53"/>
    <w:qFormat/>
    <w:uiPriority w:val="99"/>
    <w:pPr>
      <w:spacing w:line="318" w:lineRule="atLeast"/>
    </w:pPr>
    <w:rPr>
      <w:rFonts w:cs="Times New Roman"/>
      <w:color w:val="auto"/>
    </w:rPr>
  </w:style>
  <w:style w:type="paragraph" w:customStyle="1" w:styleId="94">
    <w:name w:val="List Paragraph1"/>
    <w:basedOn w:val="1"/>
    <w:qFormat/>
    <w:uiPriority w:val="1"/>
    <w:pPr>
      <w:ind w:firstLine="420" w:firstLineChars="200"/>
    </w:pPr>
  </w:style>
  <w:style w:type="paragraph" w:customStyle="1" w:styleId="95">
    <w:name w:val="CM28"/>
    <w:basedOn w:val="53"/>
    <w:next w:val="53"/>
    <w:qFormat/>
    <w:uiPriority w:val="99"/>
    <w:pPr>
      <w:spacing w:line="398" w:lineRule="atLeast"/>
    </w:pPr>
    <w:rPr>
      <w:rFonts w:cs="Times New Roman"/>
      <w:color w:val="auto"/>
    </w:rPr>
  </w:style>
  <w:style w:type="paragraph" w:customStyle="1" w:styleId="96">
    <w:name w:val="CM94"/>
    <w:basedOn w:val="53"/>
    <w:next w:val="53"/>
    <w:qFormat/>
    <w:uiPriority w:val="99"/>
    <w:pPr>
      <w:spacing w:line="440" w:lineRule="atLeast"/>
    </w:pPr>
    <w:rPr>
      <w:rFonts w:cs="Times New Roman"/>
      <w:color w:val="auto"/>
    </w:rPr>
  </w:style>
  <w:style w:type="paragraph" w:customStyle="1" w:styleId="97">
    <w:name w:val="CM102"/>
    <w:basedOn w:val="53"/>
    <w:next w:val="53"/>
    <w:qFormat/>
    <w:uiPriority w:val="99"/>
    <w:rPr>
      <w:rFonts w:cs="Times New Roman"/>
      <w:color w:val="auto"/>
    </w:rPr>
  </w:style>
  <w:style w:type="paragraph" w:customStyle="1" w:styleId="98">
    <w:name w:val="CM11"/>
    <w:basedOn w:val="53"/>
    <w:next w:val="53"/>
    <w:qFormat/>
    <w:uiPriority w:val="99"/>
    <w:pPr>
      <w:spacing w:line="313" w:lineRule="atLeast"/>
    </w:pPr>
    <w:rPr>
      <w:rFonts w:cs="Times New Roman"/>
      <w:color w:val="auto"/>
    </w:rPr>
  </w:style>
  <w:style w:type="paragraph" w:customStyle="1" w:styleId="99">
    <w:name w:val="MSG_EN_FONT_STYLE_NAME_TEMPLATE_ROLE_NUMBER MSG_EN_FONT_STYLE_NAME_BY_ROLE_TEXT 131"/>
    <w:basedOn w:val="1"/>
    <w:link w:val="158"/>
    <w:qFormat/>
    <w:uiPriority w:val="0"/>
    <w:pPr>
      <w:shd w:val="clear" w:color="auto" w:fill="FFFFFF"/>
      <w:spacing w:before="340" w:after="160" w:line="398" w:lineRule="exact"/>
      <w:jc w:val="distribute"/>
    </w:pPr>
    <w:rPr>
      <w:rFonts w:ascii="PMingLiU" w:hAnsi="PMingLiU" w:eastAsia="PMingLiU"/>
      <w:kern w:val="0"/>
      <w:sz w:val="20"/>
      <w:szCs w:val="20"/>
    </w:rPr>
  </w:style>
  <w:style w:type="paragraph" w:customStyle="1" w:styleId="100">
    <w:name w:val="CM108"/>
    <w:basedOn w:val="53"/>
    <w:next w:val="53"/>
    <w:qFormat/>
    <w:uiPriority w:val="99"/>
    <w:rPr>
      <w:rFonts w:cs="Times New Roman"/>
      <w:color w:val="auto"/>
    </w:rPr>
  </w:style>
  <w:style w:type="paragraph" w:customStyle="1" w:styleId="101">
    <w:name w:val="CM1"/>
    <w:basedOn w:val="53"/>
    <w:next w:val="53"/>
    <w:qFormat/>
    <w:uiPriority w:val="99"/>
    <w:rPr>
      <w:rFonts w:cs="Times New Roman"/>
      <w:color w:val="auto"/>
    </w:rPr>
  </w:style>
  <w:style w:type="paragraph" w:customStyle="1" w:styleId="102">
    <w:name w:val="CM48"/>
    <w:basedOn w:val="53"/>
    <w:next w:val="53"/>
    <w:qFormat/>
    <w:uiPriority w:val="99"/>
    <w:pPr>
      <w:spacing w:line="440" w:lineRule="atLeast"/>
    </w:pPr>
    <w:rPr>
      <w:rFonts w:cs="Times New Roman"/>
      <w:color w:val="auto"/>
    </w:rPr>
  </w:style>
  <w:style w:type="paragraph" w:customStyle="1" w:styleId="103">
    <w:name w:val="Char Char7 Char Char Char Char Char Char"/>
    <w:basedOn w:val="1"/>
    <w:qFormat/>
    <w:uiPriority w:val="0"/>
    <w:pPr>
      <w:adjustRightInd w:val="0"/>
      <w:spacing w:line="312" w:lineRule="atLeast"/>
      <w:textAlignment w:val="baseline"/>
    </w:pPr>
    <w:rPr>
      <w:rFonts w:ascii="Times New Roman" w:hAnsi="Times New Roman"/>
      <w:b/>
      <w:bCs/>
      <w:kern w:val="0"/>
      <w:sz w:val="36"/>
      <w:szCs w:val="36"/>
    </w:rPr>
  </w:style>
  <w:style w:type="paragraph" w:customStyle="1" w:styleId="104">
    <w:name w:val="CM47"/>
    <w:basedOn w:val="53"/>
    <w:next w:val="53"/>
    <w:qFormat/>
    <w:uiPriority w:val="99"/>
    <w:pPr>
      <w:spacing w:line="540" w:lineRule="atLeast"/>
    </w:pPr>
    <w:rPr>
      <w:rFonts w:cs="Times New Roman"/>
      <w:color w:val="auto"/>
    </w:rPr>
  </w:style>
  <w:style w:type="paragraph" w:customStyle="1" w:styleId="105">
    <w:name w:val="CM112"/>
    <w:basedOn w:val="53"/>
    <w:next w:val="53"/>
    <w:qFormat/>
    <w:uiPriority w:val="99"/>
    <w:rPr>
      <w:rFonts w:cs="Times New Roman"/>
      <w:color w:val="auto"/>
    </w:rPr>
  </w:style>
  <w:style w:type="paragraph" w:customStyle="1" w:styleId="106">
    <w:name w:val="_Style 105"/>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07">
    <w:name w:val="CM71"/>
    <w:basedOn w:val="53"/>
    <w:next w:val="53"/>
    <w:qFormat/>
    <w:uiPriority w:val="99"/>
    <w:rPr>
      <w:rFonts w:cs="Times New Roman"/>
      <w:color w:val="auto"/>
    </w:rPr>
  </w:style>
  <w:style w:type="paragraph" w:customStyle="1" w:styleId="108">
    <w:name w:val="CM101"/>
    <w:basedOn w:val="53"/>
    <w:next w:val="53"/>
    <w:qFormat/>
    <w:uiPriority w:val="99"/>
    <w:rPr>
      <w:rFonts w:cs="Times New Roman"/>
      <w:color w:val="auto"/>
    </w:rPr>
  </w:style>
  <w:style w:type="paragraph" w:customStyle="1" w:styleId="109">
    <w:name w:val="CM18"/>
    <w:basedOn w:val="53"/>
    <w:next w:val="53"/>
    <w:qFormat/>
    <w:uiPriority w:val="99"/>
    <w:pPr>
      <w:spacing w:line="440" w:lineRule="atLeast"/>
    </w:pPr>
    <w:rPr>
      <w:rFonts w:cs="Times New Roman"/>
      <w:color w:val="auto"/>
    </w:rPr>
  </w:style>
  <w:style w:type="paragraph" w:customStyle="1" w:styleId="110">
    <w:name w:val="CM3"/>
    <w:basedOn w:val="53"/>
    <w:next w:val="53"/>
    <w:qFormat/>
    <w:uiPriority w:val="99"/>
    <w:pPr>
      <w:spacing w:line="500" w:lineRule="atLeast"/>
    </w:pPr>
    <w:rPr>
      <w:rFonts w:cs="Times New Roman"/>
      <w:color w:val="auto"/>
    </w:rPr>
  </w:style>
  <w:style w:type="paragraph" w:customStyle="1" w:styleId="111">
    <w:name w:val="CM74"/>
    <w:basedOn w:val="53"/>
    <w:next w:val="53"/>
    <w:qFormat/>
    <w:uiPriority w:val="99"/>
    <w:pPr>
      <w:spacing w:line="400" w:lineRule="atLeast"/>
    </w:pPr>
    <w:rPr>
      <w:rFonts w:cs="Times New Roman"/>
      <w:color w:val="auto"/>
    </w:rPr>
  </w:style>
  <w:style w:type="paragraph" w:customStyle="1" w:styleId="112">
    <w:name w:val="Table Paragraph"/>
    <w:basedOn w:val="1"/>
    <w:qFormat/>
    <w:uiPriority w:val="1"/>
    <w:pPr>
      <w:jc w:val="left"/>
    </w:pPr>
    <w:rPr>
      <w:rFonts w:ascii="Calibri" w:hAnsi="Calibri" w:eastAsia="宋体" w:cs="Times New Roman"/>
      <w:kern w:val="0"/>
      <w:sz w:val="22"/>
      <w:lang w:eastAsia="en-US"/>
    </w:rPr>
  </w:style>
  <w:style w:type="paragraph" w:customStyle="1" w:styleId="113">
    <w:name w:val="样式3"/>
    <w:basedOn w:val="1"/>
    <w:qFormat/>
    <w:uiPriority w:val="0"/>
    <w:pPr>
      <w:keepNext/>
      <w:keepLines/>
      <w:spacing w:line="400" w:lineRule="exact"/>
      <w:outlineLvl w:val="0"/>
    </w:pPr>
    <w:rPr>
      <w:rFonts w:ascii="Times New Roman" w:hAnsi="Times New Roman"/>
      <w:b/>
      <w:bCs/>
      <w:kern w:val="44"/>
      <w:sz w:val="28"/>
      <w:szCs w:val="44"/>
    </w:rPr>
  </w:style>
  <w:style w:type="paragraph" w:customStyle="1" w:styleId="114">
    <w:name w:val="CM78"/>
    <w:basedOn w:val="53"/>
    <w:next w:val="53"/>
    <w:qFormat/>
    <w:uiPriority w:val="99"/>
    <w:rPr>
      <w:rFonts w:cs="Times New Roman"/>
      <w:color w:val="auto"/>
    </w:rPr>
  </w:style>
  <w:style w:type="paragraph" w:customStyle="1" w:styleId="115">
    <w:name w:val="CM100"/>
    <w:basedOn w:val="53"/>
    <w:next w:val="53"/>
    <w:qFormat/>
    <w:uiPriority w:val="99"/>
    <w:rPr>
      <w:rFonts w:cs="Times New Roman"/>
      <w:color w:val="auto"/>
    </w:rPr>
  </w:style>
  <w:style w:type="paragraph" w:customStyle="1" w:styleId="116">
    <w:name w:val="列出段落1"/>
    <w:basedOn w:val="1"/>
    <w:qFormat/>
    <w:uiPriority w:val="34"/>
    <w:pPr>
      <w:ind w:firstLine="420" w:firstLineChars="200"/>
    </w:pPr>
    <w:rPr>
      <w:rFonts w:ascii="等线" w:hAnsi="等线" w:eastAsia="等线" w:cs="Times New Roman"/>
    </w:rPr>
  </w:style>
  <w:style w:type="paragraph" w:customStyle="1" w:styleId="117">
    <w:name w:val="CM49"/>
    <w:basedOn w:val="53"/>
    <w:next w:val="53"/>
    <w:qFormat/>
    <w:uiPriority w:val="99"/>
    <w:pPr>
      <w:spacing w:line="1020" w:lineRule="atLeast"/>
    </w:pPr>
    <w:rPr>
      <w:rFonts w:cs="Times New Roman"/>
      <w:color w:val="auto"/>
    </w:rPr>
  </w:style>
  <w:style w:type="paragraph" w:customStyle="1" w:styleId="118">
    <w:name w:val="CM9"/>
    <w:basedOn w:val="53"/>
    <w:next w:val="53"/>
    <w:qFormat/>
    <w:uiPriority w:val="99"/>
    <w:rPr>
      <w:rFonts w:cs="Times New Roman"/>
      <w:color w:val="auto"/>
    </w:rPr>
  </w:style>
  <w:style w:type="paragraph" w:customStyle="1" w:styleId="119">
    <w:name w:val="CM5"/>
    <w:basedOn w:val="53"/>
    <w:next w:val="53"/>
    <w:qFormat/>
    <w:uiPriority w:val="99"/>
    <w:rPr>
      <w:rFonts w:cs="Times New Roman"/>
      <w:color w:val="auto"/>
    </w:rPr>
  </w:style>
  <w:style w:type="paragraph" w:customStyle="1" w:styleId="120">
    <w:name w:val="CM25"/>
    <w:basedOn w:val="53"/>
    <w:next w:val="53"/>
    <w:qFormat/>
    <w:uiPriority w:val="99"/>
    <w:pPr>
      <w:spacing w:line="400" w:lineRule="atLeast"/>
    </w:pPr>
    <w:rPr>
      <w:rFonts w:cs="Times New Roman"/>
      <w:color w:val="auto"/>
    </w:rPr>
  </w:style>
  <w:style w:type="paragraph" w:customStyle="1" w:styleId="121">
    <w:name w:val="CM96"/>
    <w:basedOn w:val="53"/>
    <w:next w:val="53"/>
    <w:qFormat/>
    <w:uiPriority w:val="99"/>
    <w:rPr>
      <w:rFonts w:cs="Times New Roman"/>
      <w:color w:val="auto"/>
    </w:rPr>
  </w:style>
  <w:style w:type="paragraph" w:customStyle="1" w:styleId="122">
    <w:name w:val="CM20"/>
    <w:basedOn w:val="53"/>
    <w:next w:val="53"/>
    <w:qFormat/>
    <w:uiPriority w:val="99"/>
    <w:pPr>
      <w:spacing w:line="400" w:lineRule="atLeast"/>
    </w:pPr>
    <w:rPr>
      <w:rFonts w:cs="Times New Roman"/>
      <w:color w:val="auto"/>
    </w:rPr>
  </w:style>
  <w:style w:type="paragraph" w:customStyle="1" w:styleId="123">
    <w:name w:val="CM95"/>
    <w:basedOn w:val="53"/>
    <w:next w:val="53"/>
    <w:qFormat/>
    <w:uiPriority w:val="99"/>
    <w:pPr>
      <w:spacing w:line="440" w:lineRule="atLeast"/>
    </w:pPr>
    <w:rPr>
      <w:rFonts w:cs="Times New Roman"/>
      <w:color w:val="auto"/>
    </w:rPr>
  </w:style>
  <w:style w:type="paragraph" w:customStyle="1" w:styleId="124">
    <w:name w:val="CM44"/>
    <w:basedOn w:val="53"/>
    <w:next w:val="53"/>
    <w:qFormat/>
    <w:uiPriority w:val="99"/>
    <w:rPr>
      <w:rFonts w:cs="Times New Roman"/>
      <w:color w:val="auto"/>
    </w:rPr>
  </w:style>
  <w:style w:type="paragraph" w:customStyle="1" w:styleId="125">
    <w:name w:val="CM114"/>
    <w:basedOn w:val="53"/>
    <w:next w:val="53"/>
    <w:qFormat/>
    <w:uiPriority w:val="99"/>
    <w:rPr>
      <w:rFonts w:cs="Times New Roman"/>
      <w:color w:val="auto"/>
    </w:rPr>
  </w:style>
  <w:style w:type="paragraph" w:customStyle="1" w:styleId="126">
    <w:name w:val="CM90"/>
    <w:basedOn w:val="53"/>
    <w:next w:val="53"/>
    <w:qFormat/>
    <w:uiPriority w:val="99"/>
    <w:pPr>
      <w:spacing w:line="440" w:lineRule="atLeast"/>
    </w:pPr>
    <w:rPr>
      <w:rFonts w:cs="Times New Roman"/>
      <w:color w:val="auto"/>
    </w:rPr>
  </w:style>
  <w:style w:type="paragraph" w:customStyle="1" w:styleId="127">
    <w:name w:val="CM115"/>
    <w:basedOn w:val="53"/>
    <w:next w:val="53"/>
    <w:qFormat/>
    <w:uiPriority w:val="99"/>
    <w:rPr>
      <w:rFonts w:cs="Times New Roman"/>
      <w:color w:val="auto"/>
    </w:rPr>
  </w:style>
  <w:style w:type="paragraph" w:customStyle="1" w:styleId="128">
    <w:name w:val="CM32"/>
    <w:basedOn w:val="53"/>
    <w:next w:val="53"/>
    <w:qFormat/>
    <w:uiPriority w:val="99"/>
    <w:pPr>
      <w:spacing w:line="400" w:lineRule="atLeast"/>
    </w:pPr>
    <w:rPr>
      <w:rFonts w:cs="Times New Roman"/>
      <w:color w:val="auto"/>
    </w:rPr>
  </w:style>
  <w:style w:type="paragraph" w:customStyle="1" w:styleId="129">
    <w:name w:val="CM13"/>
    <w:basedOn w:val="53"/>
    <w:next w:val="53"/>
    <w:qFormat/>
    <w:uiPriority w:val="99"/>
    <w:rPr>
      <w:rFonts w:cs="Times New Roman"/>
      <w:color w:val="auto"/>
    </w:rPr>
  </w:style>
  <w:style w:type="paragraph" w:customStyle="1" w:styleId="130">
    <w:name w:val="CM29"/>
    <w:basedOn w:val="53"/>
    <w:next w:val="53"/>
    <w:qFormat/>
    <w:uiPriority w:val="99"/>
    <w:pPr>
      <w:spacing w:line="400" w:lineRule="atLeast"/>
    </w:pPr>
    <w:rPr>
      <w:rFonts w:cs="Times New Roman"/>
      <w:color w:val="auto"/>
    </w:rPr>
  </w:style>
  <w:style w:type="paragraph" w:customStyle="1" w:styleId="13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32">
    <w:name w:val="p0"/>
    <w:basedOn w:val="1"/>
    <w:qFormat/>
    <w:uiPriority w:val="99"/>
    <w:pPr>
      <w:widowControl/>
    </w:pPr>
    <w:rPr>
      <w:kern w:val="0"/>
      <w:szCs w:val="21"/>
    </w:rPr>
  </w:style>
  <w:style w:type="paragraph" w:customStyle="1" w:styleId="133">
    <w:name w:val="Char Char Char Char Char Char Char"/>
    <w:basedOn w:val="13"/>
    <w:qFormat/>
    <w:uiPriority w:val="0"/>
    <w:rPr>
      <w:rFonts w:ascii="Tahoma" w:hAnsi="Tahoma"/>
      <w:sz w:val="24"/>
    </w:rPr>
  </w:style>
  <w:style w:type="paragraph" w:customStyle="1" w:styleId="134">
    <w:name w:val="CM103"/>
    <w:basedOn w:val="53"/>
    <w:next w:val="53"/>
    <w:qFormat/>
    <w:uiPriority w:val="99"/>
    <w:rPr>
      <w:rFonts w:cs="Times New Roman"/>
      <w:color w:val="auto"/>
    </w:rPr>
  </w:style>
  <w:style w:type="paragraph" w:customStyle="1" w:styleId="135">
    <w:name w:val="CM41"/>
    <w:basedOn w:val="53"/>
    <w:next w:val="53"/>
    <w:qFormat/>
    <w:uiPriority w:val="99"/>
    <w:pPr>
      <w:spacing w:line="400" w:lineRule="atLeast"/>
    </w:pPr>
    <w:rPr>
      <w:rFonts w:cs="Times New Roman"/>
      <w:color w:val="auto"/>
    </w:rPr>
  </w:style>
  <w:style w:type="paragraph" w:customStyle="1" w:styleId="136">
    <w:name w:val="样式 标题 3 + (中文) 黑体 小四 非加粗 段前: 7.8 磅 段后: 0 磅 行距: 固定值 20 磅"/>
    <w:basedOn w:val="2"/>
    <w:qFormat/>
    <w:uiPriority w:val="0"/>
    <w:pPr>
      <w:spacing w:before="0" w:after="0" w:line="400" w:lineRule="exact"/>
    </w:pPr>
    <w:rPr>
      <w:rFonts w:ascii="Times New Roman" w:hAnsi="Times New Roman" w:eastAsia="黑体" w:cs="宋体"/>
      <w:b w:val="0"/>
      <w:bCs w:val="0"/>
      <w:sz w:val="24"/>
      <w:szCs w:val="20"/>
    </w:rPr>
  </w:style>
  <w:style w:type="paragraph" w:customStyle="1" w:styleId="137">
    <w:name w:val="CM62"/>
    <w:basedOn w:val="53"/>
    <w:next w:val="53"/>
    <w:qFormat/>
    <w:uiPriority w:val="99"/>
    <w:rPr>
      <w:rFonts w:cs="Times New Roman"/>
      <w:color w:val="auto"/>
    </w:rPr>
  </w:style>
  <w:style w:type="paragraph" w:customStyle="1" w:styleId="138">
    <w:name w:val="CM4"/>
    <w:basedOn w:val="53"/>
    <w:next w:val="53"/>
    <w:qFormat/>
    <w:uiPriority w:val="99"/>
    <w:rPr>
      <w:rFonts w:cs="Times New Roman"/>
      <w:color w:val="auto"/>
    </w:rPr>
  </w:style>
  <w:style w:type="paragraph" w:customStyle="1" w:styleId="139">
    <w:name w:val="CM83"/>
    <w:basedOn w:val="53"/>
    <w:next w:val="53"/>
    <w:qFormat/>
    <w:uiPriority w:val="99"/>
    <w:pPr>
      <w:spacing w:line="400" w:lineRule="atLeast"/>
    </w:pPr>
    <w:rPr>
      <w:rFonts w:cs="Times New Roman"/>
      <w:color w:val="auto"/>
    </w:rPr>
  </w:style>
  <w:style w:type="paragraph" w:customStyle="1" w:styleId="140">
    <w:name w:val="CM64"/>
    <w:basedOn w:val="53"/>
    <w:next w:val="53"/>
    <w:qFormat/>
    <w:uiPriority w:val="99"/>
    <w:pPr>
      <w:spacing w:line="398" w:lineRule="atLeast"/>
    </w:pPr>
    <w:rPr>
      <w:rFonts w:cs="Times New Roman"/>
      <w:color w:val="auto"/>
    </w:rPr>
  </w:style>
  <w:style w:type="paragraph" w:customStyle="1" w:styleId="141">
    <w:name w:val="CM109"/>
    <w:basedOn w:val="53"/>
    <w:next w:val="53"/>
    <w:qFormat/>
    <w:uiPriority w:val="99"/>
    <w:rPr>
      <w:rFonts w:cs="Times New Roman"/>
      <w:color w:val="auto"/>
    </w:rPr>
  </w:style>
  <w:style w:type="paragraph" w:customStyle="1" w:styleId="142">
    <w:name w:val="CM8"/>
    <w:basedOn w:val="53"/>
    <w:next w:val="53"/>
    <w:qFormat/>
    <w:uiPriority w:val="99"/>
    <w:pPr>
      <w:spacing w:line="318" w:lineRule="atLeast"/>
    </w:pPr>
    <w:rPr>
      <w:rFonts w:cs="Times New Roman"/>
      <w:color w:val="auto"/>
    </w:rPr>
  </w:style>
  <w:style w:type="paragraph" w:customStyle="1" w:styleId="143">
    <w:name w:val="1 Char"/>
    <w:basedOn w:val="1"/>
    <w:qFormat/>
    <w:uiPriority w:val="0"/>
    <w:pPr>
      <w:spacing w:line="360" w:lineRule="auto"/>
      <w:ind w:firstLine="200" w:firstLineChars="200"/>
    </w:pPr>
    <w:rPr>
      <w:rFonts w:ascii="宋体" w:hAnsi="宋体" w:cs="宋体"/>
      <w:sz w:val="24"/>
      <w:szCs w:val="24"/>
    </w:rPr>
  </w:style>
  <w:style w:type="paragraph" w:customStyle="1" w:styleId="144">
    <w:name w:val="CM46"/>
    <w:basedOn w:val="53"/>
    <w:next w:val="53"/>
    <w:qFormat/>
    <w:uiPriority w:val="99"/>
    <w:pPr>
      <w:spacing w:line="440" w:lineRule="atLeast"/>
    </w:pPr>
    <w:rPr>
      <w:rFonts w:cs="Times New Roman"/>
      <w:color w:val="auto"/>
    </w:rPr>
  </w:style>
  <w:style w:type="paragraph" w:customStyle="1" w:styleId="145">
    <w:name w:val="其他"/>
    <w:basedOn w:val="1"/>
    <w:link w:val="181"/>
    <w:qFormat/>
    <w:uiPriority w:val="0"/>
    <w:pPr>
      <w:shd w:val="clear" w:color="auto" w:fill="FFFFFF"/>
      <w:spacing w:line="430" w:lineRule="auto"/>
      <w:ind w:firstLine="400"/>
      <w:jc w:val="distribute"/>
    </w:pPr>
    <w:rPr>
      <w:rFonts w:ascii="宋体" w:hAnsi="宋体" w:cs="宋体"/>
      <w:kern w:val="0"/>
      <w:sz w:val="20"/>
      <w:szCs w:val="20"/>
      <w:lang w:val="zh-CN" w:bidi="zh-CN"/>
    </w:rPr>
  </w:style>
  <w:style w:type="paragraph" w:customStyle="1" w:styleId="146">
    <w:name w:val="CM92"/>
    <w:basedOn w:val="53"/>
    <w:next w:val="53"/>
    <w:qFormat/>
    <w:uiPriority w:val="99"/>
    <w:pPr>
      <w:spacing w:line="443" w:lineRule="atLeast"/>
    </w:pPr>
    <w:rPr>
      <w:rFonts w:cs="Times New Roman"/>
      <w:color w:val="auto"/>
    </w:rPr>
  </w:style>
  <w:style w:type="character" w:customStyle="1" w:styleId="147">
    <w:name w:val="批注框文本 字符"/>
    <w:link w:val="25"/>
    <w:semiHidden/>
    <w:qFormat/>
    <w:uiPriority w:val="99"/>
    <w:rPr>
      <w:sz w:val="18"/>
      <w:szCs w:val="18"/>
    </w:rPr>
  </w:style>
  <w:style w:type="character" w:customStyle="1" w:styleId="148">
    <w:name w:val="标题 6 字符"/>
    <w:link w:val="8"/>
    <w:qFormat/>
    <w:uiPriority w:val="9"/>
    <w:rPr>
      <w:rFonts w:ascii="Cambria" w:hAnsi="Cambria" w:eastAsia="宋体"/>
      <w:bCs/>
      <w:kern w:val="2"/>
      <w:sz w:val="21"/>
      <w:szCs w:val="24"/>
      <w:lang w:val="en-US" w:eastAsia="zh-CN" w:bidi="ar-SA"/>
    </w:rPr>
  </w:style>
  <w:style w:type="character" w:customStyle="1" w:styleId="149">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50">
    <w:name w:val="正文文本 (7)_"/>
    <w:link w:val="91"/>
    <w:qFormat/>
    <w:uiPriority w:val="0"/>
    <w:rPr>
      <w:rFonts w:ascii="宋体" w:hAnsi="宋体" w:cs="宋体"/>
      <w:spacing w:val="10"/>
      <w:sz w:val="22"/>
      <w:szCs w:val="22"/>
      <w:shd w:val="clear" w:color="auto" w:fill="FFFFFF"/>
    </w:rPr>
  </w:style>
  <w:style w:type="character" w:customStyle="1" w:styleId="151">
    <w:name w:val="正文文本首行缩进 字符"/>
    <w:link w:val="41"/>
    <w:semiHidden/>
    <w:qFormat/>
    <w:uiPriority w:val="99"/>
    <w:rPr>
      <w:rFonts w:ascii="Times New Roman" w:hAnsi="Times New Roman"/>
      <w:kern w:val="2"/>
      <w:sz w:val="21"/>
      <w:szCs w:val="22"/>
    </w:rPr>
  </w:style>
  <w:style w:type="character" w:customStyle="1" w:styleId="152">
    <w:name w:val="正文首行缩进 字符"/>
    <w:qFormat/>
    <w:uiPriority w:val="0"/>
    <w:rPr>
      <w:rFonts w:ascii="黑体" w:hAnsi="仿宋_GB2312" w:eastAsia="宋体"/>
      <w:kern w:val="2"/>
      <w:sz w:val="21"/>
      <w:szCs w:val="24"/>
      <w:lang w:val="en-US" w:eastAsia="zh-CN" w:bidi="ar-SA"/>
    </w:rPr>
  </w:style>
  <w:style w:type="character" w:customStyle="1" w:styleId="153">
    <w:name w:val="标题 3 字符"/>
    <w:link w:val="2"/>
    <w:qFormat/>
    <w:uiPriority w:val="9"/>
    <w:rPr>
      <w:b/>
      <w:bCs/>
      <w:sz w:val="32"/>
      <w:szCs w:val="32"/>
    </w:rPr>
  </w:style>
  <w:style w:type="character" w:customStyle="1" w:styleId="154">
    <w:name w:val="_Style 153"/>
    <w:unhideWhenUsed/>
    <w:qFormat/>
    <w:uiPriority w:val="99"/>
    <w:rPr>
      <w:color w:val="605E5C"/>
      <w:shd w:val="clear" w:color="auto" w:fill="E1DFDD"/>
    </w:rPr>
  </w:style>
  <w:style w:type="character" w:customStyle="1" w:styleId="155">
    <w:name w:val="脚注文本 字符"/>
    <w:link w:val="31"/>
    <w:qFormat/>
    <w:uiPriority w:val="99"/>
    <w:rPr>
      <w:sz w:val="18"/>
      <w:szCs w:val="18"/>
    </w:rPr>
  </w:style>
  <w:style w:type="character" w:customStyle="1" w:styleId="156">
    <w:name w:val="正文文本 (7) + 间距 0 pt Exact"/>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57">
    <w:name w:val="副标题 字符"/>
    <w:link w:val="30"/>
    <w:qFormat/>
    <w:uiPriority w:val="11"/>
    <w:rPr>
      <w:rFonts w:ascii="Cambria" w:hAnsi="Cambria" w:eastAsia="宋体" w:cs="Times New Roman"/>
      <w:b/>
      <w:bCs/>
      <w:kern w:val="28"/>
      <w:sz w:val="32"/>
      <w:szCs w:val="32"/>
    </w:rPr>
  </w:style>
  <w:style w:type="character" w:customStyle="1" w:styleId="158">
    <w:name w:val="MSG_EN_FONT_STYLE_NAME_TEMPLATE_ROLE_NUMBER MSG_EN_FONT_STYLE_NAME_BY_ROLE_TEXT 13_"/>
    <w:link w:val="99"/>
    <w:qFormat/>
    <w:uiPriority w:val="0"/>
    <w:rPr>
      <w:rFonts w:ascii="PMingLiU" w:hAnsi="PMingLiU" w:eastAsia="PMingLiU" w:cs="PMingLiU"/>
      <w:shd w:val="clear" w:color="auto" w:fill="FFFFFF"/>
    </w:rPr>
  </w:style>
  <w:style w:type="character" w:customStyle="1" w:styleId="159">
    <w:name w:val="标题 1 字符"/>
    <w:link w:val="3"/>
    <w:qFormat/>
    <w:uiPriority w:val="9"/>
    <w:rPr>
      <w:b/>
      <w:bCs/>
      <w:kern w:val="44"/>
      <w:sz w:val="44"/>
      <w:szCs w:val="44"/>
    </w:rPr>
  </w:style>
  <w:style w:type="character" w:customStyle="1" w:styleId="160">
    <w:name w:val="页脚 字符"/>
    <w:link w:val="26"/>
    <w:qFormat/>
    <w:uiPriority w:val="99"/>
    <w:rPr>
      <w:sz w:val="18"/>
      <w:szCs w:val="18"/>
    </w:rPr>
  </w:style>
  <w:style w:type="character" w:customStyle="1" w:styleId="161">
    <w:name w:val="MSG_EN_FONT_STYLE_NAME_TEMPLATE_ROLE_NUMBER MSG_EN_FONT_STYLE_NAME_BY_ROLE_TEXT 13 + MSG_EN_FONT_STYLE_MODIFER_NAME Courier New"/>
    <w:qFormat/>
    <w:uiPriority w:val="0"/>
    <w:rPr>
      <w:rFonts w:ascii="Courier New" w:hAnsi="Courier New" w:eastAsia="Courier New" w:cs="Courier New"/>
      <w:b/>
      <w:bCs/>
      <w:color w:val="000000"/>
      <w:spacing w:val="0"/>
      <w:w w:val="100"/>
      <w:position w:val="0"/>
      <w:sz w:val="26"/>
      <w:szCs w:val="26"/>
      <w:u w:val="none"/>
      <w:shd w:val="clear" w:color="auto" w:fill="FFFFFF"/>
      <w:lang w:val="en-US" w:eastAsia="en-US" w:bidi="en-US"/>
    </w:rPr>
  </w:style>
  <w:style w:type="character" w:customStyle="1" w:styleId="162">
    <w:name w:val=" Char Char10"/>
    <w:qFormat/>
    <w:uiPriority w:val="0"/>
    <w:rPr>
      <w:rFonts w:ascii="Calibri" w:hAnsi="Calibri" w:eastAsia="宋体"/>
      <w:b/>
      <w:bCs/>
      <w:kern w:val="44"/>
      <w:sz w:val="44"/>
      <w:szCs w:val="44"/>
      <w:lang w:val="en-US" w:eastAsia="zh-CN" w:bidi="ar-SA"/>
    </w:rPr>
  </w:style>
  <w:style w:type="character" w:customStyle="1" w:styleId="163">
    <w:name w:val="标题 3 Char"/>
    <w:qFormat/>
    <w:uiPriority w:val="9"/>
    <w:rPr>
      <w:rFonts w:ascii="Times New Roman" w:hAnsi="Times New Roman" w:eastAsia="宋体" w:cs="Times New Roman"/>
      <w:b/>
      <w:bCs/>
      <w:sz w:val="24"/>
      <w:szCs w:val="32"/>
    </w:rPr>
  </w:style>
  <w:style w:type="character" w:customStyle="1" w:styleId="164">
    <w:name w:val="正文文本 (2) + 11.5 pt"/>
    <w:qFormat/>
    <w:uiPriority w:val="0"/>
    <w:rPr>
      <w:rFonts w:ascii="宋体" w:hAnsi="宋体" w:eastAsia="宋体" w:cs="宋体"/>
      <w:b/>
      <w:bCs/>
      <w:color w:val="000000"/>
      <w:spacing w:val="0"/>
      <w:w w:val="100"/>
      <w:position w:val="0"/>
      <w:sz w:val="23"/>
      <w:szCs w:val="23"/>
      <w:u w:val="none"/>
      <w:shd w:val="clear" w:color="auto" w:fill="FFFFFF"/>
      <w:lang w:val="zh-TW" w:eastAsia="zh-TW" w:bidi="zh-TW"/>
    </w:rPr>
  </w:style>
  <w:style w:type="character" w:customStyle="1" w:styleId="165">
    <w:name w:val="标题 5 字符"/>
    <w:link w:val="7"/>
    <w:qFormat/>
    <w:uiPriority w:val="0"/>
    <w:rPr>
      <w:rFonts w:ascii="Calibri" w:hAnsi="Calibri" w:eastAsia="宋体"/>
      <w:bCs/>
      <w:kern w:val="2"/>
      <w:sz w:val="21"/>
      <w:szCs w:val="28"/>
      <w:lang w:val="en-US" w:eastAsia="zh-CN" w:bidi="ar-SA"/>
    </w:rPr>
  </w:style>
  <w:style w:type="character" w:customStyle="1" w:styleId="166">
    <w:name w:val=" Char2 Char Char"/>
    <w:semiHidden/>
    <w:qFormat/>
    <w:uiPriority w:val="0"/>
    <w:rPr>
      <w:rFonts w:eastAsia="宋体"/>
      <w:kern w:val="2"/>
      <w:sz w:val="18"/>
      <w:szCs w:val="18"/>
      <w:lang w:val="en-US" w:eastAsia="zh-CN" w:bidi="ar-SA"/>
    </w:rPr>
  </w:style>
  <w:style w:type="character" w:customStyle="1" w:styleId="167">
    <w:name w:val=" Char Char14"/>
    <w:qFormat/>
    <w:locked/>
    <w:uiPriority w:val="0"/>
    <w:rPr>
      <w:rFonts w:ascii="Calibri" w:hAnsi="Calibri" w:eastAsia="宋体" w:cs="Calibri"/>
      <w:kern w:val="2"/>
      <w:sz w:val="18"/>
      <w:szCs w:val="18"/>
      <w:lang w:val="en-US" w:eastAsia="zh-CN" w:bidi="ar-SA"/>
    </w:rPr>
  </w:style>
  <w:style w:type="character" w:customStyle="1" w:styleId="168">
    <w:name w:val="正文文本缩进 3 字符"/>
    <w:link w:val="33"/>
    <w:qFormat/>
    <w:uiPriority w:val="99"/>
    <w:rPr>
      <w:rFonts w:ascii="Times New Roman" w:hAnsi="Times New Roman"/>
      <w:kern w:val="2"/>
      <w:sz w:val="21"/>
      <w:szCs w:val="24"/>
    </w:rPr>
  </w:style>
  <w:style w:type="character" w:customStyle="1" w:styleId="169">
    <w:name w:val="正文文本 (2)_"/>
    <w:link w:val="68"/>
    <w:qFormat/>
    <w:uiPriority w:val="0"/>
    <w:rPr>
      <w:rFonts w:ascii="宋体" w:hAnsi="宋体" w:cs="宋体"/>
      <w:sz w:val="22"/>
      <w:szCs w:val="22"/>
      <w:shd w:val="clear" w:color="auto" w:fill="FFFFFF"/>
    </w:rPr>
  </w:style>
  <w:style w:type="character" w:customStyle="1" w:styleId="170">
    <w:name w:val="页眉 字符"/>
    <w:link w:val="27"/>
    <w:qFormat/>
    <w:uiPriority w:val="0"/>
    <w:rPr>
      <w:sz w:val="18"/>
      <w:szCs w:val="18"/>
    </w:rPr>
  </w:style>
  <w:style w:type="character" w:customStyle="1" w:styleId="171">
    <w:name w:val="正文文本 (2) + Sylfaen"/>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72">
    <w:name w:val="Char2 Char Char"/>
    <w:qFormat/>
    <w:uiPriority w:val="0"/>
    <w:rPr>
      <w:rFonts w:eastAsia="宋体"/>
      <w:sz w:val="21"/>
      <w:lang w:val="en-US" w:eastAsia="zh-CN" w:bidi="ar-SA"/>
    </w:rPr>
  </w:style>
  <w:style w:type="character" w:customStyle="1" w:styleId="173">
    <w:name w:val="MSG_EN_FONT_STYLE_NAME_TEMPLATE_ROLE_NUMBER MSG_EN_FONT_STYLE_NAME_BY_ROLE_TEXT 13 + MSG_EN_FONT_STYLE_MODIFER_SIZE 8.5"/>
    <w:qFormat/>
    <w:uiPriority w:val="0"/>
    <w:rPr>
      <w:rFonts w:ascii="PMingLiU" w:hAnsi="PMingLiU" w:eastAsia="PMingLiU" w:cs="PMingLiU"/>
      <w:color w:val="000000"/>
      <w:spacing w:val="0"/>
      <w:w w:val="100"/>
      <w:position w:val="0"/>
      <w:sz w:val="17"/>
      <w:szCs w:val="17"/>
      <w:u w:val="none"/>
      <w:shd w:val="clear" w:color="auto" w:fill="FFFFFF"/>
      <w:lang w:val="zh-CN" w:eastAsia="zh-CN" w:bidi="zh-CN"/>
    </w:rPr>
  </w:style>
  <w:style w:type="character" w:customStyle="1" w:styleId="174">
    <w:name w:val="正文文本 (2) + Lucida Sans Unicod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75">
    <w:name w:val="标题 2 字符"/>
    <w:link w:val="4"/>
    <w:qFormat/>
    <w:uiPriority w:val="9"/>
    <w:rPr>
      <w:rFonts w:ascii="Cambria" w:hAnsi="Cambria" w:eastAsia="宋体" w:cs="Times New Roman"/>
      <w:b/>
      <w:bCs/>
      <w:sz w:val="32"/>
      <w:szCs w:val="32"/>
    </w:rPr>
  </w:style>
  <w:style w:type="character" w:customStyle="1" w:styleId="176">
    <w:name w:val="正文文本 (2) + 间距 4 pt"/>
    <w:qFormat/>
    <w:uiPriority w:val="0"/>
    <w:rPr>
      <w:rFonts w:ascii="宋体" w:hAnsi="宋体" w:eastAsia="宋体" w:cs="宋体"/>
      <w:color w:val="000000"/>
      <w:spacing w:val="80"/>
      <w:w w:val="100"/>
      <w:position w:val="0"/>
      <w:sz w:val="22"/>
      <w:szCs w:val="22"/>
      <w:u w:val="none"/>
      <w:shd w:val="clear" w:color="auto" w:fill="FFFFFF"/>
      <w:lang w:val="zh-TW" w:eastAsia="zh-TW" w:bidi="zh-TW"/>
    </w:rPr>
  </w:style>
  <w:style w:type="character" w:customStyle="1" w:styleId="177">
    <w:name w:val="正文文本 字符"/>
    <w:link w:val="16"/>
    <w:qFormat/>
    <w:uiPriority w:val="0"/>
    <w:rPr>
      <w:rFonts w:ascii="Times New Roman" w:hAnsi="Times New Roman"/>
      <w:kern w:val="2"/>
      <w:sz w:val="28"/>
      <w:szCs w:val="24"/>
    </w:rPr>
  </w:style>
  <w:style w:type="character" w:customStyle="1" w:styleId="178">
    <w:name w:val="标题 4 字符"/>
    <w:link w:val="6"/>
    <w:qFormat/>
    <w:uiPriority w:val="9"/>
    <w:rPr>
      <w:rFonts w:ascii="Cambria" w:hAnsi="Cambria" w:eastAsia="黑体"/>
      <w:bCs/>
      <w:kern w:val="2"/>
      <w:sz w:val="24"/>
      <w:szCs w:val="28"/>
    </w:rPr>
  </w:style>
  <w:style w:type="character" w:customStyle="1" w:styleId="179">
    <w:name w:val="纯文本 Char1"/>
    <w:qFormat/>
    <w:locked/>
    <w:uiPriority w:val="0"/>
    <w:rPr>
      <w:rFonts w:ascii="宋体" w:hAnsi="Courier New" w:eastAsia="宋体" w:cs="宋体"/>
      <w:szCs w:val="21"/>
    </w:rPr>
  </w:style>
  <w:style w:type="character" w:customStyle="1" w:styleId="180">
    <w:name w:val="Char Char1"/>
    <w:semiHidden/>
    <w:qFormat/>
    <w:locked/>
    <w:uiPriority w:val="0"/>
    <w:rPr>
      <w:rFonts w:ascii="Calibri" w:hAnsi="Calibri" w:eastAsia="宋体"/>
      <w:kern w:val="2"/>
      <w:sz w:val="18"/>
      <w:szCs w:val="18"/>
      <w:lang w:val="en-US" w:eastAsia="zh-CN" w:bidi="ar-SA"/>
    </w:rPr>
  </w:style>
  <w:style w:type="character" w:customStyle="1" w:styleId="181">
    <w:name w:val="其他_"/>
    <w:link w:val="145"/>
    <w:qFormat/>
    <w:uiPriority w:val="0"/>
    <w:rPr>
      <w:rFonts w:ascii="宋体" w:hAnsi="宋体" w:cs="宋体"/>
      <w:shd w:val="clear" w:color="auto" w:fill="FFFFFF"/>
      <w:lang w:val="zh-CN" w:bidi="zh-CN"/>
    </w:rPr>
  </w:style>
  <w:style w:type="table" w:customStyle="1" w:styleId="182">
    <w:name w:val="Table Normal2"/>
    <w:unhideWhenUsed/>
    <w:qFormat/>
    <w:uiPriority w:val="2"/>
    <w:pPr>
      <w:widowControl w:val="0"/>
      <w:autoSpaceDE w:val="0"/>
      <w:autoSpaceDN w:val="0"/>
    </w:pPr>
    <w:rPr>
      <w:sz w:val="22"/>
      <w:szCs w:val="22"/>
      <w:lang w:val="en-US" w:eastAsia="en-US" w:bidi="ar-SA"/>
    </w:rPr>
    <w:tblPr>
      <w:tblCellMar>
        <w:top w:w="0" w:type="dxa"/>
        <w:left w:w="0" w:type="dxa"/>
        <w:bottom w:w="0" w:type="dxa"/>
        <w:right w:w="0" w:type="dxa"/>
      </w:tblCellMar>
    </w:tblPr>
  </w:style>
  <w:style w:type="table" w:customStyle="1" w:styleId="183">
    <w:name w:val="Table Normal"/>
    <w:unhideWhenUsed/>
    <w:qFormat/>
    <w:uiPriority w:val="2"/>
    <w:pPr>
      <w:widowControl w:val="0"/>
      <w:autoSpaceDE w:val="0"/>
      <w:autoSpaceDN w:val="0"/>
    </w:pPr>
    <w:rPr>
      <w:sz w:val="22"/>
      <w:szCs w:val="22"/>
      <w:lang w:val="en-US" w:eastAsia="en-US" w:bidi="ar-SA"/>
    </w:rPr>
    <w:tblPr>
      <w:tblCellMar>
        <w:top w:w="0" w:type="dxa"/>
        <w:left w:w="0" w:type="dxa"/>
        <w:bottom w:w="0" w:type="dxa"/>
        <w:right w:w="0" w:type="dxa"/>
      </w:tblCellMar>
    </w:tblPr>
  </w:style>
  <w:style w:type="table" w:customStyle="1" w:styleId="184">
    <w:name w:val="Table Normal1"/>
    <w:unhideWhenUsed/>
    <w:qFormat/>
    <w:uiPriority w:val="2"/>
    <w:pPr>
      <w:widowControl w:val="0"/>
      <w:autoSpaceDE w:val="0"/>
      <w:autoSpaceDN w:val="0"/>
    </w:pPr>
    <w:rPr>
      <w:sz w:val="22"/>
      <w:szCs w:val="22"/>
      <w:lang w:val="en-US" w:eastAsia="en-US"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1144</Words>
  <Characters>6521</Characters>
  <Lines>54</Lines>
  <Paragraphs>15</Paragraphs>
  <TotalTime>1</TotalTime>
  <ScaleCrop>false</ScaleCrop>
  <LinksUpToDate>false</LinksUpToDate>
  <CharactersWithSpaces>7650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2020-04-13T05:09:00Z</dcterms:created>
  <dc:creator>1</dc:creator>
  <cp:lastModifiedBy>Volcanobaby是我啊</cp:lastModifiedBy>
  <cp:lastPrinted>2019-07-15T23:28:00Z</cp:lastPrinted>
  <dcterms:modified xsi:type="dcterms:W3CDTF">2020-05-11T02:53:28Z</dcterms:modified>
  <dc:title>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