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ascii="宋体" w:hAnsi="宋体" w:cs="黑体"/>
          <w:b/>
          <w:bCs/>
          <w:szCs w:val="21"/>
        </w:rPr>
      </w:pPr>
      <w:bookmarkStart w:id="0" w:name="OLE_LINK3"/>
      <w:bookmarkStart w:id="1" w:name="_Toc197950681"/>
      <w:bookmarkStart w:id="2" w:name="_Toc197960544"/>
      <w:bookmarkStart w:id="3" w:name="_Toc197951587"/>
      <w:bookmarkStart w:id="4" w:name="_Toc197950802"/>
      <w:bookmarkStart w:id="5" w:name="_Toc197967265"/>
      <w:bookmarkStart w:id="6" w:name="_Toc197967117"/>
      <w:bookmarkStart w:id="7" w:name="_Toc197960492"/>
      <w:bookmarkStart w:id="8" w:name="_Toc197965596"/>
      <w:bookmarkStart w:id="9" w:name="_Toc197951555"/>
      <w:bookmarkStart w:id="37" w:name="_GoBack"/>
      <w:bookmarkEnd w:id="37"/>
      <w:r>
        <w:rPr>
          <w:rFonts w:hint="eastAsia" w:ascii="宋体" w:hAnsi="宋体" w:cs="黑体"/>
          <w:b/>
          <w:bCs/>
          <w:szCs w:val="21"/>
        </w:rPr>
        <w:t>吉林省高速公路集团有限公司“十四五”发展规划编制咨询服务机构采购项目</w:t>
      </w:r>
    </w:p>
    <w:p>
      <w:pPr>
        <w:spacing w:after="240" w:afterLines="100" w:line="360" w:lineRule="atLeast"/>
        <w:jc w:val="center"/>
        <w:rPr>
          <w:b/>
          <w:bCs/>
          <w:szCs w:val="21"/>
        </w:rPr>
      </w:pPr>
      <w:r>
        <w:rPr>
          <w:rFonts w:hint="eastAsia" w:ascii="宋体" w:hAnsi="宋体" w:cs="黑体"/>
          <w:b/>
          <w:bCs/>
          <w:szCs w:val="21"/>
        </w:rPr>
        <w:t>磋商文件关键内容信息公开</w:t>
      </w:r>
    </w:p>
    <w:p>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bookmarkStart w:id="10" w:name="_Toc455056348"/>
      <w:bookmarkStart w:id="11" w:name="_Toc257655333"/>
      <w:bookmarkStart w:id="12" w:name="_Toc356741794"/>
      <w:bookmarkStart w:id="13" w:name="_Toc452566687"/>
      <w:bookmarkStart w:id="14" w:name="_Toc452885007"/>
      <w:bookmarkStart w:id="15" w:name="_Toc444517394"/>
      <w:bookmarkStart w:id="16" w:name="_Toc361838108"/>
      <w:r>
        <w:rPr>
          <w:rFonts w:hint="eastAsia" w:ascii="宋体" w:hAnsi="宋体" w:cs="黑体"/>
          <w:kern w:val="0"/>
          <w:szCs w:val="21"/>
        </w:rPr>
        <w:t>受吉林省高速公路集团有限公司委托，国信招标集团股份有限公司对吉林省高速公路集团有限公司“十四五”发展规划编制咨询服务机构采购项目（项目编号：GXTC-CZ-A-2068009）以竞争性磋商采购方式组织采购，欢迎符合条件的投标人参加磋商。</w:t>
      </w:r>
    </w:p>
    <w:p>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hint="eastAsia" w:ascii="宋体" w:hAnsi="宋体" w:cs="黑体"/>
          <w:kern w:val="0"/>
          <w:szCs w:val="21"/>
        </w:rPr>
        <w:t>采购项目的名称、预算金额及最高限价</w:t>
      </w:r>
    </w:p>
    <w:p>
      <w:pPr>
        <w:tabs>
          <w:tab w:val="left" w:pos="709"/>
        </w:tabs>
        <w:autoSpaceDE w:val="0"/>
        <w:autoSpaceDN w:val="0"/>
        <w:adjustRightInd w:val="0"/>
        <w:snapToGrid w:val="0"/>
        <w:spacing w:line="360" w:lineRule="exact"/>
        <w:rPr>
          <w:rFonts w:ascii="宋体" w:hAnsi="宋体" w:cs="黑体"/>
          <w:kern w:val="0"/>
          <w:szCs w:val="21"/>
        </w:rPr>
      </w:pPr>
      <w:r>
        <w:rPr>
          <w:rFonts w:hint="eastAsia" w:ascii="宋体" w:hAnsi="宋体" w:cs="黑体"/>
          <w:kern w:val="0"/>
          <w:szCs w:val="21"/>
        </w:rPr>
        <w:t>采购项目名称：吉林省高速公路集团有限公司“十四五”发展规划编制咨询服务机构采购项目</w:t>
      </w:r>
    </w:p>
    <w:p>
      <w:pPr>
        <w:tabs>
          <w:tab w:val="left" w:pos="709"/>
        </w:tabs>
        <w:autoSpaceDE w:val="0"/>
        <w:autoSpaceDN w:val="0"/>
        <w:adjustRightInd w:val="0"/>
        <w:snapToGrid w:val="0"/>
        <w:spacing w:line="360" w:lineRule="exact"/>
        <w:rPr>
          <w:rFonts w:ascii="宋体" w:hAnsi="宋体" w:eastAsia="仿宋_GB2312" w:cs="黑体"/>
          <w:kern w:val="0"/>
          <w:szCs w:val="21"/>
        </w:rPr>
      </w:pPr>
      <w:r>
        <w:rPr>
          <w:rFonts w:hint="eastAsia" w:ascii="宋体" w:hAnsi="宋体" w:cs="黑体"/>
          <w:kern w:val="0"/>
          <w:szCs w:val="21"/>
        </w:rPr>
        <w:t>预算金额：99万元。</w:t>
      </w:r>
    </w:p>
    <w:p>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hint="eastAsia" w:ascii="宋体" w:hAnsi="宋体" w:cs="黑体"/>
          <w:kern w:val="0"/>
          <w:szCs w:val="21"/>
        </w:rPr>
        <w:t>项目概况</w:t>
      </w:r>
    </w:p>
    <w:p>
      <w:pPr>
        <w:tabs>
          <w:tab w:val="left" w:pos="709"/>
        </w:tabs>
        <w:autoSpaceDE w:val="0"/>
        <w:autoSpaceDN w:val="0"/>
        <w:adjustRightInd w:val="0"/>
        <w:snapToGrid w:val="0"/>
        <w:spacing w:line="360" w:lineRule="exact"/>
        <w:rPr>
          <w:rFonts w:ascii="宋体" w:hAnsi="宋体" w:cs="黑体"/>
          <w:kern w:val="0"/>
          <w:szCs w:val="21"/>
        </w:rPr>
      </w:pPr>
      <w:r>
        <w:rPr>
          <w:rFonts w:hint="eastAsia" w:ascii="宋体" w:hAnsi="宋体" w:cs="黑体"/>
          <w:kern w:val="0"/>
          <w:szCs w:val="21"/>
        </w:rPr>
        <w:t>采购内容、合同包划分：本项目采购的为吉林省高速公路集团有限公司“十四五”发展规划编制服务，具体服务要求详见竞争性磋商文件。本项目划分为1个合同包，即01合同包。</w:t>
      </w:r>
    </w:p>
    <w:p>
      <w:pPr>
        <w:tabs>
          <w:tab w:val="left" w:pos="709"/>
        </w:tabs>
        <w:autoSpaceDE w:val="0"/>
        <w:autoSpaceDN w:val="0"/>
        <w:adjustRightInd w:val="0"/>
        <w:snapToGrid w:val="0"/>
        <w:spacing w:line="360" w:lineRule="exact"/>
        <w:rPr>
          <w:rFonts w:ascii="宋体" w:hAnsi="宋体" w:cs="黑体"/>
          <w:kern w:val="0"/>
          <w:szCs w:val="21"/>
        </w:rPr>
      </w:pPr>
      <w:r>
        <w:rPr>
          <w:rFonts w:hint="eastAsia" w:ascii="宋体" w:hAnsi="宋体" w:cs="黑体"/>
          <w:kern w:val="0"/>
          <w:szCs w:val="21"/>
        </w:rPr>
        <w:t>服务期：签订合同后的四个月内提供全部成果文件，并经采购人验收合格；提供成果文件后免费提供12个月咨询服务。</w:t>
      </w:r>
    </w:p>
    <w:p>
      <w:pPr>
        <w:tabs>
          <w:tab w:val="left" w:pos="709"/>
        </w:tabs>
        <w:autoSpaceDE w:val="0"/>
        <w:autoSpaceDN w:val="0"/>
        <w:adjustRightInd w:val="0"/>
        <w:snapToGrid w:val="0"/>
        <w:spacing w:line="360" w:lineRule="exact"/>
        <w:rPr>
          <w:rFonts w:ascii="宋体" w:hAnsi="宋体" w:cs="黑体"/>
          <w:kern w:val="0"/>
          <w:szCs w:val="21"/>
        </w:rPr>
      </w:pPr>
      <w:r>
        <w:rPr>
          <w:rFonts w:hint="eastAsia" w:ascii="宋体" w:hAnsi="宋体" w:cs="黑体"/>
          <w:kern w:val="0"/>
          <w:szCs w:val="21"/>
        </w:rPr>
        <w:t>服务地点：吉林省高速公路集团有限公司。</w:t>
      </w:r>
    </w:p>
    <w:p>
      <w:pPr>
        <w:numPr>
          <w:ilvl w:val="0"/>
          <w:numId w:val="2"/>
        </w:numPr>
        <w:tabs>
          <w:tab w:val="left" w:pos="709"/>
        </w:tabs>
        <w:autoSpaceDE w:val="0"/>
        <w:autoSpaceDN w:val="0"/>
        <w:adjustRightInd w:val="0"/>
        <w:snapToGrid w:val="0"/>
        <w:spacing w:line="360" w:lineRule="exact"/>
        <w:ind w:left="0" w:firstLine="0"/>
        <w:rPr>
          <w:rFonts w:ascii="宋体" w:hAnsi="宋体" w:cs="黑体"/>
          <w:kern w:val="0"/>
          <w:szCs w:val="21"/>
        </w:rPr>
      </w:pPr>
      <w:r>
        <w:rPr>
          <w:rFonts w:hint="eastAsia" w:ascii="宋体" w:hAnsi="宋体" w:cs="黑体"/>
          <w:kern w:val="0"/>
          <w:szCs w:val="21"/>
        </w:rPr>
        <w:t>投标人资格要求</w:t>
      </w:r>
    </w:p>
    <w:p>
      <w:pPr>
        <w:adjustRightInd w:val="0"/>
        <w:snapToGrid w:val="0"/>
        <w:spacing w:line="360" w:lineRule="exact"/>
        <w:ind w:firstLine="420" w:firstLineChars="200"/>
        <w:jc w:val="left"/>
        <w:rPr>
          <w:rFonts w:ascii="宋体" w:hAnsi="宋体" w:cs="宋体"/>
          <w:b/>
          <w:bCs/>
          <w:szCs w:val="21"/>
        </w:rPr>
      </w:pPr>
      <w:bookmarkStart w:id="17" w:name="_Toc17111"/>
      <w:bookmarkStart w:id="18" w:name="_Toc7298"/>
      <w:r>
        <w:rPr>
          <w:rFonts w:hint="eastAsia" w:ascii="宋体" w:hAnsi="宋体" w:cs="宋体"/>
          <w:szCs w:val="21"/>
        </w:rPr>
        <w:t>1、 投标人需是在中华人民共和国境内注册，具有独立法人资格</w:t>
      </w:r>
      <w:bookmarkEnd w:id="17"/>
      <w:bookmarkEnd w:id="18"/>
      <w:r>
        <w:rPr>
          <w:rFonts w:hint="eastAsia" w:ascii="宋体" w:hAnsi="宋体" w:cs="宋体"/>
          <w:szCs w:val="21"/>
        </w:rPr>
        <w:t>。</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 具有良好的商业信誉和健全的财务会计制度；具有履行合同所必需的设备和专业技术能力；有依法缴纳税收和社会保障资金的良好记录。</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3、参加采购活动前三年内，在经营活动中没有重大违法记录（重大违法记录是指供应商因违法经营受到刑事处罚或者责令停产停业、吊销许可证或者执照、较大数额罚款等行政处罚）。</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被“信用中国”网站（www.creditchina.gov.cn）中列入失信被执行人和重大税收违法案件当事人名单的供应商、被“国家企业信用信息公示系统”网站（http://www.gsxt.gov.cn/）中被列入严重违法失信企业名单的供应商，无资格参加本项目的采购活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5、单位负责人为同一人或者存在控股、管理关系的不同单位，不得同时参加本项目的投标；与采购人存在利害关系可能影响采购公正性的法人、其他组织或者个人，不得参加本项目投标。</w:t>
      </w:r>
    </w:p>
    <w:p>
      <w:pPr>
        <w:adjustRightInd w:val="0"/>
        <w:snapToGrid w:val="0"/>
        <w:spacing w:line="360" w:lineRule="exact"/>
        <w:ind w:firstLine="420" w:firstLineChars="200"/>
        <w:jc w:val="left"/>
        <w:rPr>
          <w:rFonts w:ascii="宋体" w:hAnsi="宋体" w:cs="黑体"/>
          <w:kern w:val="0"/>
          <w:szCs w:val="21"/>
        </w:rPr>
      </w:pPr>
      <w:r>
        <w:rPr>
          <w:rFonts w:hint="eastAsia" w:ascii="宋体" w:hAnsi="宋体" w:cs="宋体"/>
          <w:szCs w:val="21"/>
        </w:rPr>
        <w:t>6、本项目不接受联合体。</w:t>
      </w:r>
    </w:p>
    <w:bookmarkEnd w:id="0"/>
    <w:bookmarkEnd w:id="10"/>
    <w:bookmarkEnd w:id="11"/>
    <w:bookmarkEnd w:id="12"/>
    <w:bookmarkEnd w:id="13"/>
    <w:bookmarkEnd w:id="14"/>
    <w:bookmarkEnd w:id="15"/>
    <w:bookmarkEnd w:id="16"/>
    <w:p>
      <w:pPr>
        <w:keepNext/>
        <w:keepLines/>
        <w:tabs>
          <w:tab w:val="left" w:pos="426"/>
        </w:tabs>
        <w:spacing w:line="360" w:lineRule="exact"/>
        <w:jc w:val="left"/>
        <w:outlineLvl w:val="2"/>
        <w:rPr>
          <w:rFonts w:ascii="宋体" w:hAnsi="宋体"/>
          <w:bCs/>
          <w:kern w:val="44"/>
          <w:szCs w:val="21"/>
        </w:rPr>
      </w:pPr>
      <w:bookmarkStart w:id="19" w:name="_Toc12959559"/>
      <w:r>
        <w:rPr>
          <w:rFonts w:hint="eastAsia" w:ascii="宋体" w:hAnsi="宋体"/>
          <w:bCs/>
          <w:kern w:val="44"/>
          <w:szCs w:val="21"/>
        </w:rPr>
        <w:t>五、  供应商</w:t>
      </w:r>
      <w:r>
        <w:rPr>
          <w:rFonts w:ascii="宋体" w:hAnsi="宋体"/>
          <w:bCs/>
          <w:kern w:val="44"/>
          <w:szCs w:val="21"/>
        </w:rPr>
        <w:t>须知</w:t>
      </w:r>
      <w:bookmarkEnd w:id="1"/>
      <w:bookmarkEnd w:id="2"/>
      <w:bookmarkEnd w:id="3"/>
      <w:bookmarkEnd w:id="4"/>
      <w:bookmarkEnd w:id="5"/>
      <w:bookmarkEnd w:id="6"/>
      <w:bookmarkEnd w:id="7"/>
      <w:bookmarkEnd w:id="8"/>
      <w:bookmarkEnd w:id="9"/>
      <w:bookmarkEnd w:id="19"/>
    </w:p>
    <w:p>
      <w:pPr>
        <w:autoSpaceDE w:val="0"/>
        <w:autoSpaceDN w:val="0"/>
        <w:adjustRightInd w:val="0"/>
        <w:snapToGrid w:val="0"/>
        <w:spacing w:after="120" w:afterLines="50" w:line="360" w:lineRule="auto"/>
        <w:jc w:val="center"/>
        <w:outlineLvl w:val="1"/>
        <w:rPr>
          <w:rFonts w:ascii="宋体" w:hAnsi="宋体" w:cs="宋体"/>
          <w:kern w:val="44"/>
          <w:szCs w:val="21"/>
        </w:rPr>
      </w:pPr>
      <w:bookmarkStart w:id="20" w:name="_Toc441605620"/>
      <w:bookmarkStart w:id="21" w:name="_Toc12959566"/>
      <w:bookmarkStart w:id="22" w:name="_Toc197967129"/>
      <w:bookmarkStart w:id="23" w:name="_Toc197960550"/>
      <w:bookmarkStart w:id="24" w:name="_Toc197967277"/>
      <w:bookmarkStart w:id="25" w:name="_Toc197965613"/>
      <w:bookmarkStart w:id="26" w:name="_Toc197960498"/>
      <w:r>
        <w:rPr>
          <w:rFonts w:hint="eastAsia" w:ascii="宋体" w:hAnsi="宋体" w:cs="宋体"/>
          <w:kern w:val="0"/>
          <w:szCs w:val="21"/>
        </w:rPr>
        <w:t>供应商须知前附表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条款号</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条 款 名 称</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_Ref527101463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1.7</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ascii="MS Mincho" w:hAnsi="MS Mincho" w:eastAsia="MS Mincho" w:cs="MS Mincho"/>
                <w:kern w:val="0"/>
                <w:szCs w:val="21"/>
              </w:rPr>
              <w:t>☑</w:t>
            </w:r>
            <w:r>
              <w:rPr>
                <w:rFonts w:hint="eastAsia" w:cs="宋体" w:asciiTheme="minorEastAsia" w:hAnsiTheme="minorEastAsia" w:eastAsiaTheme="minorEastAsia"/>
                <w:kern w:val="0"/>
                <w:szCs w:val="21"/>
              </w:rPr>
              <w:t>不允许</w:t>
            </w:r>
          </w:p>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□允  许：</w:t>
            </w:r>
          </w:p>
          <w:p>
            <w:pPr>
              <w:autoSpaceDE w:val="0"/>
              <w:autoSpaceDN w:val="0"/>
              <w:adjustRightInd w:val="0"/>
              <w:snapToGrid w:val="0"/>
              <w:ind w:left="311" w:leftChars="14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分包内容要求：</w:t>
            </w:r>
          </w:p>
          <w:p>
            <w:pPr>
              <w:autoSpaceDE w:val="0"/>
              <w:autoSpaceDN w:val="0"/>
              <w:adjustRightInd w:val="0"/>
              <w:snapToGrid w:val="0"/>
              <w:ind w:left="311" w:leftChars="14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_Ref527292580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1.12.1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现场踏勘</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ascii="MS Mincho" w:hAnsi="MS Mincho" w:eastAsia="MS Mincho" w:cs="MS Mincho"/>
                <w:kern w:val="0"/>
                <w:szCs w:val="21"/>
              </w:rPr>
              <w:t>☑</w:t>
            </w:r>
            <w:r>
              <w:rPr>
                <w:rFonts w:hint="eastAsia" w:cs="宋体" w:asciiTheme="minorEastAsia" w:hAnsiTheme="minorEastAsia" w:eastAsiaTheme="minorEastAsia"/>
                <w:kern w:val="0"/>
                <w:szCs w:val="21"/>
              </w:rPr>
              <w:t>不组织</w:t>
            </w:r>
          </w:p>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  织：</w:t>
            </w:r>
          </w:p>
          <w:p>
            <w:pPr>
              <w:autoSpaceDE w:val="0"/>
              <w:autoSpaceDN w:val="0"/>
              <w:adjustRightInd w:val="0"/>
              <w:snapToGrid w:val="0"/>
              <w:ind w:left="311" w:leftChars="14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踏勘时间：</w:t>
            </w:r>
          </w:p>
          <w:p>
            <w:pPr>
              <w:autoSpaceDE w:val="0"/>
              <w:autoSpaceDN w:val="0"/>
              <w:adjustRightInd w:val="0"/>
              <w:snapToGrid w:val="0"/>
              <w:ind w:left="311" w:leftChars="148"/>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_Ref527101604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2.2.2</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供应商询问或要求澄清的截止时间</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_Ref527101721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2.3</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outlineLvl w:val="0"/>
              <w:rPr>
                <w:rFonts w:cs="宋体" w:asciiTheme="minorEastAsia" w:hAnsiTheme="minorEastAsia" w:eastAsiaTheme="minorEastAsia"/>
                <w:kern w:val="0"/>
                <w:szCs w:val="21"/>
              </w:rPr>
            </w:pPr>
            <w:bookmarkStart w:id="27" w:name="_Toc14340437"/>
            <w:bookmarkStart w:id="28" w:name="_Toc11744960"/>
            <w:r>
              <w:rPr>
                <w:rFonts w:hint="eastAsia" w:cs="宋体" w:asciiTheme="minorEastAsia" w:hAnsiTheme="minorEastAsia" w:eastAsiaTheme="minorEastAsia"/>
                <w:kern w:val="0"/>
                <w:szCs w:val="21"/>
              </w:rPr>
              <w:t>质疑函送达方式</w:t>
            </w:r>
            <w:bookmarkEnd w:id="27"/>
            <w:bookmarkEnd w:id="28"/>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left="27" w:leftChars="13"/>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质疑提出人应将质疑函原件委派专人或通过邮寄方式</w:t>
            </w:r>
            <w:r>
              <w:rPr>
                <w:rFonts w:hint="eastAsia" w:cs="宋体" w:asciiTheme="minorEastAsia" w:hAnsiTheme="minorEastAsia" w:eastAsiaTheme="minorEastAsia"/>
                <w:szCs w:val="21"/>
              </w:rPr>
              <w:t>在知道或者应知其权益受到损害之日起7个工作日内</w:t>
            </w:r>
            <w:r>
              <w:rPr>
                <w:rFonts w:hint="eastAsia" w:cs="宋体" w:asciiTheme="minorEastAsia" w:hAnsiTheme="minorEastAsia" w:eastAsiaTheme="minorEastAsia"/>
                <w:kern w:val="0"/>
                <w:szCs w:val="21"/>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_Ref527102185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3.6.1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outlineLvl w:val="0"/>
              <w:rPr>
                <w:rFonts w:cs="宋体" w:asciiTheme="minorEastAsia" w:hAnsiTheme="minorEastAsia" w:eastAsiaTheme="minorEastAsia"/>
                <w:kern w:val="0"/>
                <w:szCs w:val="21"/>
              </w:rPr>
            </w:pPr>
            <w:bookmarkStart w:id="29" w:name="_Toc14340438"/>
            <w:bookmarkStart w:id="30" w:name="_Toc11744961"/>
            <w:r>
              <w:rPr>
                <w:rFonts w:hint="eastAsia" w:cs="宋体" w:asciiTheme="minorEastAsia" w:hAnsiTheme="minorEastAsia" w:eastAsiaTheme="minorEastAsia"/>
                <w:kern w:val="0"/>
                <w:szCs w:val="21"/>
              </w:rPr>
              <w:t>响应文件有效期</w:t>
            </w:r>
            <w:bookmarkEnd w:id="29"/>
            <w:bookmarkEnd w:id="30"/>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_Ref419361076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3.7.1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outlineLvl w:val="0"/>
              <w:rPr>
                <w:rFonts w:cs="宋体" w:asciiTheme="minorEastAsia" w:hAnsiTheme="minorEastAsia" w:eastAsiaTheme="minorEastAsia"/>
                <w:kern w:val="0"/>
                <w:szCs w:val="21"/>
              </w:rPr>
            </w:pPr>
            <w:bookmarkStart w:id="31" w:name="_Toc14340439"/>
            <w:bookmarkStart w:id="32" w:name="_Toc11744962"/>
            <w:r>
              <w:rPr>
                <w:rFonts w:hint="eastAsia" w:cs="宋体" w:asciiTheme="minorEastAsia" w:hAnsiTheme="minorEastAsia" w:eastAsiaTheme="minorEastAsia"/>
                <w:kern w:val="0"/>
                <w:szCs w:val="21"/>
              </w:rPr>
              <w:t>磋商保证金</w:t>
            </w:r>
            <w:bookmarkEnd w:id="31"/>
            <w:bookmarkEnd w:id="32"/>
          </w:p>
        </w:tc>
        <w:tc>
          <w:tcPr>
            <w:tcW w:w="567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投标保证金的金额：人民币19000.00元</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形式：转账或电汇</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供应商应在递交响应文件截止时间之前，将磋商保证金由供应商单位的基本账户一次性转入并到达采购人指定账户，否则视为投标保证金无效。采购人指定的开户银行及账号如下：</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开户银行：中国工商银行长春经济技术开发区支行</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账户名称：吉林省高速公路集团有限公司</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账号：4200223219200131189</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咨询电话：0431-85254019</w:t>
            </w:r>
          </w:p>
          <w:p>
            <w:pPr>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 系 人：单俊植</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szCs w:val="21"/>
              </w:rPr>
              <w:t>业务回单备注一栏可填写：十四五规划磋商保证金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3.8.3</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响应文件副本份数</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正本1份，副本3份。电子版U盘2份（U盘内应包含响应文件全部内容的Word及pdf格式各1份，电子U盘需单独密封，密封要求与响应文件密封要求相同）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3.8.4</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装订要求</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i/>
                <w:kern w:val="0"/>
                <w:szCs w:val="21"/>
              </w:rPr>
            </w:pPr>
            <w:r>
              <w:rPr>
                <w:rFonts w:hint="eastAsia" w:cs="宋体" w:asciiTheme="minorEastAsia" w:hAnsiTheme="minorEastAsia" w:eastAsiaTheme="minorEastAsia"/>
                <w:kern w:val="0"/>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4.1.2</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封套上写明</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采购人名称：</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项目编号：</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（项目名称）响应文件在  年 月  日 时 分前不得开启</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_Ref527102573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5.1.1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磋商小组成员</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left="27" w:leftChars="13"/>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采购人代表：1 人 </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从专家库抽取的评审专家：2人。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_Ref527102841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6.1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确定成交供应商方式</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ascii="MS Mincho" w:hAnsi="MS Mincho" w:eastAsia="MS Mincho" w:cs="MS Mincho"/>
                <w:kern w:val="0"/>
                <w:szCs w:val="21"/>
              </w:rPr>
              <w:t>☑</w:t>
            </w:r>
            <w:r>
              <w:rPr>
                <w:rFonts w:hint="eastAsia" w:cs="宋体" w:asciiTheme="minorEastAsia" w:hAnsiTheme="minorEastAsia" w:eastAsiaTheme="minorEastAsia"/>
                <w:kern w:val="0"/>
                <w:szCs w:val="21"/>
              </w:rPr>
              <w:t>采购人</w:t>
            </w:r>
          </w:p>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_Ref421009348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kern w:val="0"/>
                <w:szCs w:val="21"/>
              </w:rPr>
              <w:t>6.4.1</w:t>
            </w:r>
            <w:r>
              <w:rPr>
                <w:rFonts w:hint="eastAsia" w:cs="宋体" w:asciiTheme="minorEastAsia" w:hAnsiTheme="minorEastAsia" w:eastAsiaTheme="minorEastAsia"/>
                <w:szCs w:val="21"/>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outlineLvl w:val="0"/>
              <w:rPr>
                <w:rFonts w:cs="宋体" w:asciiTheme="minorEastAsia" w:hAnsiTheme="minorEastAsia" w:eastAsiaTheme="minorEastAsia"/>
                <w:kern w:val="0"/>
                <w:szCs w:val="21"/>
              </w:rPr>
            </w:pPr>
            <w:bookmarkStart w:id="33" w:name="_Toc11744963"/>
            <w:bookmarkStart w:id="34" w:name="_Toc14340440"/>
            <w:r>
              <w:rPr>
                <w:rFonts w:hint="eastAsia" w:cs="宋体" w:asciiTheme="minorEastAsia" w:hAnsiTheme="minorEastAsia" w:eastAsiaTheme="minorEastAsia"/>
                <w:kern w:val="0"/>
                <w:szCs w:val="21"/>
              </w:rPr>
              <w:t>履约保证金</w:t>
            </w:r>
            <w:bookmarkEnd w:id="33"/>
            <w:bookmarkEnd w:id="34"/>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b/>
                <w:kern w:val="0"/>
                <w:szCs w:val="21"/>
              </w:rPr>
            </w:pPr>
            <w:r>
              <w:rPr>
                <w:rFonts w:hint="eastAsia" w:cs="宋体" w:asciiTheme="minorEastAsia" w:hAnsiTheme="minorEastAsia" w:eastAsiaTheme="minorEastAsia"/>
                <w:szCs w:val="21"/>
              </w:rPr>
              <w:t>履约保证金为签约合同价的5%，履约保证金期限为项目交付采购人并验收合格</w:t>
            </w:r>
            <w:r>
              <w:rPr>
                <w:rFonts w:hint="eastAsia" w:cs="宋体" w:asciiTheme="minorEastAsia" w:hAnsiTheme="minorEastAsia" w:eastAsiaTheme="minorEastAsia"/>
                <w:szCs w:val="21"/>
                <w:lang w:val="zh-CN"/>
              </w:rPr>
              <w:t>后10个工作日内以银行转帐方式返还，不计利息</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REF _Ref527103019 \r \h  \* MERGEFORMAT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rPr>
              <w:fldChar w:fldCharType="end"/>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成交供应商应在收到成交通知书后五个工作日内向采购代理机构交纳代理服务费。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代理服务费计算</w:t>
            </w:r>
          </w:p>
        </w:tc>
        <w:tc>
          <w:tcPr>
            <w:tcW w:w="5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eastAsiaTheme="minorEastAsia"/>
                <w:bCs/>
                <w:kern w:val="15"/>
                <w:szCs w:val="21"/>
              </w:rPr>
            </w:pPr>
            <w:r>
              <w:rPr>
                <w:rFonts w:hint="eastAsia" w:cs="宋体" w:asciiTheme="minorEastAsia" w:hAnsiTheme="minorEastAsia" w:eastAsiaTheme="minorEastAsia"/>
                <w:bCs/>
                <w:kern w:val="15"/>
                <w:szCs w:val="21"/>
              </w:rPr>
              <w:t>参考国家计委《采购代理服务收费管理暂行办法》（计价格[2002]1980号）、国家发改委《关于采购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采购代理费金额。</w:t>
            </w:r>
          </w:p>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采购代理服务收费折扣系数表（服务）</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基准代理费</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2万以下</w:t>
                  </w:r>
                </w:p>
              </w:tc>
              <w:tc>
                <w:tcPr>
                  <w:tcW w:w="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2-5万</w:t>
                  </w:r>
                </w:p>
              </w:tc>
              <w:tc>
                <w:tcPr>
                  <w:tcW w:w="9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5-10万</w:t>
                  </w:r>
                </w:p>
              </w:tc>
              <w:tc>
                <w:tcPr>
                  <w:tcW w:w="1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pStyle w:val="54"/>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折扣系数</w:t>
                  </w:r>
                </w:p>
              </w:tc>
              <w:tc>
                <w:tcPr>
                  <w:tcW w:w="1102" w:type="dxa"/>
                  <w:tcBorders>
                    <w:top w:val="single" w:color="auto" w:sz="4" w:space="0"/>
                    <w:left w:val="single" w:color="auto" w:sz="4" w:space="0"/>
                    <w:bottom w:val="single" w:color="auto" w:sz="4" w:space="0"/>
                    <w:right w:val="single" w:color="auto" w:sz="4" w:space="0"/>
                  </w:tcBorders>
                  <w:vAlign w:val="center"/>
                </w:tcPr>
                <w:p>
                  <w:pPr>
                    <w:pStyle w:val="54"/>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916" w:type="dxa"/>
                  <w:tcBorders>
                    <w:top w:val="single" w:color="auto" w:sz="4" w:space="0"/>
                    <w:left w:val="single" w:color="auto" w:sz="4" w:space="0"/>
                    <w:bottom w:val="single" w:color="auto" w:sz="4" w:space="0"/>
                    <w:right w:val="single" w:color="auto" w:sz="4" w:space="0"/>
                  </w:tcBorders>
                  <w:vAlign w:val="center"/>
                </w:tcPr>
                <w:p>
                  <w:pPr>
                    <w:pStyle w:val="54"/>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0.9</w:t>
                  </w:r>
                </w:p>
              </w:tc>
              <w:tc>
                <w:tcPr>
                  <w:tcW w:w="982" w:type="dxa"/>
                  <w:tcBorders>
                    <w:top w:val="single" w:color="auto" w:sz="4" w:space="0"/>
                    <w:left w:val="single" w:color="auto" w:sz="4" w:space="0"/>
                    <w:bottom w:val="single" w:color="auto" w:sz="4" w:space="0"/>
                    <w:right w:val="single" w:color="auto" w:sz="4" w:space="0"/>
                  </w:tcBorders>
                  <w:vAlign w:val="center"/>
                </w:tcPr>
                <w:p>
                  <w:pPr>
                    <w:pStyle w:val="54"/>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0.8</w:t>
                  </w:r>
                </w:p>
              </w:tc>
              <w:tc>
                <w:tcPr>
                  <w:tcW w:w="1123" w:type="dxa"/>
                  <w:tcBorders>
                    <w:top w:val="single" w:color="auto" w:sz="4" w:space="0"/>
                    <w:left w:val="single" w:color="auto" w:sz="4" w:space="0"/>
                    <w:bottom w:val="single" w:color="auto" w:sz="4" w:space="0"/>
                    <w:right w:val="single" w:color="auto" w:sz="4" w:space="0"/>
                  </w:tcBorders>
                  <w:vAlign w:val="center"/>
                </w:tcPr>
                <w:p>
                  <w:pPr>
                    <w:pStyle w:val="54"/>
                    <w:adjustRightInd w:val="0"/>
                    <w:snapToGrid w:val="0"/>
                    <w:ind w:firstLine="0" w:firstLineChars="0"/>
                    <w:jc w:val="center"/>
                    <w:rPr>
                      <w:rFonts w:cs="宋体" w:asciiTheme="minorEastAsia" w:hAnsiTheme="minorEastAsia" w:eastAsiaTheme="minorEastAsia"/>
                      <w:szCs w:val="21"/>
                    </w:rPr>
                  </w:pPr>
                  <w:r>
                    <w:rPr>
                      <w:rFonts w:hint="eastAsia" w:cs="宋体" w:asciiTheme="minorEastAsia" w:hAnsiTheme="minorEastAsia" w:eastAsiaTheme="minorEastAsia"/>
                      <w:szCs w:val="21"/>
                    </w:rPr>
                    <w:t>0.7</w:t>
                  </w:r>
                </w:p>
              </w:tc>
            </w:tr>
          </w:tbl>
          <w:p>
            <w:pPr>
              <w:autoSpaceDE w:val="0"/>
              <w:autoSpaceDN w:val="0"/>
              <w:adjustRightInd w:val="0"/>
              <w:snapToGrid w:val="0"/>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依法缴纳税收和社会保障资金的月份要求</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2019年10月-2020年3月任意一个月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财务状况的年份要求</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szCs w:val="21"/>
              </w:rPr>
              <w:t>质量保证金</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预付款</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合同价款的40%。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资金来源及付款时间和条件</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资金来源：企业自筹。</w:t>
            </w:r>
          </w:p>
          <w:p>
            <w:pPr>
              <w:snapToGrid w:val="0"/>
              <w:rPr>
                <w:rFonts w:cs="宋体" w:asciiTheme="minorEastAsia" w:hAnsiTheme="minorEastAsia" w:eastAsiaTheme="minorEastAsia"/>
                <w:bCs/>
                <w:szCs w:val="21"/>
              </w:rPr>
            </w:pPr>
            <w:r>
              <w:rPr>
                <w:rFonts w:hint="eastAsia" w:cs="宋体" w:asciiTheme="minorEastAsia" w:hAnsiTheme="minorEastAsia" w:eastAsiaTheme="minorEastAsia"/>
                <w:kern w:val="0"/>
                <w:szCs w:val="21"/>
              </w:rPr>
              <w:t>付款时间：</w:t>
            </w:r>
            <w:r>
              <w:rPr>
                <w:rFonts w:hint="eastAsia" w:cs="宋体" w:asciiTheme="minorEastAsia" w:hAnsiTheme="minorEastAsia" w:eastAsiaTheme="minorEastAsia"/>
                <w:bCs/>
                <w:szCs w:val="21"/>
              </w:rPr>
              <w:t>合同签订后，采购人支付给成交供应商合同价款的40%预付款；</w:t>
            </w:r>
            <w:r>
              <w:rPr>
                <w:rFonts w:hint="eastAsia" w:cs="宋体" w:asciiTheme="minorEastAsia" w:hAnsiTheme="minorEastAsia" w:eastAsiaTheme="minorEastAsia"/>
                <w:szCs w:val="21"/>
              </w:rPr>
              <w:t>提供全部成果文件，并通过评审论证后10日历天内支付剩余60%合同款。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最高限价</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99万元（含</w:t>
            </w:r>
            <w:r>
              <w:rPr>
                <w:rFonts w:hint="eastAsia" w:cs="宋体" w:asciiTheme="minorEastAsia" w:hAnsiTheme="minorEastAsia" w:eastAsiaTheme="minorEastAsia"/>
                <w:szCs w:val="21"/>
              </w:rPr>
              <w:t>提供成果文件后免费提供12个月服务期。</w:t>
            </w:r>
            <w:r>
              <w:rPr>
                <w:rFonts w:hint="eastAsia"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服务方式</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总价包干式（凡标书中涉及的服务项目中标单位不得以任何理由增加费用）。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251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磋商保证金</w:t>
            </w:r>
          </w:p>
          <w:p>
            <w:pPr>
              <w:adjustRightInd w:val="0"/>
              <w:snapToGrid w:val="0"/>
              <w:ind w:left="2"/>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的退还</w:t>
            </w:r>
          </w:p>
        </w:tc>
        <w:tc>
          <w:tcPr>
            <w:tcW w:w="567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rPr>
                <w:rFonts w:cs="宋体" w:asciiTheme="minorEastAsia" w:hAnsiTheme="minorEastAsia" w:eastAsiaTheme="minorEastAsia"/>
                <w:szCs w:val="21"/>
              </w:rPr>
            </w:pPr>
            <w:r>
              <w:rPr>
                <w:rFonts w:hint="eastAsia" w:cs="宋体" w:asciiTheme="minorEastAsia" w:hAnsiTheme="minorEastAsia" w:eastAsiaTheme="minorEastAsia"/>
                <w:szCs w:val="21"/>
              </w:rPr>
              <w:t>所有未中标的应答单位应在中标公示期结束后5日内办理退还磋商保证金；中标人在与采购人签订合同后，办理退还磋商保证金，办理时应答单位应向采购人提供如下资料并邮寄至采购人处：</w:t>
            </w:r>
          </w:p>
          <w:p>
            <w:pPr>
              <w:adjustRightInd w:val="0"/>
              <w:snapToGrid w:val="0"/>
              <w:ind w:left="2"/>
              <w:rPr>
                <w:rFonts w:cs="宋体" w:asciiTheme="minorEastAsia" w:hAnsiTheme="minorEastAsia" w:eastAsiaTheme="minorEastAsia"/>
                <w:szCs w:val="21"/>
              </w:rPr>
            </w:pPr>
            <w:r>
              <w:rPr>
                <w:rFonts w:hint="eastAsia" w:cs="宋体" w:asciiTheme="minorEastAsia" w:hAnsiTheme="minorEastAsia" w:eastAsiaTheme="minorEastAsia"/>
                <w:szCs w:val="21"/>
              </w:rPr>
              <w:t>（1）基本账户开户许可证复印件；</w:t>
            </w:r>
          </w:p>
          <w:p>
            <w:pPr>
              <w:adjustRightInd w:val="0"/>
              <w:snapToGrid w:val="0"/>
              <w:ind w:left="2"/>
              <w:rPr>
                <w:rFonts w:cs="宋体" w:asciiTheme="minorEastAsia" w:hAnsiTheme="minorEastAsia" w:eastAsiaTheme="minorEastAsia"/>
                <w:szCs w:val="21"/>
              </w:rPr>
            </w:pPr>
            <w:r>
              <w:rPr>
                <w:rFonts w:hint="eastAsia" w:cs="宋体" w:asciiTheme="minorEastAsia" w:hAnsiTheme="minorEastAsia" w:eastAsiaTheme="minorEastAsia"/>
                <w:szCs w:val="21"/>
              </w:rPr>
              <w:t>（2）给采购人开具的财务收据原件；</w:t>
            </w:r>
          </w:p>
          <w:p>
            <w:pPr>
              <w:adjustRightInd w:val="0"/>
              <w:snapToGrid w:val="0"/>
              <w:ind w:left="2"/>
              <w:rPr>
                <w:rFonts w:cs="宋体" w:asciiTheme="minorEastAsia" w:hAnsiTheme="minorEastAsia" w:eastAsiaTheme="minorEastAsia"/>
                <w:szCs w:val="21"/>
              </w:rPr>
            </w:pPr>
            <w:r>
              <w:rPr>
                <w:rFonts w:hint="eastAsia" w:cs="宋体" w:asciiTheme="minorEastAsia" w:hAnsiTheme="minorEastAsia" w:eastAsiaTheme="minorEastAsia"/>
                <w:szCs w:val="21"/>
              </w:rPr>
              <w:t>（3）磋商保证金汇款凭证。</w:t>
            </w:r>
          </w:p>
          <w:p>
            <w:pPr>
              <w:adjustRightInd w:val="0"/>
              <w:snapToGrid w:val="0"/>
              <w:ind w:left="2"/>
              <w:rPr>
                <w:rFonts w:cs="宋体" w:asciiTheme="minorEastAsia" w:hAnsiTheme="minorEastAsia" w:eastAsiaTheme="minorEastAsia"/>
                <w:kern w:val="0"/>
                <w:szCs w:val="21"/>
              </w:rPr>
            </w:pPr>
            <w:r>
              <w:rPr>
                <w:rFonts w:hint="eastAsia" w:cs="宋体" w:asciiTheme="minorEastAsia" w:hAnsiTheme="minorEastAsia" w:eastAsiaTheme="minorEastAsia"/>
                <w:szCs w:val="21"/>
              </w:rPr>
              <w:t>（4）如果应答单位未在公示期结束后5日后将相关手续送达采购人，应答单位放弃利息的，须开具放弃索要利息的情况说明，也可以在磋商保证金财务收据上写明“不计取利息”，采购人不强制应答单位必须放弃利息。所要利息的，需要同时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251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jc w:val="center"/>
              <w:rPr>
                <w:rFonts w:cs="宋体" w:asciiTheme="minorEastAsia" w:hAnsiTheme="minorEastAsia" w:eastAsiaTheme="minorEastAsia"/>
                <w:szCs w:val="21"/>
              </w:rPr>
            </w:pPr>
            <w:r>
              <w:rPr>
                <w:rFonts w:hint="eastAsia" w:cs="宋体" w:asciiTheme="minorEastAsia" w:hAnsiTheme="minorEastAsia" w:eastAsiaTheme="minorEastAsia"/>
                <w:szCs w:val="21"/>
              </w:rPr>
              <w:t>磋商保证金的</w:t>
            </w:r>
          </w:p>
          <w:p>
            <w:pPr>
              <w:adjustRightInd w:val="0"/>
              <w:snapToGrid w:val="0"/>
              <w:ind w:left="2"/>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利息计算原则</w:t>
            </w:r>
          </w:p>
        </w:tc>
        <w:tc>
          <w:tcPr>
            <w:tcW w:w="5675" w:type="dxa"/>
            <w:tcBorders>
              <w:top w:val="single" w:color="auto" w:sz="4" w:space="0"/>
              <w:left w:val="single" w:color="auto" w:sz="4" w:space="0"/>
              <w:bottom w:val="single" w:color="auto" w:sz="4" w:space="0"/>
              <w:right w:val="single" w:color="auto" w:sz="4" w:space="0"/>
            </w:tcBorders>
            <w:vAlign w:val="bottom"/>
          </w:tcPr>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（1）磋商保证金计息利率依照中国人民银行公布的同期活期存款基准利率；</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（2）银行同期存款利息的计算公式为：金额×年利率/360×计息天数；</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（3）起息日为项目的投标截止日，结息日为成交通知书中标明的日期；</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（4）在退还磋商保证金利息前，应答单位应提供保证金利息发票；</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（5）以保函或其他担保形式提交的磋商保证金无利息。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251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jc w:val="center"/>
              <w:rPr>
                <w:rFonts w:cs="宋体" w:asciiTheme="minorEastAsia" w:hAnsiTheme="minorEastAsia" w:eastAsiaTheme="minorEastAsia"/>
                <w:szCs w:val="21"/>
              </w:rPr>
            </w:pPr>
            <w:r>
              <w:rPr>
                <w:rFonts w:hint="eastAsia" w:cs="宋体" w:asciiTheme="minorEastAsia" w:hAnsiTheme="minorEastAsia" w:eastAsiaTheme="minorEastAsia"/>
                <w:szCs w:val="21"/>
              </w:rPr>
              <w:t>逾期违约金</w:t>
            </w:r>
          </w:p>
        </w:tc>
        <w:tc>
          <w:tcPr>
            <w:tcW w:w="567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延迟交付违约金：合同价款1%/天。</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迟延交付违约金的总额不得超过合同价格的5%。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25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重要事项</w:t>
            </w:r>
          </w:p>
        </w:tc>
        <w:tc>
          <w:tcPr>
            <w:tcW w:w="567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（1）本次采购设有最高限价，超出最高限价范围的应答报价均为无效报价，不参与评审。</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（2）如发现恶意投诉、虚假投标，将参照不良供应商处罚条例进行处罚。</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（3）如发现有围标、串标行为，将列入集团内部黑名单。</w:t>
            </w:r>
          </w:p>
          <w:p>
            <w:pPr>
              <w:adjustRightInd w:val="0"/>
              <w:snapToGrid w:val="0"/>
              <w:ind w:left="2"/>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（4）中标人放弃中标的，除了按照招投标法处罚外，还要列入集团黑名单。</w:t>
            </w:r>
          </w:p>
        </w:tc>
      </w:tr>
    </w:tbl>
    <w:p>
      <w:pPr>
        <w:autoSpaceDE w:val="0"/>
        <w:autoSpaceDN w:val="0"/>
        <w:adjustRightInd w:val="0"/>
        <w:snapToGrid w:val="0"/>
        <w:spacing w:after="120" w:afterLines="50" w:line="360" w:lineRule="auto"/>
        <w:jc w:val="center"/>
        <w:outlineLvl w:val="1"/>
        <w:rPr>
          <w:rFonts w:ascii="宋体" w:hAnsi="宋体" w:cs="宋体"/>
          <w:kern w:val="44"/>
          <w:szCs w:val="21"/>
        </w:rPr>
      </w:pPr>
    </w:p>
    <w:p>
      <w:pPr>
        <w:autoSpaceDE w:val="0"/>
        <w:autoSpaceDN w:val="0"/>
        <w:adjustRightInd w:val="0"/>
        <w:snapToGrid w:val="0"/>
        <w:spacing w:after="120" w:afterLines="50" w:line="360" w:lineRule="auto"/>
        <w:jc w:val="left"/>
        <w:outlineLvl w:val="1"/>
        <w:rPr>
          <w:rFonts w:ascii="宋体" w:hAnsi="宋体" w:cs="宋体"/>
          <w:kern w:val="44"/>
          <w:szCs w:val="21"/>
        </w:rPr>
      </w:pPr>
      <w:r>
        <w:rPr>
          <w:rFonts w:hint="eastAsia" w:ascii="宋体" w:hAnsi="宋体" w:cs="宋体"/>
          <w:kern w:val="44"/>
          <w:szCs w:val="21"/>
        </w:rPr>
        <w:t>六、评标办法</w:t>
      </w:r>
      <w:bookmarkEnd w:id="20"/>
      <w:bookmarkEnd w:id="21"/>
    </w:p>
    <w:p>
      <w:pPr>
        <w:tabs>
          <w:tab w:val="left" w:pos="-94"/>
          <w:tab w:val="left" w:pos="428"/>
        </w:tabs>
        <w:adjustRightInd w:val="0"/>
        <w:spacing w:line="360" w:lineRule="auto"/>
        <w:ind w:left="23" w:leftChars="11"/>
        <w:jc w:val="center"/>
        <w:textAlignment w:val="baseline"/>
        <w:outlineLvl w:val="1"/>
        <w:rPr>
          <w:rFonts w:ascii="宋体" w:hAnsi="宋体"/>
          <w:b/>
          <w:szCs w:val="21"/>
        </w:rPr>
      </w:pPr>
      <w:r>
        <w:rPr>
          <w:rFonts w:hint="eastAsia" w:ascii="宋体" w:hAnsi="宋体"/>
          <w:b/>
          <w:szCs w:val="21"/>
        </w:rPr>
        <w:t>附表一 资格审查表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Cs w:val="21"/>
              </w:rPr>
            </w:pPr>
            <w:r>
              <w:rPr>
                <w:rFonts w:hint="eastAsia" w:ascii="宋体" w:hAnsi="宋体"/>
                <w:b/>
                <w:szCs w:val="21"/>
              </w:rPr>
              <w:t>序号</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Cs w:val="21"/>
              </w:rPr>
            </w:pPr>
            <w:r>
              <w:rPr>
                <w:rFonts w:hint="eastAsia" w:ascii="宋体" w:hAnsi="宋体"/>
                <w:b/>
                <w:szCs w:val="21"/>
              </w:rPr>
              <w:t>评审内容</w:t>
            </w:r>
          </w:p>
        </w:tc>
        <w:tc>
          <w:tcPr>
            <w:tcW w:w="40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Cs w:val="21"/>
              </w:rPr>
            </w:pPr>
            <w:r>
              <w:rPr>
                <w:rFonts w:hint="eastAsia" w:ascii="宋体" w:hAnsi="宋体"/>
                <w:b/>
                <w:szCs w:val="21"/>
              </w:rPr>
              <w:t>评审合格标准</w:t>
            </w:r>
          </w:p>
        </w:tc>
        <w:tc>
          <w:tcPr>
            <w:tcW w:w="1499" w:type="dxa"/>
            <w:tcBorders>
              <w:top w:val="single" w:color="auto" w:sz="4" w:space="0"/>
              <w:left w:val="single" w:color="auto" w:sz="4" w:space="0"/>
              <w:bottom w:val="single" w:color="auto" w:sz="4" w:space="0"/>
              <w:right w:val="single" w:color="auto" w:sz="4" w:space="0"/>
            </w:tcBorders>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评审结论</w:t>
            </w:r>
          </w:p>
          <w:p>
            <w:pPr>
              <w:snapToGrid w:val="0"/>
              <w:jc w:val="center"/>
              <w:rPr>
                <w:rFonts w:ascii="宋体" w:hAnsi="宋体"/>
                <w:b/>
                <w:szCs w:val="21"/>
              </w:rPr>
            </w:pPr>
            <w:r>
              <w:rPr>
                <w:rFonts w:hint="eastAsia" w:ascii="宋体" w:hAnsi="宋体"/>
                <w:b/>
                <w:caps/>
                <w:szCs w:val="21"/>
              </w:rPr>
              <w:t>（</w:t>
            </w:r>
            <w:r>
              <w:rPr>
                <w:rFonts w:ascii="Arial" w:hAnsi="Arial" w:eastAsia="MS Mincho" w:cs="Arial"/>
                <w:b/>
                <w:caps/>
                <w:szCs w:val="21"/>
              </w:rPr>
              <w:t>√</w:t>
            </w:r>
            <w:r>
              <w:rPr>
                <w:rFonts w:hint="eastAsia" w:ascii="宋体" w:hAnsi="宋体"/>
                <w:b/>
                <w:caps/>
                <w:szCs w:val="21"/>
              </w:rPr>
              <w:t>/</w:t>
            </w:r>
            <w:r>
              <w:rPr>
                <w:rFonts w:hint="eastAsia" w:ascii="宋体" w:hAnsi="宋体"/>
                <w:szCs w:val="21"/>
              </w:rPr>
              <w:t>×</w:t>
            </w:r>
            <w:r>
              <w:rPr>
                <w:rFonts w:hint="eastAsia" w:ascii="宋体" w:hAnsi="宋体"/>
                <w:b/>
                <w:cap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Cs w:val="21"/>
              </w:rPr>
            </w:pPr>
            <w:r>
              <w:rPr>
                <w:rFonts w:hint="eastAsia" w:ascii="宋体" w:hAnsi="宋体"/>
                <w:szCs w:val="21"/>
              </w:rPr>
              <w:t>1</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
                <w:szCs w:val="21"/>
              </w:rPr>
            </w:pPr>
            <w:r>
              <w:rPr>
                <w:rFonts w:hint="eastAsia" w:ascii="宋体" w:hAnsi="宋体"/>
                <w:szCs w:val="21"/>
              </w:rPr>
              <w:t>供应商名称</w:t>
            </w:r>
          </w:p>
        </w:tc>
        <w:tc>
          <w:tcPr>
            <w:tcW w:w="40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b/>
                <w:szCs w:val="21"/>
              </w:rPr>
            </w:pPr>
            <w:r>
              <w:rPr>
                <w:rFonts w:hint="eastAsia" w:ascii="宋体" w:hAnsi="宋体"/>
                <w:szCs w:val="21"/>
              </w:rPr>
              <w:t>与磋商报名、营业执照一致（符合法定工商变更程序除外）；</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2</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具有独立承担民事责任的能力</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提供了有效的</w:t>
            </w:r>
            <w:r>
              <w:rPr>
                <w:rFonts w:hint="eastAsia" w:ascii="宋体" w:hAnsi="宋体" w:cs="宋体"/>
                <w:szCs w:val="21"/>
              </w:rPr>
              <w:t>法人的营业执照等证明文件</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3</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具有健全的财务会计制度</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提供了满足磋商文件要求的2018年经审计的财务报表或本年度基本开户银行出具的资信证明</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4</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具有履行合同所必需的设备和专业技术能力</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提供了可充分满足履行合同所需设备和专业技术能力的证明材料或承诺</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5</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有依法缴纳税收和社会保障资金的良好记录</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1.提供了磋商文件要求时间内的缴纳增值税和企业所得税的凭证（银行出具的缴税凭证或税务机关出具的证明的复印件，并加盖本单位公章）或免税证明（复印件加盖公章）。</w:t>
            </w:r>
          </w:p>
          <w:p>
            <w:pPr>
              <w:snapToGrid w:val="0"/>
              <w:jc w:val="left"/>
              <w:rPr>
                <w:rFonts w:ascii="宋体" w:hAnsi="宋体"/>
                <w:szCs w:val="21"/>
              </w:rPr>
            </w:pPr>
            <w:r>
              <w:rPr>
                <w:rFonts w:hint="eastAsia" w:ascii="宋体" w:hAnsi="宋体"/>
                <w:szCs w:val="21"/>
              </w:rPr>
              <w:t>2.提供了磋商文件要求时间内的社会保障资金缴纳记录（应包括：基本养老保险基金专用收据或社会保险缴纳清单）或免缴纳证明（复印件加盖公章）。</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6</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参加采购活动前三年内，在经营活动中没有重大违法记录</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提供了有效的参加采购活动前3年内在经营活动中没有重大违法记录的书面声明</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7</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法律、行政法规规定的其他条件</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不存在违反法律、法规的情况</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8</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“信用中国”网站和</w:t>
            </w:r>
            <w:r>
              <w:rPr>
                <w:rFonts w:hint="eastAsia" w:ascii="宋体" w:hAnsi="宋体" w:cs="宋体"/>
                <w:szCs w:val="21"/>
              </w:rPr>
              <w:t>“国家企业信用信息公示系统”</w:t>
            </w:r>
            <w:r>
              <w:rPr>
                <w:rFonts w:hint="eastAsia" w:ascii="宋体" w:hAnsi="宋体"/>
                <w:szCs w:val="21"/>
              </w:rPr>
              <w:t>查询记录</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未被“信用中国”网站（</w:t>
            </w:r>
            <w:r>
              <w:fldChar w:fldCharType="begin"/>
            </w:r>
            <w:r>
              <w:instrText xml:space="preserve"> HYPERLINK "http://www.creditchina.gov.cn）中列入失信被执行人和/" </w:instrText>
            </w:r>
            <w:r>
              <w:fldChar w:fldCharType="separate"/>
            </w:r>
            <w:r>
              <w:rPr>
                <w:rStyle w:val="47"/>
                <w:rFonts w:hint="eastAsia" w:ascii="宋体" w:hAnsi="宋体"/>
                <w:szCs w:val="21"/>
              </w:rPr>
              <w:t>www.creditchina.gov.cn）中列入失信被执行人和</w:t>
            </w:r>
            <w:r>
              <w:rPr>
                <w:rStyle w:val="47"/>
                <w:rFonts w:hint="eastAsia" w:ascii="宋体" w:hAnsi="宋体"/>
                <w:szCs w:val="21"/>
              </w:rPr>
              <w:fldChar w:fldCharType="end"/>
            </w:r>
            <w:r>
              <w:rPr>
                <w:rFonts w:hint="eastAsia" w:ascii="宋体" w:hAnsi="宋体"/>
                <w:szCs w:val="21"/>
              </w:rPr>
              <w:t>重大税收违法案件当事人名单的供应商、未被</w:t>
            </w:r>
            <w:r>
              <w:rPr>
                <w:rFonts w:hint="eastAsia" w:ascii="宋体" w:hAnsi="宋体" w:cs="宋体"/>
                <w:szCs w:val="21"/>
              </w:rPr>
              <w:t>“国家企业信用信息公示系统”（http://www.gsxt.gov.cn/）</w:t>
            </w:r>
            <w:r>
              <w:rPr>
                <w:rFonts w:hint="eastAsia" w:ascii="宋体" w:hAnsi="宋体"/>
                <w:szCs w:val="21"/>
              </w:rPr>
              <w:t>列入</w:t>
            </w:r>
            <w:r>
              <w:rPr>
                <w:rFonts w:hint="eastAsia" w:ascii="宋体" w:hAnsi="宋体" w:cs="宋体"/>
                <w:szCs w:val="21"/>
              </w:rPr>
              <w:t>严重违法失信企业名单的供应商（提供网页截图并加盖公章）。</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9</w:t>
            </w:r>
          </w:p>
        </w:tc>
        <w:tc>
          <w:tcPr>
            <w:tcW w:w="29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单位负责人为同一人或者存在控股、管理关系的不同单位，不得同时参加本项目的磋商。</w:t>
            </w:r>
          </w:p>
        </w:tc>
        <w:tc>
          <w:tcPr>
            <w:tcW w:w="402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Cs w:val="21"/>
              </w:rPr>
            </w:pPr>
            <w:r>
              <w:rPr>
                <w:rFonts w:hint="eastAsia" w:ascii="宋体" w:hAnsi="宋体"/>
                <w:szCs w:val="21"/>
              </w:rPr>
              <w:t>提供了法人代表、控股股东、控股企业及管理、被管理单位情况声明且各供应商之间不存在单位负责人为同一人或者存在控股、管理关系情形。</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ind w:left="42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结        论</w:t>
            </w:r>
          </w:p>
        </w:tc>
        <w:tc>
          <w:tcPr>
            <w:tcW w:w="1499" w:type="dxa"/>
            <w:tcBorders>
              <w:top w:val="single" w:color="auto" w:sz="4" w:space="0"/>
              <w:left w:val="single" w:color="auto" w:sz="4" w:space="0"/>
              <w:bottom w:val="single" w:color="auto" w:sz="4" w:space="0"/>
              <w:right w:val="single" w:color="auto" w:sz="4" w:space="0"/>
            </w:tcBorders>
            <w:vAlign w:val="center"/>
          </w:tcPr>
          <w:p>
            <w:pPr>
              <w:snapToGrid w:val="0"/>
              <w:ind w:left="425"/>
              <w:jc w:val="center"/>
              <w:rPr>
                <w:rFonts w:ascii="宋体" w:hAnsi="宋体"/>
                <w:szCs w:val="21"/>
              </w:rPr>
            </w:pPr>
          </w:p>
        </w:tc>
      </w:tr>
    </w:tbl>
    <w:p>
      <w:pPr>
        <w:snapToGrid w:val="0"/>
        <w:spacing w:line="360" w:lineRule="auto"/>
        <w:jc w:val="left"/>
        <w:rPr>
          <w:rFonts w:ascii="宋体" w:hAnsi="宋体"/>
          <w:szCs w:val="21"/>
        </w:rPr>
      </w:pPr>
      <w:r>
        <w:rPr>
          <w:rFonts w:hint="eastAsia" w:ascii="宋体" w:hAnsi="宋体"/>
          <w:szCs w:val="21"/>
        </w:rPr>
        <w:t>注：符合要求用“</w:t>
      </w:r>
      <w:r>
        <w:rPr>
          <w:rFonts w:ascii="Arial" w:hAnsi="Arial" w:cs="Arial"/>
          <w:szCs w:val="21"/>
        </w:rPr>
        <w:t>√</w:t>
      </w:r>
      <w:r>
        <w:rPr>
          <w:rFonts w:hint="eastAsia" w:ascii="宋体" w:hAnsi="宋体"/>
          <w:szCs w:val="21"/>
        </w:rPr>
        <w:t>”表示，不符合用“×”表示。有一项不符合要求，结论为不合格。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rFonts w:ascii="宋体" w:hAnsi="宋体"/>
          <w:b/>
          <w:szCs w:val="21"/>
        </w:rPr>
      </w:pPr>
      <w:r>
        <w:rPr>
          <w:rFonts w:hint="eastAsia" w:ascii="宋体" w:hAnsi="宋体"/>
          <w:szCs w:val="21"/>
        </w:rPr>
        <w:br w:type="page"/>
      </w:r>
      <w:r>
        <w:rPr>
          <w:rFonts w:hint="eastAsia" w:ascii="宋体" w:hAnsi="宋体"/>
          <w:b/>
          <w:szCs w:val="21"/>
        </w:rPr>
        <w:t>附表二 符合性审查表</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840"/>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序号</w:t>
            </w: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评审项目</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评审标准</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评审结论</w:t>
            </w:r>
          </w:p>
          <w:p>
            <w:pPr>
              <w:tabs>
                <w:tab w:val="left" w:pos="1260"/>
                <w:tab w:val="left" w:pos="1620"/>
              </w:tabs>
              <w:adjustRightInd w:val="0"/>
              <w:snapToGrid w:val="0"/>
              <w:jc w:val="center"/>
              <w:textAlignment w:val="baseline"/>
              <w:rPr>
                <w:rFonts w:ascii="宋体" w:hAnsi="宋体"/>
                <w:b/>
                <w:caps/>
                <w:szCs w:val="21"/>
              </w:rPr>
            </w:pPr>
            <w:r>
              <w:rPr>
                <w:rFonts w:hint="eastAsia" w:ascii="宋体" w:hAnsi="宋体"/>
                <w:b/>
                <w:caps/>
                <w:szCs w:val="21"/>
              </w:rPr>
              <w:t>（</w:t>
            </w:r>
            <w:r>
              <w:rPr>
                <w:rFonts w:ascii="Arial" w:hAnsi="Arial" w:eastAsia="MS Mincho" w:cs="Arial"/>
                <w:b/>
                <w:caps/>
                <w:szCs w:val="21"/>
              </w:rPr>
              <w:t>√</w:t>
            </w:r>
            <w:r>
              <w:rPr>
                <w:rFonts w:hint="eastAsia" w:ascii="宋体" w:hAnsi="宋体"/>
                <w:b/>
                <w:caps/>
                <w:szCs w:val="21"/>
              </w:rPr>
              <w:t>/</w:t>
            </w:r>
            <w:r>
              <w:rPr>
                <w:rFonts w:hint="eastAsia" w:ascii="宋体" w:hAnsi="宋体"/>
                <w:szCs w:val="21"/>
              </w:rPr>
              <w:t>×</w:t>
            </w:r>
            <w:r>
              <w:rPr>
                <w:rFonts w:hint="eastAsia" w:ascii="宋体" w:hAnsi="宋体"/>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磋商保证金</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按照磋商文件的规定提交磋商保证金；</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响应文件签署盖章</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按磋商文件格式要求加盖了供应商公章和法定代表人或其授权代表签字或加盖人名章。</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报价</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供应商报价是固定价且未超过预算金额（磋商文件有最高限价的，报价未超过最高限价）；</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附加条件</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响应文件不含有采购人不能接受的附加条件；</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公平竞争</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宋体" w:hAnsi="宋体"/>
                <w:szCs w:val="21"/>
              </w:rPr>
            </w:pPr>
            <w:r>
              <w:rPr>
                <w:rFonts w:hint="eastAsia" w:ascii="宋体" w:hAnsi="宋体"/>
                <w:szCs w:val="21"/>
              </w:rPr>
              <w:t>弄虚作假、相互串通的情形见附注</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3"/>
              </w:numPr>
              <w:tabs>
                <w:tab w:val="left" w:pos="1260"/>
                <w:tab w:val="left" w:pos="1620"/>
              </w:tabs>
              <w:adjustRightInd w:val="0"/>
              <w:snapToGrid w:val="0"/>
              <w:ind w:left="567"/>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其他无效情形</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无法律、法规和磋商文件规定的其他无效情形；</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响应文件有效期</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有效期满足磋商文件要求的；</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响应文件装订方式</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符合磋商文件要求；</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响应文件格式</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响应文件按规定的格式填写，内容完整且关键字迹清晰；</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备选方案</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trike/>
                <w:szCs w:val="21"/>
              </w:rPr>
            </w:pPr>
            <w:r>
              <w:rPr>
                <w:rFonts w:hint="eastAsia" w:ascii="宋体" w:hAnsi="宋体"/>
                <w:szCs w:val="21"/>
              </w:rPr>
              <w:t>供应商不得提交两份或者多份内容不同的响应文件，或者在同一份响应文件中对同一磋商项目有两个或者多个报价；</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响应文件内容</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供应商提供的服务无实质性遗漏</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tcBorders>
              <w:top w:val="single" w:color="000000" w:sz="6" w:space="0"/>
              <w:left w:val="single" w:color="000000" w:sz="6" w:space="0"/>
              <w:bottom w:val="single" w:color="000000" w:sz="6" w:space="0"/>
              <w:right w:val="single" w:color="000000" w:sz="6" w:space="0"/>
            </w:tcBorders>
            <w:vAlign w:val="center"/>
          </w:tcPr>
          <w:p>
            <w:pPr>
              <w:numPr>
                <w:ilvl w:val="0"/>
                <w:numId w:val="4"/>
              </w:numPr>
              <w:tabs>
                <w:tab w:val="left" w:pos="1260"/>
                <w:tab w:val="left" w:pos="1620"/>
              </w:tabs>
              <w:adjustRightInd w:val="0"/>
              <w:snapToGrid w:val="0"/>
              <w:textAlignment w:val="baseline"/>
              <w:rPr>
                <w:rFonts w:ascii="宋体" w:hAnsi="宋体"/>
                <w:szCs w:val="21"/>
              </w:rPr>
            </w:pPr>
          </w:p>
        </w:tc>
        <w:tc>
          <w:tcPr>
            <w:tcW w:w="1840"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技术响应</w:t>
            </w:r>
          </w:p>
        </w:tc>
        <w:tc>
          <w:tcPr>
            <w:tcW w:w="524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r>
              <w:rPr>
                <w:rFonts w:hint="eastAsia" w:ascii="宋体" w:hAnsi="宋体"/>
                <w:szCs w:val="21"/>
              </w:rPr>
              <w:t>符合“采购需求”要求，无重大偏差</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36" w:type="dxa"/>
            <w:gridSpan w:val="3"/>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jc w:val="center"/>
              <w:textAlignment w:val="baseline"/>
              <w:rPr>
                <w:rFonts w:ascii="宋体" w:hAnsi="宋体"/>
                <w:szCs w:val="21"/>
              </w:rPr>
            </w:pPr>
            <w:r>
              <w:rPr>
                <w:rFonts w:hint="eastAsia" w:ascii="宋体" w:hAnsi="宋体"/>
                <w:b/>
                <w:szCs w:val="21"/>
              </w:rPr>
              <w:t>结论（通过或未通过）</w:t>
            </w:r>
          </w:p>
        </w:tc>
        <w:tc>
          <w:tcPr>
            <w:tcW w:w="127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textAlignment w:val="baseline"/>
              <w:rPr>
                <w:rFonts w:ascii="宋体" w:hAnsi="宋体"/>
                <w:szCs w:val="21"/>
              </w:rPr>
            </w:pPr>
          </w:p>
        </w:tc>
      </w:tr>
    </w:tbl>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注：</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1、符合磋商文件要求用“</w:t>
      </w:r>
      <w:r>
        <w:rPr>
          <w:rFonts w:ascii="Arial" w:hAnsi="Arial" w:eastAsia="MS Mincho" w:cs="Arial"/>
          <w:b/>
          <w:szCs w:val="21"/>
        </w:rPr>
        <w:t>√</w:t>
      </w:r>
      <w:r>
        <w:rPr>
          <w:rFonts w:hint="eastAsia" w:ascii="宋体" w:hAnsi="宋体"/>
          <w:b/>
          <w:szCs w:val="21"/>
        </w:rPr>
        <w:t>”表示，不符合用“×”表示。有一项不符合要求，结论为不合格。</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2、有下列情形之一的，视为供应商相互串通：</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（1）不同供应商的响应文件由同一单位或者个人编制；</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（2）不同供应商委托同一单位或者个人办理参与磋商事宜；</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（5）不同供应商的响应文件相互混装；</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3、有下列情形之一的，属于提供虚假材料谋取成交的行为：</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（1）使用伪造、变造的许可证件；</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（2）提供虚假的财务状况或者业绩；</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ascii="宋体" w:hAnsi="宋体"/>
          <w:b/>
          <w:szCs w:val="21"/>
        </w:rPr>
      </w:pPr>
      <w:r>
        <w:rPr>
          <w:rFonts w:hint="eastAsia" w:ascii="宋体" w:hAnsi="宋体"/>
          <w:b/>
          <w:szCs w:val="21"/>
        </w:rPr>
        <w:t>（4）提供虚假的信用状况；</w:t>
      </w:r>
    </w:p>
    <w:p>
      <w:pPr>
        <w:tabs>
          <w:tab w:val="left" w:pos="1260"/>
          <w:tab w:val="left" w:pos="1620"/>
        </w:tabs>
        <w:adjustRightInd w:val="0"/>
        <w:spacing w:line="0" w:lineRule="atLeast"/>
        <w:jc w:val="left"/>
        <w:textAlignment w:val="baseline"/>
        <w:rPr>
          <w:rFonts w:ascii="宋体" w:hAnsi="宋体"/>
          <w:b/>
          <w:szCs w:val="21"/>
        </w:rPr>
      </w:pPr>
      <w:r>
        <w:rPr>
          <w:rFonts w:hint="eastAsia" w:ascii="宋体" w:hAnsi="宋体"/>
          <w:b/>
          <w:szCs w:val="21"/>
        </w:rPr>
        <w:t>（5）其他弄虚作假的行为。</w:t>
      </w:r>
    </w:p>
    <w:p>
      <w:pPr>
        <w:tabs>
          <w:tab w:val="left" w:pos="-94"/>
          <w:tab w:val="left" w:pos="428"/>
        </w:tabs>
        <w:adjustRightInd w:val="0"/>
        <w:spacing w:line="0" w:lineRule="atLeast"/>
        <w:ind w:left="23" w:leftChars="11"/>
        <w:jc w:val="center"/>
        <w:textAlignment w:val="baseline"/>
        <w:outlineLvl w:val="1"/>
        <w:rPr>
          <w:rFonts w:ascii="宋体" w:hAnsi="宋体"/>
          <w:b/>
          <w:szCs w:val="21"/>
        </w:rPr>
      </w:pPr>
      <w:bookmarkStart w:id="35" w:name="_Toc414446034"/>
      <w:bookmarkStart w:id="36" w:name="_Toc410631198"/>
      <w:r>
        <w:rPr>
          <w:rFonts w:hint="eastAsia" w:ascii="宋体" w:hAnsi="宋体"/>
          <w:b/>
          <w:szCs w:val="21"/>
        </w:rPr>
        <w:t>附表三 详细评审表</w:t>
      </w:r>
      <w:bookmarkEnd w:id="35"/>
      <w:bookmarkEnd w:id="36"/>
    </w:p>
    <w:tbl>
      <w:tblPr>
        <w:tblStyle w:val="42"/>
        <w:tblW w:w="0" w:type="auto"/>
        <w:tblInd w:w="0" w:type="dxa"/>
        <w:tblLayout w:type="fixed"/>
        <w:tblCellMar>
          <w:top w:w="0" w:type="dxa"/>
          <w:left w:w="108" w:type="dxa"/>
          <w:bottom w:w="0" w:type="dxa"/>
          <w:right w:w="108" w:type="dxa"/>
        </w:tblCellMar>
      </w:tblPr>
      <w:tblGrid>
        <w:gridCol w:w="534"/>
        <w:gridCol w:w="1230"/>
        <w:gridCol w:w="1200"/>
        <w:gridCol w:w="918"/>
        <w:gridCol w:w="5232"/>
      </w:tblGrid>
      <w:tr>
        <w:tblPrEx>
          <w:tblCellMar>
            <w:top w:w="0" w:type="dxa"/>
            <w:left w:w="108" w:type="dxa"/>
            <w:bottom w:w="0" w:type="dxa"/>
            <w:right w:w="108" w:type="dxa"/>
          </w:tblCellMar>
        </w:tblPrEx>
        <w:trPr>
          <w:trHeight w:val="91" w:hRule="atLeast"/>
          <w:tblHeader/>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宋体"/>
                <w:b/>
                <w:bCs/>
                <w:szCs w:val="21"/>
              </w:rPr>
            </w:pPr>
            <w:r>
              <w:rPr>
                <w:rFonts w:hint="eastAsia" w:ascii="宋体" w:hAnsi="宋体" w:cs="宋体"/>
                <w:b/>
                <w:bCs/>
                <w:szCs w:val="21"/>
              </w:rPr>
              <w:t>序号</w:t>
            </w:r>
          </w:p>
        </w:tc>
        <w:tc>
          <w:tcPr>
            <w:tcW w:w="1230"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b/>
                <w:bCs/>
                <w:szCs w:val="21"/>
              </w:rPr>
            </w:pPr>
            <w:r>
              <w:rPr>
                <w:rFonts w:hint="eastAsia" w:ascii="宋体" w:hAnsi="宋体" w:cs="宋体"/>
                <w:b/>
                <w:bCs/>
                <w:szCs w:val="21"/>
              </w:rPr>
              <w:t>标准</w:t>
            </w:r>
          </w:p>
          <w:p>
            <w:pPr>
              <w:snapToGrid w:val="0"/>
              <w:spacing w:line="0" w:lineRule="atLeast"/>
              <w:jc w:val="center"/>
              <w:rPr>
                <w:rFonts w:ascii="宋体" w:hAnsi="宋体" w:cs="宋体"/>
                <w:b/>
                <w:bCs/>
                <w:szCs w:val="21"/>
              </w:rPr>
            </w:pPr>
            <w:r>
              <w:rPr>
                <w:rFonts w:hint="eastAsia" w:ascii="宋体" w:hAnsi="宋体" w:cs="宋体"/>
                <w:b/>
                <w:bCs/>
                <w:szCs w:val="21"/>
              </w:rPr>
              <w:t>项目</w:t>
            </w:r>
          </w:p>
        </w:tc>
        <w:tc>
          <w:tcPr>
            <w:tcW w:w="1200"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b/>
                <w:bCs/>
                <w:szCs w:val="21"/>
              </w:rPr>
            </w:pPr>
            <w:r>
              <w:rPr>
                <w:rFonts w:hint="eastAsia" w:ascii="宋体" w:hAnsi="宋体" w:cs="宋体"/>
                <w:b/>
                <w:bCs/>
                <w:szCs w:val="21"/>
              </w:rPr>
              <w:t>标准内容</w:t>
            </w:r>
          </w:p>
        </w:tc>
        <w:tc>
          <w:tcPr>
            <w:tcW w:w="918"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b/>
                <w:bCs/>
                <w:szCs w:val="21"/>
              </w:rPr>
            </w:pPr>
            <w:r>
              <w:rPr>
                <w:rFonts w:hint="eastAsia" w:ascii="宋体" w:hAnsi="宋体" w:cs="宋体"/>
                <w:b/>
                <w:bCs/>
                <w:szCs w:val="21"/>
              </w:rPr>
              <w:t>基准</w:t>
            </w:r>
          </w:p>
          <w:p>
            <w:pPr>
              <w:snapToGrid w:val="0"/>
              <w:spacing w:line="0" w:lineRule="atLeast"/>
              <w:jc w:val="center"/>
              <w:rPr>
                <w:rFonts w:ascii="宋体" w:hAnsi="宋体" w:cs="宋体"/>
                <w:b/>
                <w:bCs/>
                <w:szCs w:val="21"/>
              </w:rPr>
            </w:pPr>
            <w:r>
              <w:rPr>
                <w:rFonts w:hint="eastAsia" w:ascii="宋体" w:hAnsi="宋体" w:cs="宋体"/>
                <w:b/>
                <w:bCs/>
                <w:szCs w:val="21"/>
              </w:rPr>
              <w:t>分值</w:t>
            </w:r>
          </w:p>
        </w:tc>
        <w:tc>
          <w:tcPr>
            <w:tcW w:w="5232"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b/>
                <w:bCs/>
                <w:szCs w:val="21"/>
              </w:rPr>
            </w:pPr>
            <w:r>
              <w:rPr>
                <w:rFonts w:hint="eastAsia" w:ascii="宋体" w:hAnsi="宋体" w:cs="宋体"/>
                <w:b/>
                <w:bCs/>
                <w:szCs w:val="21"/>
              </w:rPr>
              <w:t>评分标准</w:t>
            </w:r>
          </w:p>
        </w:tc>
      </w:tr>
      <w:tr>
        <w:tblPrEx>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1</w:t>
            </w:r>
          </w:p>
        </w:tc>
        <w:tc>
          <w:tcPr>
            <w:tcW w:w="1230"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报价</w:t>
            </w:r>
          </w:p>
          <w:p>
            <w:pPr>
              <w:snapToGrid w:val="0"/>
              <w:spacing w:line="0" w:lineRule="atLeast"/>
              <w:jc w:val="center"/>
              <w:rPr>
                <w:rFonts w:ascii="宋体" w:hAnsi="宋体" w:cs="宋体"/>
                <w:szCs w:val="21"/>
              </w:rPr>
            </w:pPr>
            <w:r>
              <w:rPr>
                <w:rFonts w:hint="eastAsia" w:ascii="宋体" w:hAnsi="宋体" w:cs="宋体"/>
                <w:szCs w:val="21"/>
              </w:rPr>
              <w:t>（10分）</w:t>
            </w:r>
          </w:p>
        </w:tc>
        <w:tc>
          <w:tcPr>
            <w:tcW w:w="1200"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cs="宋体"/>
                <w:szCs w:val="21"/>
              </w:rPr>
            </w:pPr>
            <w:r>
              <w:rPr>
                <w:rFonts w:hint="eastAsia" w:ascii="宋体" w:hAnsi="宋体" w:cs="宋体"/>
                <w:szCs w:val="21"/>
              </w:rPr>
              <w:t>价格分采用低价优先法计算</w:t>
            </w:r>
          </w:p>
        </w:tc>
        <w:tc>
          <w:tcPr>
            <w:tcW w:w="918"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磋商基准价为所有通过初步评审合格的供应商有效最终磋商报价（二次报价）中的最低报价，得满分10分。</w:t>
            </w:r>
          </w:p>
          <w:p>
            <w:pPr>
              <w:autoSpaceDE w:val="0"/>
              <w:autoSpaceDN w:val="0"/>
              <w:snapToGrid w:val="0"/>
              <w:spacing w:line="0" w:lineRule="atLeast"/>
              <w:rPr>
                <w:rFonts w:ascii="宋体" w:hAnsi="宋体" w:cs="宋体"/>
                <w:szCs w:val="21"/>
              </w:rPr>
            </w:pPr>
            <w:r>
              <w:rPr>
                <w:rFonts w:hint="eastAsia" w:ascii="宋体" w:hAnsi="宋体" w:cs="宋体"/>
                <w:szCs w:val="21"/>
              </w:rPr>
              <w:t>投标报价得分=（磋商基准价/最终磋商报价）×价格权值（10%）×100</w:t>
            </w:r>
          </w:p>
          <w:p>
            <w:pPr>
              <w:autoSpaceDE w:val="0"/>
              <w:autoSpaceDN w:val="0"/>
              <w:snapToGrid w:val="0"/>
              <w:spacing w:line="0" w:lineRule="atLeast"/>
              <w:rPr>
                <w:rFonts w:ascii="宋体" w:hAnsi="宋体" w:cs="宋体"/>
                <w:szCs w:val="21"/>
              </w:rPr>
            </w:pPr>
            <w:r>
              <w:rPr>
                <w:rFonts w:hint="eastAsia" w:ascii="宋体" w:hAnsi="宋体" w:cs="宋体"/>
                <w:szCs w:val="21"/>
              </w:rPr>
              <w:t>报价得分精确到小数点后二位；</w:t>
            </w:r>
          </w:p>
          <w:p>
            <w:pPr>
              <w:snapToGrid w:val="0"/>
              <w:spacing w:line="0" w:lineRule="atLeast"/>
              <w:rPr>
                <w:rFonts w:ascii="宋体" w:hAnsi="宋体" w:cs="宋体"/>
                <w:szCs w:val="21"/>
              </w:rPr>
            </w:pPr>
            <w:r>
              <w:rPr>
                <w:rFonts w:hint="eastAsia" w:ascii="宋体" w:hAnsi="宋体" w:cs="宋体"/>
                <w:szCs w:val="21"/>
              </w:rPr>
              <w:t>供应商应确保服务质量，不能蓄意低价投标。最终磋商报价明显低于进入商务报价程序的全部有效供应商的投标报价算术平均值20%的应提供有效合理的证明文件经过评委会认可，否则作为无效报价，价格分为0分。</w:t>
            </w:r>
          </w:p>
        </w:tc>
      </w:tr>
      <w:tr>
        <w:tblPrEx>
          <w:tblCellMar>
            <w:top w:w="0" w:type="dxa"/>
            <w:left w:w="108" w:type="dxa"/>
            <w:bottom w:w="0" w:type="dxa"/>
            <w:right w:w="108" w:type="dxa"/>
          </w:tblCellMar>
        </w:tblPrEx>
        <w:trPr>
          <w:trHeight w:val="1490" w:hRule="atLeast"/>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2</w:t>
            </w:r>
          </w:p>
        </w:tc>
        <w:tc>
          <w:tcPr>
            <w:tcW w:w="1230" w:type="dxa"/>
            <w:vMerge w:val="restart"/>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商务</w:t>
            </w:r>
          </w:p>
          <w:p>
            <w:pPr>
              <w:snapToGrid w:val="0"/>
              <w:spacing w:line="0" w:lineRule="atLeast"/>
              <w:jc w:val="center"/>
              <w:rPr>
                <w:rFonts w:ascii="宋体" w:hAnsi="宋体" w:cs="宋体"/>
                <w:szCs w:val="21"/>
              </w:rPr>
            </w:pPr>
            <w:r>
              <w:rPr>
                <w:rFonts w:hint="eastAsia" w:ascii="宋体" w:hAnsi="宋体" w:cs="宋体"/>
                <w:szCs w:val="21"/>
              </w:rPr>
              <w:t>部分</w:t>
            </w:r>
          </w:p>
          <w:p>
            <w:pPr>
              <w:snapToGrid w:val="0"/>
              <w:spacing w:line="0" w:lineRule="atLeast"/>
              <w:jc w:val="center"/>
              <w:rPr>
                <w:rFonts w:ascii="宋体" w:hAnsi="宋体" w:cs="宋体"/>
                <w:szCs w:val="21"/>
              </w:rPr>
            </w:pPr>
            <w:r>
              <w:rPr>
                <w:rFonts w:hint="eastAsia" w:ascii="宋体" w:hAnsi="宋体" w:cs="宋体"/>
                <w:szCs w:val="21"/>
              </w:rPr>
              <w:t>（50分）</w:t>
            </w:r>
          </w:p>
        </w:tc>
        <w:tc>
          <w:tcPr>
            <w:tcW w:w="1200" w:type="dxa"/>
            <w:tcBorders>
              <w:top w:val="single" w:color="auto" w:sz="4" w:space="0"/>
              <w:left w:val="nil"/>
              <w:bottom w:val="single" w:color="auto" w:sz="4" w:space="0"/>
              <w:right w:val="single" w:color="auto" w:sz="4" w:space="0"/>
            </w:tcBorders>
            <w:vAlign w:val="center"/>
          </w:tcPr>
          <w:p>
            <w:pPr>
              <w:snapToGrid w:val="0"/>
              <w:spacing w:line="0" w:lineRule="atLeast"/>
              <w:rPr>
                <w:rFonts w:ascii="宋体" w:hAnsi="宋体" w:cs="宋体"/>
                <w:szCs w:val="21"/>
              </w:rPr>
            </w:pPr>
            <w:r>
              <w:rPr>
                <w:rFonts w:hint="eastAsia" w:ascii="宋体" w:hAnsi="宋体" w:cs="宋体"/>
                <w:szCs w:val="21"/>
              </w:rPr>
              <w:t>供应商 综合情况</w:t>
            </w:r>
          </w:p>
        </w:tc>
        <w:tc>
          <w:tcPr>
            <w:tcW w:w="918"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15</w:t>
            </w:r>
          </w:p>
        </w:tc>
        <w:tc>
          <w:tcPr>
            <w:tcW w:w="5232" w:type="dxa"/>
            <w:tcBorders>
              <w:top w:val="single" w:color="auto" w:sz="4" w:space="0"/>
              <w:left w:val="nil"/>
              <w:bottom w:val="single" w:color="auto" w:sz="4" w:space="0"/>
              <w:right w:val="single" w:color="auto" w:sz="4" w:space="0"/>
            </w:tcBorders>
            <w:vAlign w:val="center"/>
          </w:tcPr>
          <w:p>
            <w:pPr>
              <w:numPr>
                <w:ilvl w:val="0"/>
                <w:numId w:val="5"/>
              </w:numPr>
              <w:jc w:val="left"/>
              <w:rPr>
                <w:rFonts w:ascii="宋体" w:hAnsi="宋体" w:cs="宋体"/>
                <w:szCs w:val="21"/>
              </w:rPr>
            </w:pPr>
            <w:r>
              <w:rPr>
                <w:rFonts w:hint="eastAsia" w:ascii="宋体" w:hAnsi="宋体" w:cs="宋体"/>
                <w:szCs w:val="21"/>
              </w:rPr>
              <w:t xml:space="preserve">综合评价供应商的经营状况，在咨询行业的信誉、专业水平及项目实践经验情况：            </w:t>
            </w:r>
          </w:p>
          <w:p>
            <w:pPr>
              <w:jc w:val="left"/>
              <w:rPr>
                <w:rFonts w:ascii="宋体" w:hAnsi="宋体" w:cs="宋体"/>
                <w:szCs w:val="21"/>
              </w:rPr>
            </w:pPr>
            <w:r>
              <w:rPr>
                <w:rFonts w:hint="eastAsia" w:ascii="宋体" w:hAnsi="宋体" w:cs="宋体"/>
                <w:szCs w:val="21"/>
              </w:rPr>
              <w:t>满意5-6分</w:t>
            </w:r>
          </w:p>
          <w:p>
            <w:pPr>
              <w:jc w:val="left"/>
              <w:rPr>
                <w:rFonts w:ascii="宋体" w:hAnsi="宋体" w:cs="宋体"/>
                <w:szCs w:val="21"/>
              </w:rPr>
            </w:pPr>
            <w:r>
              <w:rPr>
                <w:rFonts w:hint="eastAsia" w:ascii="宋体" w:hAnsi="宋体" w:cs="宋体"/>
                <w:szCs w:val="21"/>
              </w:rPr>
              <w:t>较好3-5分</w:t>
            </w:r>
          </w:p>
          <w:p>
            <w:pPr>
              <w:jc w:val="left"/>
              <w:rPr>
                <w:rFonts w:ascii="宋体" w:hAnsi="宋体" w:cs="宋体"/>
                <w:szCs w:val="21"/>
              </w:rPr>
            </w:pPr>
            <w:r>
              <w:rPr>
                <w:rFonts w:hint="eastAsia" w:ascii="宋体" w:hAnsi="宋体" w:cs="宋体"/>
                <w:szCs w:val="21"/>
              </w:rPr>
              <w:t xml:space="preserve">一般3分                                     </w:t>
            </w:r>
          </w:p>
          <w:p>
            <w:pPr>
              <w:jc w:val="left"/>
              <w:rPr>
                <w:rFonts w:ascii="宋体" w:hAnsi="宋体" w:cs="宋体"/>
                <w:szCs w:val="21"/>
              </w:rPr>
            </w:pPr>
            <w:r>
              <w:rPr>
                <w:rFonts w:hint="eastAsia" w:ascii="宋体" w:hAnsi="宋体" w:cs="宋体"/>
                <w:szCs w:val="21"/>
              </w:rPr>
              <w:t>2.综合评价供应商对国有企业资本运营规划、资产经营特点的了解、熟悉情况；对交通行业，尤其是高速公路建设运营、资产经营的发展历程、趋势、发展战略规划及总体布局的了解、熟悉程度：                                     满意8-9分</w:t>
            </w:r>
          </w:p>
          <w:p>
            <w:pPr>
              <w:jc w:val="left"/>
              <w:rPr>
                <w:rFonts w:ascii="宋体" w:hAnsi="宋体" w:cs="宋体"/>
                <w:szCs w:val="21"/>
              </w:rPr>
            </w:pPr>
            <w:r>
              <w:rPr>
                <w:rFonts w:hint="eastAsia" w:ascii="宋体" w:hAnsi="宋体" w:cs="宋体"/>
                <w:szCs w:val="21"/>
              </w:rPr>
              <w:t>较好5.4-8分</w:t>
            </w:r>
          </w:p>
          <w:p>
            <w:pPr>
              <w:jc w:val="left"/>
              <w:rPr>
                <w:szCs w:val="21"/>
              </w:rPr>
            </w:pPr>
            <w:r>
              <w:rPr>
                <w:rFonts w:hint="eastAsia" w:ascii="宋体" w:hAnsi="宋体" w:cs="宋体"/>
                <w:szCs w:val="21"/>
              </w:rPr>
              <w:t xml:space="preserve">一般5.4分         </w:t>
            </w:r>
            <w:r>
              <w:rPr>
                <w:szCs w:val="21"/>
              </w:rPr>
              <w:t xml:space="preserve">                       </w:t>
            </w:r>
          </w:p>
          <w:p>
            <w:pPr>
              <w:jc w:val="left"/>
              <w:rPr>
                <w:szCs w:val="21"/>
              </w:rPr>
            </w:pPr>
            <w:r>
              <w:rPr>
                <w:rFonts w:hint="eastAsia" w:ascii="宋体" w:hAnsi="宋体" w:cs="宋体"/>
                <w:szCs w:val="21"/>
              </w:rPr>
              <w:t>【标书内附相关企业综合情况介绍或证明材料】</w:t>
            </w:r>
          </w:p>
        </w:tc>
      </w:tr>
      <w:tr>
        <w:tblPrEx>
          <w:tblCellMar>
            <w:top w:w="0" w:type="dxa"/>
            <w:left w:w="108" w:type="dxa"/>
            <w:bottom w:w="0" w:type="dxa"/>
            <w:right w:w="108" w:type="dxa"/>
          </w:tblCellMar>
        </w:tblPrEx>
        <w:trPr>
          <w:trHeight w:val="90" w:hRule="atLeast"/>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业绩</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供应商近三年（2017年-至今）每完成过一项类似项目业绩得2分，最高得10分。【标书内附清晰的中标通知书或合同复印件加盖公章】</w:t>
            </w:r>
          </w:p>
        </w:tc>
      </w:tr>
      <w:tr>
        <w:tblPrEx>
          <w:tblCellMar>
            <w:top w:w="0" w:type="dxa"/>
            <w:left w:w="108" w:type="dxa"/>
            <w:bottom w:w="0" w:type="dxa"/>
            <w:right w:w="108" w:type="dxa"/>
          </w:tblCellMar>
        </w:tblPrEx>
        <w:trPr>
          <w:trHeight w:val="353" w:hRule="atLeast"/>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项目负责人</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bCs/>
                <w:szCs w:val="21"/>
              </w:rPr>
            </w:pPr>
            <w:r>
              <w:rPr>
                <w:rFonts w:hint="eastAsia" w:ascii="宋体" w:hAnsi="宋体" w:cs="宋体"/>
                <w:bCs/>
                <w:szCs w:val="21"/>
              </w:rPr>
              <w:t>综合评价项目负责人的专业技术能力、工作经验及担任项目负责人的以往项目业绩、履约及成果质量情况：</w:t>
            </w:r>
          </w:p>
          <w:p>
            <w:pPr>
              <w:autoSpaceDE w:val="0"/>
              <w:autoSpaceDN w:val="0"/>
              <w:snapToGrid w:val="0"/>
              <w:spacing w:line="0" w:lineRule="atLeast"/>
              <w:rPr>
                <w:rFonts w:ascii="宋体" w:hAnsi="宋体" w:cs="宋体"/>
                <w:bCs/>
                <w:szCs w:val="21"/>
              </w:rPr>
            </w:pPr>
            <w:r>
              <w:rPr>
                <w:rFonts w:hint="eastAsia" w:ascii="宋体" w:hAnsi="宋体" w:cs="宋体"/>
                <w:bCs/>
                <w:szCs w:val="21"/>
              </w:rPr>
              <w:t>满意：8-10分</w:t>
            </w:r>
          </w:p>
          <w:p>
            <w:pPr>
              <w:autoSpaceDE w:val="0"/>
              <w:autoSpaceDN w:val="0"/>
              <w:snapToGrid w:val="0"/>
              <w:spacing w:line="0" w:lineRule="atLeast"/>
              <w:rPr>
                <w:rFonts w:ascii="宋体" w:hAnsi="宋体" w:cs="宋体"/>
                <w:bCs/>
                <w:szCs w:val="21"/>
              </w:rPr>
            </w:pPr>
            <w:r>
              <w:rPr>
                <w:rFonts w:hint="eastAsia" w:ascii="宋体" w:hAnsi="宋体" w:cs="宋体"/>
                <w:bCs/>
                <w:szCs w:val="21"/>
              </w:rPr>
              <w:t>较好：6-8分</w:t>
            </w:r>
          </w:p>
          <w:p>
            <w:pPr>
              <w:autoSpaceDE w:val="0"/>
              <w:autoSpaceDN w:val="0"/>
              <w:snapToGrid w:val="0"/>
              <w:spacing w:line="0" w:lineRule="atLeast"/>
              <w:rPr>
                <w:rFonts w:ascii="宋体" w:hAnsi="宋体" w:cs="宋体"/>
                <w:bCs/>
                <w:szCs w:val="21"/>
              </w:rPr>
            </w:pPr>
            <w:r>
              <w:rPr>
                <w:rFonts w:hint="eastAsia" w:ascii="宋体" w:hAnsi="宋体" w:cs="宋体"/>
                <w:bCs/>
                <w:szCs w:val="21"/>
              </w:rPr>
              <w:t>一般：6分</w:t>
            </w:r>
          </w:p>
          <w:p>
            <w:pPr>
              <w:autoSpaceDE w:val="0"/>
              <w:autoSpaceDN w:val="0"/>
              <w:snapToGrid w:val="0"/>
              <w:spacing w:line="0" w:lineRule="atLeast"/>
              <w:rPr>
                <w:rFonts w:ascii="宋体" w:hAnsi="宋体" w:cs="宋体"/>
                <w:bCs/>
                <w:szCs w:val="21"/>
              </w:rPr>
            </w:pPr>
            <w:r>
              <w:rPr>
                <w:rFonts w:hint="eastAsia" w:ascii="宋体" w:hAnsi="宋体" w:cs="宋体"/>
                <w:b/>
                <w:szCs w:val="21"/>
              </w:rPr>
              <w:t>【标书内附清晰的项目负责人简历、相关证书及其他证明文件复印件加盖公章】</w:t>
            </w:r>
          </w:p>
        </w:tc>
      </w:tr>
      <w:tr>
        <w:tblPrEx>
          <w:tblCellMar>
            <w:top w:w="0" w:type="dxa"/>
            <w:left w:w="108" w:type="dxa"/>
            <w:bottom w:w="0" w:type="dxa"/>
            <w:right w:w="108" w:type="dxa"/>
          </w:tblCellMar>
        </w:tblPrEx>
        <w:trPr>
          <w:trHeight w:val="776" w:hRule="atLeast"/>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项目团队</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bCs/>
                <w:szCs w:val="21"/>
              </w:rPr>
            </w:pPr>
            <w:r>
              <w:rPr>
                <w:rFonts w:hint="eastAsia" w:ascii="宋体" w:hAnsi="宋体" w:cs="宋体"/>
                <w:bCs/>
                <w:szCs w:val="21"/>
              </w:rPr>
              <w:t>综合评价项目团队成员的人员结构、专业技术能力、工作经验及参与以往项目业绩情况：</w:t>
            </w:r>
          </w:p>
          <w:p>
            <w:pPr>
              <w:autoSpaceDE w:val="0"/>
              <w:autoSpaceDN w:val="0"/>
              <w:snapToGrid w:val="0"/>
              <w:spacing w:line="0" w:lineRule="atLeast"/>
              <w:rPr>
                <w:rFonts w:ascii="宋体" w:hAnsi="宋体" w:cs="宋体"/>
                <w:bCs/>
                <w:szCs w:val="21"/>
              </w:rPr>
            </w:pPr>
            <w:r>
              <w:rPr>
                <w:rFonts w:hint="eastAsia" w:ascii="宋体" w:hAnsi="宋体" w:cs="宋体"/>
                <w:bCs/>
                <w:szCs w:val="21"/>
              </w:rPr>
              <w:t>满意：8-10分。</w:t>
            </w:r>
          </w:p>
          <w:p>
            <w:pPr>
              <w:autoSpaceDE w:val="0"/>
              <w:autoSpaceDN w:val="0"/>
              <w:snapToGrid w:val="0"/>
              <w:spacing w:line="0" w:lineRule="atLeast"/>
              <w:rPr>
                <w:rFonts w:ascii="宋体" w:hAnsi="宋体" w:cs="宋体"/>
                <w:bCs/>
                <w:szCs w:val="21"/>
              </w:rPr>
            </w:pPr>
            <w:r>
              <w:rPr>
                <w:rFonts w:hint="eastAsia" w:ascii="宋体" w:hAnsi="宋体" w:cs="宋体"/>
                <w:bCs/>
                <w:szCs w:val="21"/>
              </w:rPr>
              <w:t>较好：6-8分</w:t>
            </w:r>
          </w:p>
          <w:p>
            <w:pPr>
              <w:autoSpaceDE w:val="0"/>
              <w:autoSpaceDN w:val="0"/>
              <w:snapToGrid w:val="0"/>
              <w:spacing w:line="0" w:lineRule="atLeast"/>
              <w:rPr>
                <w:rFonts w:ascii="宋体" w:hAnsi="宋体" w:cs="宋体"/>
                <w:bCs/>
                <w:szCs w:val="21"/>
              </w:rPr>
            </w:pPr>
            <w:r>
              <w:rPr>
                <w:rFonts w:hint="eastAsia" w:ascii="宋体" w:hAnsi="宋体" w:cs="宋体"/>
                <w:bCs/>
                <w:szCs w:val="21"/>
              </w:rPr>
              <w:t>一般：6分</w:t>
            </w:r>
          </w:p>
          <w:p>
            <w:pPr>
              <w:autoSpaceDE w:val="0"/>
              <w:autoSpaceDN w:val="0"/>
              <w:snapToGrid w:val="0"/>
              <w:spacing w:line="0" w:lineRule="atLeast"/>
              <w:rPr>
                <w:rFonts w:ascii="宋体" w:hAnsi="宋体" w:cs="宋体"/>
                <w:szCs w:val="21"/>
              </w:rPr>
            </w:pPr>
            <w:r>
              <w:rPr>
                <w:rFonts w:hint="eastAsia" w:ascii="宋体" w:hAnsi="宋体" w:cs="宋体"/>
                <w:b/>
                <w:szCs w:val="21"/>
              </w:rPr>
              <w:t>【标书内附清晰的项目团队成员的简历、相关证书及其他证明文件复印件加盖公章】</w:t>
            </w:r>
          </w:p>
        </w:tc>
      </w:tr>
      <w:tr>
        <w:tblPrEx>
          <w:tblCellMar>
            <w:top w:w="0" w:type="dxa"/>
            <w:left w:w="108" w:type="dxa"/>
            <w:bottom w:w="0" w:type="dxa"/>
            <w:right w:w="108" w:type="dxa"/>
          </w:tblCellMar>
        </w:tblPrEx>
        <w:trPr>
          <w:trHeight w:val="615" w:hRule="atLeast"/>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nil"/>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免费服务期限</w:t>
            </w:r>
          </w:p>
        </w:tc>
        <w:tc>
          <w:tcPr>
            <w:tcW w:w="918" w:type="dxa"/>
            <w:tcBorders>
              <w:top w:val="single" w:color="auto" w:sz="4" w:space="0"/>
              <w:left w:val="nil"/>
              <w:bottom w:val="nil"/>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3</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满足最低免费服务期限要求基础上，每延长6个月免费服务期加1分，最高得3分。</w:t>
            </w:r>
          </w:p>
        </w:tc>
      </w:tr>
      <w:tr>
        <w:tblPrEx>
          <w:tblCellMar>
            <w:top w:w="0" w:type="dxa"/>
            <w:left w:w="108" w:type="dxa"/>
            <w:bottom w:w="0" w:type="dxa"/>
            <w:right w:w="108" w:type="dxa"/>
          </w:tblCellMar>
        </w:tblPrEx>
        <w:trPr>
          <w:trHeight w:val="90" w:hRule="atLeast"/>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优惠条件</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2</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采购人可接受的优惠条件，每有一条得1分，最高得2分。</w:t>
            </w:r>
          </w:p>
        </w:tc>
      </w:tr>
      <w:tr>
        <w:tblPrEx>
          <w:tblCellMar>
            <w:top w:w="0" w:type="dxa"/>
            <w:left w:w="108" w:type="dxa"/>
            <w:bottom w:w="0" w:type="dxa"/>
            <w:right w:w="108" w:type="dxa"/>
          </w:tblCellMar>
        </w:tblPrEx>
        <w:trPr>
          <w:trHeight w:val="2148" w:hRule="atLeast"/>
        </w:trPr>
        <w:tc>
          <w:tcPr>
            <w:tcW w:w="534" w:type="dxa"/>
            <w:vMerge w:val="restart"/>
            <w:tcBorders>
              <w:top w:val="single" w:color="auto" w:sz="4" w:space="0"/>
              <w:left w:val="single" w:color="auto" w:sz="4" w:space="0"/>
              <w:bottom w:val="nil"/>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3</w:t>
            </w:r>
          </w:p>
          <w:p>
            <w:pPr>
              <w:snapToGrid w:val="0"/>
              <w:spacing w:line="0" w:lineRule="atLeast"/>
              <w:jc w:val="center"/>
              <w:rPr>
                <w:rFonts w:ascii="宋体" w:hAnsi="宋体" w:cs="宋体"/>
                <w:szCs w:val="21"/>
              </w:rPr>
            </w:pPr>
          </w:p>
        </w:tc>
        <w:tc>
          <w:tcPr>
            <w:tcW w:w="1230" w:type="dxa"/>
            <w:vMerge w:val="restart"/>
            <w:tcBorders>
              <w:top w:val="single" w:color="auto" w:sz="4" w:space="0"/>
              <w:left w:val="nil"/>
              <w:bottom w:val="nil"/>
              <w:right w:val="single" w:color="auto" w:sz="4" w:space="0"/>
            </w:tcBorders>
            <w:vAlign w:val="center"/>
          </w:tcPr>
          <w:p>
            <w:pPr>
              <w:snapToGrid w:val="0"/>
              <w:spacing w:line="0" w:lineRule="atLeast"/>
              <w:jc w:val="center"/>
              <w:rPr>
                <w:rFonts w:ascii="宋体" w:hAnsi="宋体" w:cs="宋体"/>
                <w:szCs w:val="21"/>
              </w:rPr>
            </w:pPr>
            <w:r>
              <w:rPr>
                <w:rFonts w:hint="eastAsia" w:ascii="宋体" w:hAnsi="宋体" w:cs="宋体"/>
                <w:szCs w:val="21"/>
              </w:rPr>
              <w:t>技术</w:t>
            </w:r>
          </w:p>
          <w:p>
            <w:pPr>
              <w:snapToGrid w:val="0"/>
              <w:spacing w:line="0" w:lineRule="atLeast"/>
              <w:jc w:val="center"/>
              <w:rPr>
                <w:rFonts w:ascii="宋体" w:hAnsi="宋体" w:cs="宋体"/>
                <w:szCs w:val="21"/>
              </w:rPr>
            </w:pPr>
            <w:r>
              <w:rPr>
                <w:rFonts w:hint="eastAsia" w:ascii="宋体" w:hAnsi="宋体" w:cs="宋体"/>
                <w:szCs w:val="21"/>
              </w:rPr>
              <w:t>部分</w:t>
            </w:r>
          </w:p>
          <w:p>
            <w:pPr>
              <w:snapToGrid w:val="0"/>
              <w:spacing w:line="0" w:lineRule="atLeast"/>
              <w:jc w:val="center"/>
              <w:rPr>
                <w:rFonts w:ascii="宋体" w:hAnsi="宋体" w:cs="宋体"/>
                <w:szCs w:val="21"/>
              </w:rPr>
            </w:pPr>
            <w:r>
              <w:rPr>
                <w:rFonts w:hint="eastAsia" w:ascii="宋体" w:hAnsi="宋体" w:cs="宋体"/>
                <w:szCs w:val="21"/>
              </w:rPr>
              <w:t>(40分）</w:t>
            </w:r>
          </w:p>
          <w:p>
            <w:pPr>
              <w:snapToGrid w:val="0"/>
              <w:spacing w:line="0" w:lineRule="atLeast"/>
              <w:jc w:val="center"/>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对项目的理解与把握</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对项目内容、要求、任务等理解是否全面、深入、清晰等情况进行综合评审：</w:t>
            </w:r>
          </w:p>
          <w:p>
            <w:pPr>
              <w:autoSpaceDE w:val="0"/>
              <w:autoSpaceDN w:val="0"/>
              <w:snapToGrid w:val="0"/>
              <w:spacing w:line="0" w:lineRule="atLeast"/>
              <w:rPr>
                <w:rFonts w:ascii="宋体" w:hAnsi="宋体" w:cs="宋体"/>
                <w:szCs w:val="21"/>
              </w:rPr>
            </w:pPr>
            <w:r>
              <w:rPr>
                <w:rFonts w:hint="eastAsia" w:ascii="宋体" w:hAnsi="宋体" w:cs="宋体"/>
                <w:szCs w:val="21"/>
              </w:rPr>
              <w:t>理解全面、深入、清晰的,得8-10分；</w:t>
            </w:r>
          </w:p>
          <w:p>
            <w:pPr>
              <w:autoSpaceDE w:val="0"/>
              <w:autoSpaceDN w:val="0"/>
              <w:snapToGrid w:val="0"/>
              <w:spacing w:line="0" w:lineRule="atLeast"/>
              <w:rPr>
                <w:rFonts w:ascii="宋体" w:hAnsi="宋体" w:cs="宋体"/>
                <w:szCs w:val="21"/>
              </w:rPr>
            </w:pPr>
            <w:r>
              <w:rPr>
                <w:rFonts w:hint="eastAsia" w:ascii="宋体" w:hAnsi="宋体" w:cs="宋体"/>
                <w:szCs w:val="21"/>
              </w:rPr>
              <w:t>理解良好,得6-8分；</w:t>
            </w:r>
          </w:p>
          <w:p>
            <w:pPr>
              <w:autoSpaceDE w:val="0"/>
              <w:autoSpaceDN w:val="0"/>
              <w:snapToGrid w:val="0"/>
              <w:spacing w:line="0" w:lineRule="atLeast"/>
              <w:rPr>
                <w:rFonts w:ascii="宋体" w:hAnsi="宋体" w:cs="宋体"/>
                <w:szCs w:val="21"/>
              </w:rPr>
            </w:pPr>
            <w:r>
              <w:rPr>
                <w:rFonts w:hint="eastAsia" w:ascii="宋体" w:hAnsi="宋体" w:cs="宋体"/>
                <w:szCs w:val="21"/>
              </w:rPr>
              <w:t>理解一般,得3-6分；</w:t>
            </w:r>
          </w:p>
          <w:p>
            <w:pPr>
              <w:autoSpaceDE w:val="0"/>
              <w:autoSpaceDN w:val="0"/>
              <w:snapToGrid w:val="0"/>
              <w:spacing w:line="0" w:lineRule="atLeast"/>
              <w:rPr>
                <w:rFonts w:ascii="宋体" w:hAnsi="宋体" w:cs="宋体"/>
                <w:szCs w:val="21"/>
              </w:rPr>
            </w:pPr>
            <w:r>
              <w:rPr>
                <w:rFonts w:hint="eastAsia" w:ascii="宋体" w:hAnsi="宋体" w:cs="宋体"/>
                <w:szCs w:val="21"/>
              </w:rPr>
              <w:t>理解较差,得1-3分。</w:t>
            </w:r>
          </w:p>
          <w:p>
            <w:pPr>
              <w:autoSpaceDE w:val="0"/>
              <w:autoSpaceDN w:val="0"/>
              <w:snapToGrid w:val="0"/>
              <w:spacing w:line="0" w:lineRule="atLeast"/>
              <w:rPr>
                <w:rFonts w:ascii="宋体" w:hAnsi="宋体" w:cs="宋体"/>
                <w:szCs w:val="21"/>
              </w:rPr>
            </w:pPr>
            <w:r>
              <w:rPr>
                <w:rFonts w:hint="eastAsia" w:ascii="宋体" w:hAnsi="宋体" w:cs="宋体"/>
                <w:szCs w:val="21"/>
              </w:rPr>
              <w:t>注:不提供方案不得分。</w:t>
            </w:r>
          </w:p>
        </w:tc>
      </w:tr>
      <w:tr>
        <w:tblPrEx>
          <w:tblCellMar>
            <w:top w:w="0" w:type="dxa"/>
            <w:left w:w="108" w:type="dxa"/>
            <w:bottom w:w="0" w:type="dxa"/>
            <w:right w:w="108" w:type="dxa"/>
          </w:tblCellMar>
        </w:tblPrEx>
        <w:trPr>
          <w:trHeight w:val="1349" w:hRule="atLeast"/>
        </w:trPr>
        <w:tc>
          <w:tcPr>
            <w:tcW w:w="17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nil"/>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nil"/>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现状调查策划及需求分析</w:t>
            </w:r>
          </w:p>
        </w:tc>
        <w:tc>
          <w:tcPr>
            <w:tcW w:w="918" w:type="dxa"/>
            <w:tcBorders>
              <w:top w:val="single" w:color="auto" w:sz="4" w:space="0"/>
              <w:left w:val="nil"/>
              <w:bottom w:val="nil"/>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对项目现状调查策划及需求分析方案进行综合评审:</w:t>
            </w:r>
          </w:p>
          <w:p>
            <w:pPr>
              <w:autoSpaceDE w:val="0"/>
              <w:autoSpaceDN w:val="0"/>
              <w:snapToGrid w:val="0"/>
              <w:spacing w:line="0" w:lineRule="atLeast"/>
              <w:rPr>
                <w:rFonts w:ascii="宋体" w:hAnsi="宋体" w:cs="宋体"/>
                <w:szCs w:val="21"/>
              </w:rPr>
            </w:pPr>
            <w:r>
              <w:rPr>
                <w:rFonts w:hint="eastAsia" w:ascii="宋体" w:hAnsi="宋体" w:cs="宋体"/>
                <w:szCs w:val="21"/>
              </w:rPr>
              <w:t>方法合理，具有可行性和科学性，得8-10分；</w:t>
            </w:r>
          </w:p>
          <w:p>
            <w:pPr>
              <w:autoSpaceDE w:val="0"/>
              <w:autoSpaceDN w:val="0"/>
              <w:snapToGrid w:val="0"/>
              <w:spacing w:line="0" w:lineRule="atLeast"/>
              <w:rPr>
                <w:rFonts w:ascii="宋体" w:hAnsi="宋体" w:cs="宋体"/>
                <w:szCs w:val="21"/>
              </w:rPr>
            </w:pPr>
            <w:r>
              <w:rPr>
                <w:rFonts w:hint="eastAsia" w:ascii="宋体" w:hAnsi="宋体" w:cs="宋体"/>
                <w:szCs w:val="21"/>
              </w:rPr>
              <w:t>方法较合理，得6-8分；</w:t>
            </w:r>
          </w:p>
          <w:p>
            <w:pPr>
              <w:autoSpaceDE w:val="0"/>
              <w:autoSpaceDN w:val="0"/>
              <w:snapToGrid w:val="0"/>
              <w:spacing w:line="0" w:lineRule="atLeast"/>
              <w:rPr>
                <w:rFonts w:ascii="宋体" w:hAnsi="宋体" w:cs="宋体"/>
                <w:szCs w:val="21"/>
              </w:rPr>
            </w:pPr>
            <w:r>
              <w:rPr>
                <w:rFonts w:hint="eastAsia" w:ascii="宋体" w:hAnsi="宋体" w:cs="宋体"/>
                <w:szCs w:val="21"/>
              </w:rPr>
              <w:t>方案内容简单，部分内容可行，得3-6分；</w:t>
            </w:r>
          </w:p>
          <w:p>
            <w:pPr>
              <w:autoSpaceDE w:val="0"/>
              <w:autoSpaceDN w:val="0"/>
              <w:snapToGrid w:val="0"/>
              <w:spacing w:line="0" w:lineRule="atLeast"/>
              <w:rPr>
                <w:rFonts w:ascii="宋体" w:hAnsi="宋体" w:cs="宋体"/>
                <w:szCs w:val="21"/>
              </w:rPr>
            </w:pPr>
            <w:r>
              <w:rPr>
                <w:rFonts w:hint="eastAsia" w:ascii="宋体" w:hAnsi="宋体" w:cs="宋体"/>
                <w:szCs w:val="21"/>
              </w:rPr>
              <w:t>方案差，不合理，得1-3分。</w:t>
            </w:r>
          </w:p>
          <w:p>
            <w:pPr>
              <w:autoSpaceDE w:val="0"/>
              <w:autoSpaceDN w:val="0"/>
              <w:snapToGrid w:val="0"/>
              <w:spacing w:line="0" w:lineRule="atLeast"/>
              <w:rPr>
                <w:rFonts w:ascii="宋体" w:hAnsi="宋体" w:cs="宋体"/>
                <w:szCs w:val="21"/>
              </w:rPr>
            </w:pPr>
            <w:r>
              <w:rPr>
                <w:rFonts w:hint="eastAsia" w:ascii="宋体" w:hAnsi="宋体" w:cs="宋体"/>
                <w:szCs w:val="21"/>
              </w:rPr>
              <w:t>注:不提供方案不得分。</w:t>
            </w:r>
          </w:p>
        </w:tc>
      </w:tr>
      <w:tr>
        <w:tblPrEx>
          <w:tblCellMar>
            <w:top w:w="0" w:type="dxa"/>
            <w:left w:w="108" w:type="dxa"/>
            <w:bottom w:w="0" w:type="dxa"/>
            <w:right w:w="108" w:type="dxa"/>
          </w:tblCellMar>
        </w:tblPrEx>
        <w:trPr>
          <w:trHeight w:val="2051" w:hRule="atLeast"/>
        </w:trPr>
        <w:tc>
          <w:tcPr>
            <w:tcW w:w="17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nil"/>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nil"/>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工作内容、研究方法及技术路线</w:t>
            </w:r>
          </w:p>
        </w:tc>
        <w:tc>
          <w:tcPr>
            <w:tcW w:w="918" w:type="dxa"/>
            <w:tcBorders>
              <w:top w:val="single" w:color="auto" w:sz="4" w:space="0"/>
              <w:left w:val="nil"/>
              <w:bottom w:val="nil"/>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10</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能结合项目工作内容制订具体的研究方法、技术方案，明确各个阶段的工作内容、工作重点和实施步骤，技术方案合理可行且符合吉高集团实际，进行综合评审：</w:t>
            </w:r>
          </w:p>
          <w:p>
            <w:pPr>
              <w:autoSpaceDE w:val="0"/>
              <w:autoSpaceDN w:val="0"/>
              <w:snapToGrid w:val="0"/>
              <w:spacing w:line="0" w:lineRule="atLeast"/>
              <w:rPr>
                <w:rFonts w:ascii="宋体" w:hAnsi="宋体" w:cs="宋体"/>
                <w:szCs w:val="21"/>
              </w:rPr>
            </w:pPr>
            <w:r>
              <w:rPr>
                <w:rFonts w:hint="eastAsia" w:ascii="宋体" w:hAnsi="宋体" w:cs="宋体"/>
                <w:szCs w:val="21"/>
              </w:rPr>
              <w:t>方案详细、合理、可行的，得8-10分；</w:t>
            </w:r>
          </w:p>
          <w:p>
            <w:pPr>
              <w:autoSpaceDE w:val="0"/>
              <w:autoSpaceDN w:val="0"/>
              <w:snapToGrid w:val="0"/>
              <w:spacing w:line="0" w:lineRule="atLeast"/>
              <w:rPr>
                <w:rFonts w:ascii="宋体" w:hAnsi="宋体" w:cs="宋体"/>
                <w:szCs w:val="21"/>
              </w:rPr>
            </w:pPr>
            <w:r>
              <w:rPr>
                <w:rFonts w:hint="eastAsia" w:ascii="宋体" w:hAnsi="宋体" w:cs="宋体"/>
                <w:szCs w:val="21"/>
              </w:rPr>
              <w:t>方案较为详细、合理、可行的，得6-8分；</w:t>
            </w:r>
          </w:p>
          <w:p>
            <w:pPr>
              <w:autoSpaceDE w:val="0"/>
              <w:autoSpaceDN w:val="0"/>
              <w:snapToGrid w:val="0"/>
              <w:spacing w:line="0" w:lineRule="atLeast"/>
              <w:rPr>
                <w:rFonts w:ascii="宋体" w:hAnsi="宋体" w:cs="宋体"/>
                <w:szCs w:val="21"/>
              </w:rPr>
            </w:pPr>
            <w:r>
              <w:rPr>
                <w:rFonts w:hint="eastAsia" w:ascii="宋体" w:hAnsi="宋体" w:cs="宋体"/>
                <w:szCs w:val="21"/>
              </w:rPr>
              <w:t>方案一般的待3-6分；</w:t>
            </w:r>
          </w:p>
          <w:p>
            <w:pPr>
              <w:autoSpaceDE w:val="0"/>
              <w:autoSpaceDN w:val="0"/>
              <w:snapToGrid w:val="0"/>
              <w:spacing w:line="0" w:lineRule="atLeast"/>
              <w:rPr>
                <w:rFonts w:ascii="宋体" w:hAnsi="宋体" w:cs="宋体"/>
                <w:szCs w:val="21"/>
              </w:rPr>
            </w:pPr>
            <w:r>
              <w:rPr>
                <w:rFonts w:hint="eastAsia" w:ascii="宋体" w:hAnsi="宋体" w:cs="宋体"/>
                <w:szCs w:val="21"/>
              </w:rPr>
              <w:t>方案不合理，得1-3分。</w:t>
            </w:r>
          </w:p>
          <w:p>
            <w:pPr>
              <w:autoSpaceDE w:val="0"/>
              <w:autoSpaceDN w:val="0"/>
              <w:snapToGrid w:val="0"/>
              <w:spacing w:line="0" w:lineRule="atLeast"/>
              <w:rPr>
                <w:rFonts w:ascii="宋体" w:hAnsi="宋体" w:cs="宋体"/>
                <w:szCs w:val="21"/>
              </w:rPr>
            </w:pPr>
            <w:r>
              <w:rPr>
                <w:rFonts w:hint="eastAsia" w:ascii="宋体" w:hAnsi="宋体" w:cs="宋体"/>
                <w:szCs w:val="21"/>
              </w:rPr>
              <w:t>注:不提供方案不得分</w:t>
            </w:r>
          </w:p>
        </w:tc>
      </w:tr>
      <w:tr>
        <w:tblPrEx>
          <w:tblCellMar>
            <w:top w:w="0" w:type="dxa"/>
            <w:left w:w="108" w:type="dxa"/>
            <w:bottom w:w="0" w:type="dxa"/>
            <w:right w:w="108" w:type="dxa"/>
          </w:tblCellMar>
        </w:tblPrEx>
        <w:trPr>
          <w:trHeight w:val="351" w:hRule="atLeast"/>
        </w:trPr>
        <w:tc>
          <w:tcPr>
            <w:tcW w:w="17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nil"/>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工作进度计划与进度安排</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5</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时间进度安排科学、紧凑，保证措施全面，项目进度控制进行综合评审:</w:t>
            </w:r>
          </w:p>
          <w:p>
            <w:pPr>
              <w:autoSpaceDE w:val="0"/>
              <w:autoSpaceDN w:val="0"/>
              <w:snapToGrid w:val="0"/>
              <w:spacing w:line="0" w:lineRule="atLeast"/>
              <w:rPr>
                <w:rFonts w:ascii="宋体" w:hAnsi="宋体" w:cs="宋体"/>
                <w:szCs w:val="21"/>
              </w:rPr>
            </w:pPr>
            <w:r>
              <w:rPr>
                <w:rFonts w:hint="eastAsia" w:ascii="宋体" w:hAnsi="宋体" w:cs="宋体"/>
                <w:szCs w:val="21"/>
              </w:rPr>
              <w:t>优秀得4-5分；</w:t>
            </w:r>
          </w:p>
          <w:p>
            <w:pPr>
              <w:autoSpaceDE w:val="0"/>
              <w:autoSpaceDN w:val="0"/>
              <w:snapToGrid w:val="0"/>
              <w:spacing w:line="0" w:lineRule="atLeast"/>
              <w:rPr>
                <w:rFonts w:ascii="宋体" w:hAnsi="宋体" w:cs="宋体"/>
                <w:szCs w:val="21"/>
              </w:rPr>
            </w:pPr>
            <w:r>
              <w:rPr>
                <w:rFonts w:hint="eastAsia" w:ascii="宋体" w:hAnsi="宋体" w:cs="宋体"/>
                <w:szCs w:val="21"/>
              </w:rPr>
              <w:t>良好得3-4分；</w:t>
            </w:r>
          </w:p>
          <w:p>
            <w:pPr>
              <w:autoSpaceDE w:val="0"/>
              <w:autoSpaceDN w:val="0"/>
              <w:snapToGrid w:val="0"/>
              <w:spacing w:line="0" w:lineRule="atLeast"/>
              <w:rPr>
                <w:rFonts w:ascii="宋体" w:hAnsi="宋体" w:cs="宋体"/>
                <w:szCs w:val="21"/>
              </w:rPr>
            </w:pPr>
            <w:r>
              <w:rPr>
                <w:rFonts w:hint="eastAsia" w:ascii="宋体" w:hAnsi="宋体" w:cs="宋体"/>
                <w:szCs w:val="21"/>
              </w:rPr>
              <w:t>一般得1-3分。</w:t>
            </w:r>
          </w:p>
          <w:p>
            <w:pPr>
              <w:autoSpaceDE w:val="0"/>
              <w:autoSpaceDN w:val="0"/>
              <w:snapToGrid w:val="0"/>
              <w:spacing w:line="0" w:lineRule="atLeast"/>
              <w:rPr>
                <w:rFonts w:ascii="宋体" w:hAnsi="宋体" w:cs="宋体"/>
                <w:szCs w:val="21"/>
              </w:rPr>
            </w:pPr>
            <w:r>
              <w:rPr>
                <w:rFonts w:hint="eastAsia" w:ascii="宋体" w:hAnsi="宋体" w:cs="宋体"/>
                <w:szCs w:val="21"/>
              </w:rPr>
              <w:t>注:不提供方案不得分。</w:t>
            </w:r>
          </w:p>
        </w:tc>
      </w:tr>
      <w:tr>
        <w:tblPrEx>
          <w:tblCellMar>
            <w:top w:w="0" w:type="dxa"/>
            <w:left w:w="108" w:type="dxa"/>
            <w:bottom w:w="0" w:type="dxa"/>
            <w:right w:w="108" w:type="dxa"/>
          </w:tblCellMar>
        </w:tblPrEx>
        <w:trPr>
          <w:trHeight w:val="907" w:hRule="atLeast"/>
        </w:trPr>
        <w:tc>
          <w:tcPr>
            <w:tcW w:w="17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szCs w:val="21"/>
              </w:rPr>
            </w:pPr>
          </w:p>
        </w:tc>
        <w:tc>
          <w:tcPr>
            <w:tcW w:w="1230" w:type="dxa"/>
            <w:vMerge w:val="continue"/>
            <w:tcBorders>
              <w:top w:val="single" w:color="auto" w:sz="4" w:space="0"/>
              <w:left w:val="nil"/>
              <w:bottom w:val="nil"/>
              <w:right w:val="single" w:color="auto" w:sz="4" w:space="0"/>
            </w:tcBorders>
            <w:vAlign w:val="center"/>
          </w:tcPr>
          <w:p>
            <w:pPr>
              <w:widowControl/>
              <w:jc w:val="left"/>
              <w:rPr>
                <w:rFonts w:ascii="宋体" w:hAnsi="宋体" w:cs="宋体"/>
                <w:szCs w:val="21"/>
              </w:rPr>
            </w:pPr>
          </w:p>
        </w:tc>
        <w:tc>
          <w:tcPr>
            <w:tcW w:w="1200"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napToGrid w:val="0"/>
                <w:szCs w:val="21"/>
              </w:rPr>
              <w:t>项目质量控制及保障措施</w:t>
            </w:r>
          </w:p>
        </w:tc>
        <w:tc>
          <w:tcPr>
            <w:tcW w:w="918"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jc w:val="center"/>
              <w:rPr>
                <w:rFonts w:ascii="宋体" w:hAnsi="宋体" w:cs="宋体"/>
                <w:szCs w:val="21"/>
              </w:rPr>
            </w:pPr>
            <w:r>
              <w:rPr>
                <w:rFonts w:hint="eastAsia" w:ascii="宋体" w:hAnsi="宋体" w:cs="宋体"/>
                <w:szCs w:val="21"/>
              </w:rPr>
              <w:t>5</w:t>
            </w:r>
          </w:p>
        </w:tc>
        <w:tc>
          <w:tcPr>
            <w:tcW w:w="5232" w:type="dxa"/>
            <w:tcBorders>
              <w:top w:val="single" w:color="auto" w:sz="4" w:space="0"/>
              <w:left w:val="nil"/>
              <w:bottom w:val="single" w:color="auto" w:sz="4" w:space="0"/>
              <w:right w:val="single" w:color="auto" w:sz="4" w:space="0"/>
            </w:tcBorders>
            <w:vAlign w:val="center"/>
          </w:tcPr>
          <w:p>
            <w:pPr>
              <w:autoSpaceDE w:val="0"/>
              <w:autoSpaceDN w:val="0"/>
              <w:snapToGrid w:val="0"/>
              <w:spacing w:line="0" w:lineRule="atLeast"/>
              <w:rPr>
                <w:rFonts w:ascii="宋体" w:hAnsi="宋体" w:cs="宋体"/>
                <w:szCs w:val="21"/>
              </w:rPr>
            </w:pPr>
            <w:r>
              <w:rPr>
                <w:rFonts w:hint="eastAsia" w:ascii="宋体" w:hAnsi="宋体" w:cs="宋体"/>
                <w:szCs w:val="21"/>
              </w:rPr>
              <w:t>针对咨询服务过程中项目质量控制及保障措施阐述进行评分：</w:t>
            </w:r>
          </w:p>
          <w:p>
            <w:pPr>
              <w:autoSpaceDE w:val="0"/>
              <w:autoSpaceDN w:val="0"/>
              <w:snapToGrid w:val="0"/>
              <w:spacing w:line="0" w:lineRule="atLeast"/>
              <w:rPr>
                <w:rFonts w:ascii="宋体" w:hAnsi="宋体" w:cs="宋体"/>
                <w:szCs w:val="21"/>
              </w:rPr>
            </w:pPr>
            <w:r>
              <w:rPr>
                <w:rFonts w:hint="eastAsia" w:ascii="宋体" w:hAnsi="宋体" w:cs="宋体"/>
                <w:szCs w:val="21"/>
              </w:rPr>
              <w:t>完整、合理、可行4-5分；</w:t>
            </w:r>
          </w:p>
          <w:p>
            <w:pPr>
              <w:autoSpaceDE w:val="0"/>
              <w:autoSpaceDN w:val="0"/>
              <w:snapToGrid w:val="0"/>
              <w:spacing w:line="0" w:lineRule="atLeast"/>
              <w:rPr>
                <w:rFonts w:ascii="宋体" w:hAnsi="宋体" w:cs="宋体"/>
                <w:szCs w:val="21"/>
              </w:rPr>
            </w:pPr>
            <w:r>
              <w:rPr>
                <w:rFonts w:hint="eastAsia" w:ascii="宋体" w:hAnsi="宋体" w:cs="宋体"/>
                <w:szCs w:val="21"/>
              </w:rPr>
              <w:t>基本完整、合理、可行3-4分；</w:t>
            </w:r>
          </w:p>
          <w:p>
            <w:pPr>
              <w:autoSpaceDE w:val="0"/>
              <w:autoSpaceDN w:val="0"/>
              <w:snapToGrid w:val="0"/>
              <w:spacing w:line="0" w:lineRule="atLeast"/>
              <w:rPr>
                <w:rFonts w:ascii="宋体" w:hAnsi="宋体" w:cs="宋体"/>
                <w:szCs w:val="21"/>
              </w:rPr>
            </w:pPr>
            <w:r>
              <w:rPr>
                <w:rFonts w:hint="eastAsia" w:ascii="宋体" w:hAnsi="宋体" w:cs="宋体"/>
                <w:szCs w:val="21"/>
              </w:rPr>
              <w:t>有错漏或表述不清1-3分。</w:t>
            </w:r>
          </w:p>
          <w:p>
            <w:pPr>
              <w:pStyle w:val="2"/>
              <w:snapToGrid w:val="0"/>
              <w:spacing w:before="0" w:after="0" w:line="0" w:lineRule="atLeast"/>
              <w:rPr>
                <w:rFonts w:ascii="宋体" w:hAnsi="宋体" w:cs="宋体"/>
                <w:sz w:val="21"/>
                <w:szCs w:val="21"/>
              </w:rPr>
            </w:pPr>
            <w:r>
              <w:rPr>
                <w:rFonts w:hint="eastAsia" w:ascii="宋体" w:hAnsi="宋体" w:cs="宋体"/>
                <w:b w:val="0"/>
                <w:bCs w:val="0"/>
                <w:sz w:val="21"/>
                <w:szCs w:val="21"/>
              </w:rPr>
              <w:t>注:不提供方案不得分。</w:t>
            </w:r>
          </w:p>
        </w:tc>
      </w:tr>
      <w:tr>
        <w:tblPrEx>
          <w:tblCellMar>
            <w:top w:w="0" w:type="dxa"/>
            <w:left w:w="108" w:type="dxa"/>
            <w:bottom w:w="0" w:type="dxa"/>
            <w:right w:w="108" w:type="dxa"/>
          </w:tblCellMar>
        </w:tblPrEx>
        <w:trPr>
          <w:gridAfter w:val="3"/>
          <w:wAfter w:w="7350" w:type="dxa"/>
          <w:trHeight w:val="100" w:hRule="atLeast"/>
        </w:trPr>
        <w:tc>
          <w:tcPr>
            <w:tcW w:w="1764" w:type="dxa"/>
            <w:gridSpan w:val="2"/>
            <w:tcBorders>
              <w:top w:val="single" w:color="auto" w:sz="4" w:space="0"/>
              <w:left w:val="nil"/>
              <w:bottom w:val="nil"/>
              <w:right w:val="nil"/>
            </w:tcBorders>
          </w:tcPr>
          <w:p>
            <w:pPr>
              <w:widowControl/>
              <w:spacing w:line="0" w:lineRule="atLeast"/>
              <w:jc w:val="left"/>
              <w:rPr>
                <w:rFonts w:ascii="宋体" w:hAnsi="宋体" w:cs="宋体"/>
                <w:kern w:val="0"/>
                <w:szCs w:val="21"/>
              </w:rPr>
            </w:pPr>
          </w:p>
        </w:tc>
      </w:tr>
    </w:tbl>
    <w:p>
      <w:pPr>
        <w:tabs>
          <w:tab w:val="left" w:pos="1260"/>
          <w:tab w:val="left" w:pos="1620"/>
        </w:tabs>
        <w:adjustRightInd w:val="0"/>
        <w:spacing w:line="360" w:lineRule="auto"/>
        <w:jc w:val="left"/>
        <w:textAlignment w:val="baseline"/>
        <w:rPr>
          <w:rFonts w:ascii="宋体" w:hAnsi="宋体" w:cs="宋体"/>
          <w:kern w:val="44"/>
          <w:szCs w:val="21"/>
        </w:rPr>
      </w:pPr>
      <w:r>
        <w:rPr>
          <w:rFonts w:hint="eastAsia" w:ascii="宋体" w:hAnsi="宋体" w:cs="宋体"/>
          <w:kern w:val="44"/>
          <w:szCs w:val="21"/>
        </w:rPr>
        <w:t>七.</w:t>
      </w:r>
      <w:r>
        <w:rPr>
          <w:rFonts w:hint="eastAsia" w:ascii="宋体" w:hAnsi="宋体" w:cs="宋体"/>
          <w:szCs w:val="21"/>
        </w:rPr>
        <w:t xml:space="preserve"> </w:t>
      </w:r>
      <w:r>
        <w:rPr>
          <w:rFonts w:hint="eastAsia" w:ascii="宋体" w:hAnsi="宋体" w:cs="宋体"/>
          <w:kern w:val="44"/>
          <w:szCs w:val="21"/>
        </w:rPr>
        <w:t>公开时间</w:t>
      </w:r>
    </w:p>
    <w:p>
      <w:pPr>
        <w:keepNext/>
        <w:keepLines/>
        <w:tabs>
          <w:tab w:val="left" w:pos="426"/>
        </w:tabs>
        <w:spacing w:line="360" w:lineRule="exact"/>
        <w:jc w:val="left"/>
        <w:outlineLvl w:val="2"/>
        <w:rPr>
          <w:rFonts w:ascii="宋体" w:hAnsi="宋体" w:cs="宋体"/>
          <w:szCs w:val="21"/>
        </w:rPr>
      </w:pPr>
      <w:r>
        <w:rPr>
          <w:rFonts w:hint="eastAsia" w:ascii="宋体" w:hAnsi="宋体" w:cs="宋体"/>
          <w:kern w:val="44"/>
          <w:szCs w:val="21"/>
        </w:rPr>
        <w:t>本次磋商文件关键内容信息公开时间至2020年5月14日24时00分结束</w:t>
      </w:r>
    </w:p>
    <w:p>
      <w:pPr>
        <w:keepNext/>
        <w:keepLines/>
        <w:tabs>
          <w:tab w:val="left" w:pos="426"/>
        </w:tabs>
        <w:spacing w:line="360" w:lineRule="exact"/>
        <w:jc w:val="left"/>
        <w:outlineLvl w:val="2"/>
        <w:rPr>
          <w:rFonts w:ascii="宋体" w:hAnsi="宋体" w:cs="宋体"/>
          <w:kern w:val="44"/>
          <w:szCs w:val="21"/>
        </w:rPr>
      </w:pPr>
      <w:r>
        <w:rPr>
          <w:rFonts w:hint="eastAsia" w:ascii="宋体" w:hAnsi="宋体" w:cs="宋体"/>
          <w:kern w:val="44"/>
          <w:szCs w:val="21"/>
        </w:rPr>
        <w:t>八.联系方式</w:t>
      </w:r>
    </w:p>
    <w:tbl>
      <w:tblPr>
        <w:tblStyle w:val="42"/>
        <w:tblW w:w="9322"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028"/>
        <w:gridCol w:w="294"/>
      </w:tblGrid>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采购人：吉林省高速公路集团有限公司</w:t>
            </w:r>
          </w:p>
          <w:p>
            <w:pPr>
              <w:pStyle w:val="37"/>
              <w:shd w:val="clear" w:color="auto" w:fill="FFFFFF"/>
              <w:snapToGrid w:val="0"/>
              <w:spacing w:before="0" w:beforeAutospacing="0" w:after="0" w:afterAutospacing="0" w:line="360" w:lineRule="exact"/>
              <w:rPr>
                <w:rFonts w:cs="宋体"/>
                <w:sz w:val="21"/>
                <w:szCs w:val="21"/>
                <w:shd w:val="clear" w:color="auto" w:fill="FFFFFF"/>
              </w:rPr>
            </w:pPr>
            <w:r>
              <w:rPr>
                <w:rFonts w:hint="eastAsia" w:cs="宋体"/>
                <w:sz w:val="21"/>
                <w:szCs w:val="21"/>
                <w:shd w:val="clear" w:color="auto" w:fill="FFFFFF"/>
              </w:rPr>
              <w:t>地址：吉林省长春市人民大街11511号</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邮政编码：130033</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联系人：</w:t>
            </w:r>
            <w:r>
              <w:rPr>
                <w:rFonts w:hint="eastAsia" w:cs="宋体"/>
                <w:sz w:val="21"/>
                <w:szCs w:val="21"/>
              </w:rPr>
              <w:t>张振东</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电话：0431-85254020</w:t>
            </w:r>
          </w:p>
          <w:p>
            <w:pPr>
              <w:pStyle w:val="37"/>
              <w:shd w:val="clear" w:color="auto" w:fill="FFFFFF"/>
              <w:snapToGrid w:val="0"/>
              <w:spacing w:before="0" w:beforeAutospacing="0" w:after="0" w:afterAutospacing="0" w:line="360" w:lineRule="exact"/>
              <w:rPr>
                <w:rFonts w:cs="宋体"/>
                <w:sz w:val="21"/>
                <w:szCs w:val="21"/>
                <w:shd w:val="clear" w:color="auto" w:fill="FFFFFF"/>
              </w:rPr>
            </w:pPr>
            <w:r>
              <w:rPr>
                <w:rFonts w:hint="eastAsia" w:cs="宋体"/>
                <w:sz w:val="21"/>
                <w:szCs w:val="21"/>
                <w:shd w:val="clear" w:color="auto" w:fill="FFFFFF"/>
              </w:rPr>
              <w:t>传真：0431-85254020</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采购代理机构：国信招标集团股份有限公司</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执行机构：国信招标集团股份有限公司吉林省分公司</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地址：长春市净月旅游开发区生态大街3777号明宇广场A4栋32层招标部</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联系人：张娉婷、王建</w:t>
            </w:r>
          </w:p>
          <w:p>
            <w:pPr>
              <w:pStyle w:val="37"/>
              <w:shd w:val="clear" w:color="auto" w:fill="FFFFFF"/>
              <w:snapToGrid w:val="0"/>
              <w:spacing w:before="0" w:beforeAutospacing="0" w:after="0" w:afterAutospacing="0" w:line="360" w:lineRule="exact"/>
              <w:rPr>
                <w:rFonts w:cs="宋体"/>
                <w:sz w:val="21"/>
                <w:szCs w:val="21"/>
              </w:rPr>
            </w:pPr>
            <w:r>
              <w:rPr>
                <w:rFonts w:hint="eastAsia" w:cs="宋体"/>
                <w:sz w:val="21"/>
                <w:szCs w:val="21"/>
                <w:shd w:val="clear" w:color="auto" w:fill="FFFFFF"/>
              </w:rPr>
              <w:t>电话：0431-81852896</w:t>
            </w:r>
          </w:p>
          <w:p>
            <w:pPr>
              <w:spacing w:line="360" w:lineRule="exact"/>
              <w:rPr>
                <w:rFonts w:ascii="宋体" w:hAnsi="宋体" w:cs="宋体"/>
                <w:szCs w:val="21"/>
              </w:rPr>
            </w:pPr>
            <w:r>
              <w:rPr>
                <w:rFonts w:hint="eastAsia" w:ascii="宋体" w:hAnsi="宋体" w:cs="宋体"/>
                <w:szCs w:val="21"/>
                <w:shd w:val="clear" w:color="auto" w:fill="FFFFFF"/>
              </w:rPr>
              <w:t>邮箱：zhangpingting@gxzbjl.com</w:t>
            </w:r>
          </w:p>
          <w:p>
            <w:pPr>
              <w:spacing w:line="360" w:lineRule="exact"/>
              <w:rPr>
                <w:rFonts w:ascii="宋体" w:hAnsi="宋体" w:cs="宋体"/>
                <w:szCs w:val="21"/>
              </w:rPr>
            </w:pPr>
          </w:p>
        </w:tc>
        <w:tc>
          <w:tcPr>
            <w:tcW w:w="294" w:type="dxa"/>
          </w:tcPr>
          <w:p>
            <w:pPr>
              <w:autoSpaceDE w:val="0"/>
              <w:autoSpaceDN w:val="0"/>
              <w:adjustRightInd w:val="0"/>
              <w:spacing w:line="360" w:lineRule="exact"/>
              <w:rPr>
                <w:rFonts w:ascii="宋体" w:hAnsi="宋体" w:cs="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spacing w:line="360" w:lineRule="atLeast"/>
              <w:rPr>
                <w:rFonts w:ascii="宋体" w:hAnsi="宋体" w:cs="宋体"/>
                <w:szCs w:val="21"/>
              </w:rPr>
            </w:pPr>
          </w:p>
        </w:tc>
        <w:tc>
          <w:tcPr>
            <w:tcW w:w="294" w:type="dxa"/>
          </w:tcPr>
          <w:p>
            <w:pPr>
              <w:autoSpaceDE w:val="0"/>
              <w:autoSpaceDN w:val="0"/>
              <w:adjustRightInd w:val="0"/>
              <w:spacing w:line="360" w:lineRule="atLeast"/>
              <w:rPr>
                <w:rFonts w:ascii="宋体" w:hAnsi="宋体" w:cs="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spacing w:line="360" w:lineRule="atLeast"/>
              <w:rPr>
                <w:rFonts w:ascii="宋体" w:hAnsi="宋体" w:cs="宋体"/>
                <w:szCs w:val="21"/>
              </w:rPr>
            </w:pPr>
          </w:p>
        </w:tc>
        <w:tc>
          <w:tcPr>
            <w:tcW w:w="294" w:type="dxa"/>
          </w:tcPr>
          <w:p>
            <w:pPr>
              <w:autoSpaceDE w:val="0"/>
              <w:autoSpaceDN w:val="0"/>
              <w:adjustRightInd w:val="0"/>
              <w:spacing w:line="360" w:lineRule="atLeast"/>
              <w:rPr>
                <w:rFonts w:ascii="宋体" w:hAnsi="宋体" w:cs="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spacing w:line="360" w:lineRule="atLeast"/>
              <w:rPr>
                <w:rFonts w:ascii="宋体" w:hAnsi="宋体" w:cs="宋体"/>
                <w:szCs w:val="21"/>
              </w:rPr>
            </w:pPr>
          </w:p>
        </w:tc>
        <w:tc>
          <w:tcPr>
            <w:tcW w:w="294" w:type="dxa"/>
          </w:tcPr>
          <w:p>
            <w:pPr>
              <w:autoSpaceDE w:val="0"/>
              <w:autoSpaceDN w:val="0"/>
              <w:adjustRightInd w:val="0"/>
              <w:spacing w:line="360" w:lineRule="atLeast"/>
              <w:rPr>
                <w:rFonts w:ascii="宋体" w:hAnsi="宋体" w:cs="宋体"/>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spacing w:line="360" w:lineRule="atLeast"/>
              <w:rPr>
                <w:rFonts w:ascii="宋体" w:hAnsi="宋体" w:cs="宋体"/>
                <w:szCs w:val="21"/>
              </w:rPr>
            </w:pPr>
          </w:p>
        </w:tc>
        <w:tc>
          <w:tcPr>
            <w:tcW w:w="294" w:type="dxa"/>
          </w:tcPr>
          <w:p>
            <w:pPr>
              <w:autoSpaceDE w:val="0"/>
              <w:autoSpaceDN w:val="0"/>
              <w:adjustRightInd w:val="0"/>
              <w:spacing w:line="360" w:lineRule="atLeast"/>
              <w:rPr>
                <w:rFonts w:ascii="宋体" w:hAnsi="宋体" w:cs="宋体"/>
                <w:szCs w:val="21"/>
              </w:rPr>
            </w:pPr>
          </w:p>
        </w:tc>
      </w:tr>
      <w:bookmarkEnd w:id="22"/>
      <w:bookmarkEnd w:id="23"/>
      <w:bookmarkEnd w:id="24"/>
      <w:bookmarkEnd w:id="25"/>
      <w:bookmarkEnd w:id="26"/>
    </w:tbl>
    <w:p>
      <w:pPr>
        <w:spacing w:line="360" w:lineRule="atLeast"/>
        <w:ind w:firstLine="435"/>
        <w:jc w:val="right"/>
        <w:rPr>
          <w:rFonts w:ascii="宋体" w:hAnsi="宋体"/>
          <w:szCs w:val="21"/>
        </w:rPr>
      </w:pPr>
    </w:p>
    <w:sectPr>
      <w:footnotePr>
        <w:numFmt w:val="decimalEnclosedCircleChinese"/>
        <w:numRestart w:val="eachPage"/>
      </w:footnotePr>
      <w:pgSz w:w="11907" w:h="16840"/>
      <w:pgMar w:top="1418" w:right="1134" w:bottom="1134" w:left="1418" w:header="680" w:footer="90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30D0"/>
    <w:multiLevelType w:val="singleLevel"/>
    <w:tmpl w:val="1B9830D0"/>
    <w:lvl w:ilvl="0" w:tentative="0">
      <w:start w:val="1"/>
      <w:numFmt w:val="decimal"/>
      <w:lvlText w:val="%1."/>
      <w:lvlJc w:val="left"/>
      <w:pPr>
        <w:tabs>
          <w:tab w:val="left" w:pos="312"/>
        </w:tabs>
      </w:pPr>
    </w:lvl>
  </w:abstractNum>
  <w:abstractNum w:abstractNumId="1">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5AAB3487"/>
    <w:multiLevelType w:val="singleLevel"/>
    <w:tmpl w:val="5AAB3487"/>
    <w:lvl w:ilvl="0" w:tentative="0">
      <w:start w:val="1"/>
      <w:numFmt w:val="decimal"/>
      <w:lvlText w:val="%1)"/>
      <w:lvlJc w:val="left"/>
      <w:pPr>
        <w:ind w:left="567" w:hanging="425"/>
      </w:pPr>
      <w:rPr>
        <w:rFonts w:hint="default"/>
      </w:rPr>
    </w:lvl>
  </w:abstractNum>
  <w:abstractNum w:abstractNumId="4">
    <w:nsid w:val="72A16D51"/>
    <w:multiLevelType w:val="multilevel"/>
    <w:tmpl w:val="72A16D51"/>
    <w:lvl w:ilvl="0" w:tentative="0">
      <w:start w:val="1"/>
      <w:numFmt w:val="decimal"/>
      <w:pStyle w:val="6"/>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8"/>
      <w:suff w:val="space"/>
      <w:lvlText w:val="%1.%2.%3"/>
      <w:lvlJc w:val="left"/>
      <w:pPr>
        <w:ind w:left="143" w:firstLine="425"/>
      </w:pPr>
      <w:rPr>
        <w:rFonts w:hint="eastAsia"/>
      </w:rPr>
    </w:lvl>
    <w:lvl w:ilvl="3" w:tentative="0">
      <w:start w:val="1"/>
      <w:numFmt w:val="decimal"/>
      <w:lvlText w:val="%1.%2.%3.%4"/>
      <w:lvlJc w:val="left"/>
      <w:pPr>
        <w:ind w:left="0" w:firstLine="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lvlOverride w:ilvl="0">
      <w:startOverride w:val="1"/>
    </w:lvlOverride>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20F3"/>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1C2"/>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6EE"/>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19F"/>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1B70136"/>
    <w:rsid w:val="0CF07141"/>
    <w:rsid w:val="0D856A2F"/>
    <w:rsid w:val="11C00535"/>
    <w:rsid w:val="14580491"/>
    <w:rsid w:val="2F4A3437"/>
    <w:rsid w:val="35432AA3"/>
    <w:rsid w:val="3A3B7724"/>
    <w:rsid w:val="3C91222F"/>
    <w:rsid w:val="3E6D5913"/>
    <w:rsid w:val="3E8410A3"/>
    <w:rsid w:val="40544AF3"/>
    <w:rsid w:val="4231521A"/>
    <w:rsid w:val="59733EF3"/>
    <w:rsid w:val="5B4A4AF7"/>
    <w:rsid w:val="5BAA37E4"/>
    <w:rsid w:val="60803497"/>
    <w:rsid w:val="67D71931"/>
    <w:rsid w:val="6CA2551B"/>
    <w:rsid w:val="749E4A39"/>
    <w:rsid w:val="7CAF4788"/>
    <w:rsid w:val="7CE9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59"/>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175"/>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153"/>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178"/>
    <w:qFormat/>
    <w:uiPriority w:val="9"/>
    <w:pPr>
      <w:numPr>
        <w:ilvl w:val="0"/>
        <w:numId w:val="1"/>
      </w:numPr>
      <w:tabs>
        <w:tab w:val="left" w:pos="315"/>
      </w:tabs>
      <w:spacing w:before="120" w:after="120"/>
      <w:outlineLvl w:val="3"/>
    </w:pPr>
    <w:rPr>
      <w:rFonts w:ascii="Cambria" w:hAnsi="Cambria" w:eastAsia="黑体"/>
      <w:bCs/>
      <w:sz w:val="24"/>
      <w:szCs w:val="28"/>
    </w:rPr>
  </w:style>
  <w:style w:type="paragraph" w:styleId="7">
    <w:name w:val="heading 5"/>
    <w:basedOn w:val="1"/>
    <w:next w:val="1"/>
    <w:link w:val="165"/>
    <w:qFormat/>
    <w:uiPriority w:val="0"/>
    <w:pPr>
      <w:tabs>
        <w:tab w:val="left" w:pos="420"/>
      </w:tabs>
      <w:spacing w:beforeLines="50" w:afterLines="50"/>
      <w:outlineLvl w:val="4"/>
    </w:pPr>
    <w:rPr>
      <w:bCs/>
      <w:szCs w:val="28"/>
    </w:rPr>
  </w:style>
  <w:style w:type="paragraph" w:styleId="8">
    <w:name w:val="heading 6"/>
    <w:basedOn w:val="1"/>
    <w:next w:val="1"/>
    <w:link w:val="148"/>
    <w:qFormat/>
    <w:uiPriority w:val="9"/>
    <w:pPr>
      <w:numPr>
        <w:ilvl w:val="2"/>
        <w:numId w:val="1"/>
      </w:numPr>
      <w:tabs>
        <w:tab w:val="left" w:pos="945"/>
      </w:tabs>
      <w:outlineLvl w:val="5"/>
    </w:pPr>
    <w:rPr>
      <w:rFonts w:ascii="Cambria" w:hAnsi="Cambria"/>
      <w:bCs/>
      <w:szCs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firstLineChars="200"/>
      <w:jc w:val="center"/>
    </w:pPr>
    <w:rPr>
      <w:b/>
      <w:kern w:val="0"/>
      <w:sz w:val="44"/>
      <w:szCs w:val="20"/>
    </w:rPr>
  </w:style>
  <w:style w:type="paragraph" w:styleId="12">
    <w:name w:val="toc 7"/>
    <w:basedOn w:val="1"/>
    <w:next w:val="1"/>
    <w:unhideWhenUsed/>
    <w:qFormat/>
    <w:uiPriority w:val="39"/>
    <w:pPr>
      <w:ind w:left="1260"/>
      <w:jc w:val="left"/>
    </w:pPr>
    <w:rPr>
      <w:sz w:val="18"/>
      <w:szCs w:val="18"/>
    </w:rPr>
  </w:style>
  <w:style w:type="paragraph" w:styleId="13">
    <w:name w:val="Document Map"/>
    <w:basedOn w:val="1"/>
    <w:semiHidden/>
    <w:qFormat/>
    <w:uiPriority w:val="0"/>
    <w:pPr>
      <w:shd w:val="clear" w:color="auto" w:fill="000080"/>
    </w:pPr>
  </w:style>
  <w:style w:type="paragraph" w:styleId="14">
    <w:name w:val="toa heading"/>
    <w:basedOn w:val="1"/>
    <w:next w:val="1"/>
    <w:unhideWhenUsed/>
    <w:qFormat/>
    <w:uiPriority w:val="0"/>
    <w:pPr>
      <w:spacing w:before="120"/>
    </w:pPr>
    <w:rPr>
      <w:rFonts w:ascii="Cambria" w:hAnsi="Cambria"/>
      <w:sz w:val="24"/>
      <w:szCs w:val="24"/>
    </w:rPr>
  </w:style>
  <w:style w:type="paragraph" w:styleId="15">
    <w:name w:val="annotation text"/>
    <w:basedOn w:val="1"/>
    <w:semiHidden/>
    <w:qFormat/>
    <w:uiPriority w:val="0"/>
    <w:pPr>
      <w:jc w:val="left"/>
    </w:pPr>
  </w:style>
  <w:style w:type="paragraph" w:styleId="16">
    <w:name w:val="Body Text"/>
    <w:basedOn w:val="1"/>
    <w:link w:val="177"/>
    <w:qFormat/>
    <w:uiPriority w:val="0"/>
    <w:rPr>
      <w:sz w:val="28"/>
      <w:szCs w:val="24"/>
    </w:rPr>
  </w:style>
  <w:style w:type="paragraph" w:styleId="17">
    <w:name w:val="Body Text Indent"/>
    <w:basedOn w:val="1"/>
    <w:qFormat/>
    <w:uiPriority w:val="0"/>
    <w:pPr>
      <w:ind w:firstLine="1120" w:firstLineChars="400"/>
    </w:pPr>
    <w:rPr>
      <w:sz w:val="28"/>
      <w:szCs w:val="24"/>
    </w:rPr>
  </w:style>
  <w:style w:type="paragraph" w:styleId="18">
    <w:name w:val="toc 5"/>
    <w:basedOn w:val="1"/>
    <w:next w:val="1"/>
    <w:unhideWhenUsed/>
    <w:qFormat/>
    <w:uiPriority w:val="39"/>
    <w:pPr>
      <w:ind w:left="840"/>
      <w:jc w:val="left"/>
    </w:pPr>
    <w:rPr>
      <w:sz w:val="18"/>
      <w:szCs w:val="18"/>
    </w:rPr>
  </w:style>
  <w:style w:type="paragraph" w:styleId="19">
    <w:name w:val="toc 3"/>
    <w:basedOn w:val="1"/>
    <w:next w:val="1"/>
    <w:unhideWhenUsed/>
    <w:qFormat/>
    <w:uiPriority w:val="39"/>
    <w:pPr>
      <w:tabs>
        <w:tab w:val="left" w:pos="740"/>
        <w:tab w:val="right" w:leader="dot" w:pos="9060"/>
      </w:tabs>
      <w:ind w:left="420"/>
      <w:jc w:val="left"/>
    </w:pPr>
    <w:rPr>
      <w:iCs/>
      <w:sz w:val="20"/>
      <w:szCs w:val="20"/>
    </w:rPr>
  </w:style>
  <w:style w:type="paragraph" w:styleId="20">
    <w:name w:val="Plain Text"/>
    <w:basedOn w:val="1"/>
    <w:qFormat/>
    <w:uiPriority w:val="0"/>
    <w:rPr>
      <w:rFonts w:ascii="宋体" w:hAnsi="Courier New" w:cs="Courier New"/>
      <w:szCs w:val="21"/>
    </w:rPr>
  </w:style>
  <w:style w:type="paragraph" w:styleId="21">
    <w:name w:val="toc 8"/>
    <w:basedOn w:val="1"/>
    <w:next w:val="1"/>
    <w:unhideWhenUsed/>
    <w:qFormat/>
    <w:uiPriority w:val="39"/>
    <w:pPr>
      <w:ind w:left="1470"/>
      <w:jc w:val="left"/>
    </w:pPr>
    <w:rPr>
      <w:sz w:val="18"/>
      <w:szCs w:val="18"/>
    </w:rPr>
  </w:style>
  <w:style w:type="paragraph" w:styleId="22">
    <w:name w:val="Date"/>
    <w:basedOn w:val="1"/>
    <w:next w:val="1"/>
    <w:qFormat/>
    <w:uiPriority w:val="0"/>
    <w:pPr>
      <w:ind w:left="100" w:leftChars="2500"/>
    </w:pPr>
    <w:rPr>
      <w:szCs w:val="24"/>
    </w:rPr>
  </w:style>
  <w:style w:type="paragraph" w:styleId="23">
    <w:name w:val="Body Text Indent 2"/>
    <w:basedOn w:val="1"/>
    <w:qFormat/>
    <w:uiPriority w:val="0"/>
    <w:pPr>
      <w:ind w:left="206" w:hanging="206" w:hangingChars="98"/>
    </w:pPr>
    <w:rPr>
      <w:szCs w:val="24"/>
    </w:rPr>
  </w:style>
  <w:style w:type="paragraph" w:styleId="24">
    <w:name w:val="endnote text"/>
    <w:basedOn w:val="1"/>
    <w:semiHidden/>
    <w:qFormat/>
    <w:uiPriority w:val="0"/>
    <w:pPr>
      <w:snapToGrid w:val="0"/>
      <w:jc w:val="left"/>
    </w:pPr>
    <w:rPr>
      <w:szCs w:val="24"/>
    </w:rPr>
  </w:style>
  <w:style w:type="paragraph" w:styleId="25">
    <w:name w:val="Balloon Text"/>
    <w:basedOn w:val="1"/>
    <w:link w:val="147"/>
    <w:unhideWhenUsed/>
    <w:qFormat/>
    <w:uiPriority w:val="99"/>
    <w:rPr>
      <w:kern w:val="0"/>
      <w:sz w:val="18"/>
      <w:szCs w:val="18"/>
    </w:rPr>
  </w:style>
  <w:style w:type="paragraph" w:styleId="26">
    <w:name w:val="footer"/>
    <w:basedOn w:val="1"/>
    <w:link w:val="160"/>
    <w:unhideWhenUsed/>
    <w:qFormat/>
    <w:uiPriority w:val="99"/>
    <w:pPr>
      <w:tabs>
        <w:tab w:val="center" w:pos="4153"/>
        <w:tab w:val="right" w:pos="8306"/>
      </w:tabs>
      <w:snapToGrid w:val="0"/>
      <w:jc w:val="left"/>
    </w:pPr>
    <w:rPr>
      <w:kern w:val="0"/>
      <w:sz w:val="18"/>
      <w:szCs w:val="18"/>
    </w:rPr>
  </w:style>
  <w:style w:type="paragraph" w:styleId="27">
    <w:name w:val="header"/>
    <w:basedOn w:val="1"/>
    <w:link w:val="1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9060"/>
      </w:tabs>
      <w:spacing w:line="400" w:lineRule="exact"/>
      <w:jc w:val="left"/>
    </w:pPr>
    <w:rPr>
      <w:b/>
      <w:bCs/>
      <w:caps/>
      <w:sz w:val="20"/>
      <w:szCs w:val="20"/>
    </w:rPr>
  </w:style>
  <w:style w:type="paragraph" w:styleId="29">
    <w:name w:val="toc 4"/>
    <w:basedOn w:val="1"/>
    <w:next w:val="1"/>
    <w:unhideWhenUsed/>
    <w:qFormat/>
    <w:uiPriority w:val="39"/>
    <w:pPr>
      <w:ind w:left="630"/>
      <w:jc w:val="left"/>
    </w:pPr>
    <w:rPr>
      <w:sz w:val="18"/>
      <w:szCs w:val="18"/>
    </w:rPr>
  </w:style>
  <w:style w:type="paragraph" w:styleId="30">
    <w:name w:val="Subtitle"/>
    <w:basedOn w:val="1"/>
    <w:next w:val="1"/>
    <w:link w:val="157"/>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155"/>
    <w:unhideWhenUsed/>
    <w:qFormat/>
    <w:uiPriority w:val="99"/>
    <w:pPr>
      <w:snapToGrid w:val="0"/>
      <w:jc w:val="left"/>
    </w:pPr>
    <w:rPr>
      <w:kern w:val="0"/>
      <w:sz w:val="18"/>
      <w:szCs w:val="18"/>
    </w:rPr>
  </w:style>
  <w:style w:type="paragraph" w:styleId="32">
    <w:name w:val="toc 6"/>
    <w:basedOn w:val="1"/>
    <w:next w:val="1"/>
    <w:unhideWhenUsed/>
    <w:qFormat/>
    <w:uiPriority w:val="39"/>
    <w:pPr>
      <w:ind w:left="1050"/>
      <w:jc w:val="left"/>
    </w:pPr>
    <w:rPr>
      <w:sz w:val="18"/>
      <w:szCs w:val="18"/>
    </w:rPr>
  </w:style>
  <w:style w:type="paragraph" w:styleId="33">
    <w:name w:val="Body Text Indent 3"/>
    <w:basedOn w:val="1"/>
    <w:link w:val="168"/>
    <w:qFormat/>
    <w:uiPriority w:val="99"/>
    <w:pPr>
      <w:spacing w:line="420" w:lineRule="exact"/>
      <w:ind w:firstLine="420" w:firstLineChars="200"/>
    </w:pPr>
    <w:rPr>
      <w:szCs w:val="24"/>
    </w:rPr>
  </w:style>
  <w:style w:type="paragraph" w:styleId="34">
    <w:name w:val="toc 2"/>
    <w:basedOn w:val="1"/>
    <w:next w:val="1"/>
    <w:unhideWhenUsed/>
    <w:qFormat/>
    <w:uiPriority w:val="39"/>
    <w:pPr>
      <w:tabs>
        <w:tab w:val="right" w:leader="dot" w:pos="9344"/>
      </w:tabs>
      <w:ind w:left="210"/>
      <w:jc w:val="left"/>
    </w:pPr>
    <w:rPr>
      <w:b/>
      <w:bCs/>
      <w:smallCaps/>
      <w:sz w:val="20"/>
      <w:szCs w:val="20"/>
    </w:rPr>
  </w:style>
  <w:style w:type="paragraph" w:styleId="35">
    <w:name w:val="toc 9"/>
    <w:basedOn w:val="1"/>
    <w:next w:val="1"/>
    <w:unhideWhenUsed/>
    <w:qFormat/>
    <w:uiPriority w:val="39"/>
    <w:pPr>
      <w:ind w:left="1680"/>
      <w:jc w:val="left"/>
    </w:pPr>
    <w:rPr>
      <w:sz w:val="18"/>
      <w:szCs w:val="18"/>
    </w:rPr>
  </w:style>
  <w:style w:type="paragraph" w:styleId="36">
    <w:name w:val="Body Text 2"/>
    <w:basedOn w:val="1"/>
    <w:qFormat/>
    <w:uiPriority w:val="0"/>
    <w:pPr>
      <w:spacing w:after="120" w:line="480" w:lineRule="auto"/>
    </w:pPr>
    <w:rPr>
      <w:szCs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8">
    <w:name w:val="index 1"/>
    <w:basedOn w:val="1"/>
    <w:next w:val="1"/>
    <w:semiHidden/>
    <w:qFormat/>
    <w:uiPriority w:val="0"/>
    <w:rPr>
      <w:szCs w:val="24"/>
    </w:rPr>
  </w:style>
  <w:style w:type="paragraph" w:styleId="39">
    <w:name w:val="Title"/>
    <w:basedOn w:val="1"/>
    <w:qFormat/>
    <w:uiPriority w:val="0"/>
    <w:pPr>
      <w:widowControl/>
      <w:spacing w:before="240" w:after="60"/>
      <w:jc w:val="center"/>
      <w:outlineLvl w:val="0"/>
    </w:pPr>
    <w:rPr>
      <w:rFonts w:ascii="Arial" w:hAnsi="Arial" w:cs="Arial"/>
      <w:b/>
      <w:bCs/>
      <w:kern w:val="0"/>
      <w:sz w:val="44"/>
      <w:szCs w:val="32"/>
    </w:rPr>
  </w:style>
  <w:style w:type="paragraph" w:styleId="40">
    <w:name w:val="annotation subject"/>
    <w:basedOn w:val="15"/>
    <w:next w:val="15"/>
    <w:semiHidden/>
    <w:qFormat/>
    <w:uiPriority w:val="0"/>
    <w:rPr>
      <w:b/>
      <w:bCs/>
    </w:rPr>
  </w:style>
  <w:style w:type="paragraph" w:styleId="41">
    <w:name w:val="Body Text First Indent"/>
    <w:basedOn w:val="16"/>
    <w:link w:val="151"/>
    <w:unhideWhenUsed/>
    <w:qFormat/>
    <w:uiPriority w:val="99"/>
    <w:pPr>
      <w:spacing w:after="120"/>
      <w:ind w:firstLine="420" w:firstLineChars="100"/>
    </w:pPr>
    <w:rPr>
      <w:sz w:val="21"/>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unhideWhenUsed/>
    <w:qFormat/>
    <w:uiPriority w:val="99"/>
    <w:rPr>
      <w:color w:val="800080"/>
      <w:u w:val="single"/>
    </w:rPr>
  </w:style>
  <w:style w:type="character" w:styleId="47">
    <w:name w:val="Hyperlink"/>
    <w:unhideWhenUsed/>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paragraph" w:customStyle="1" w:styleId="50">
    <w:name w:val="DAS正文"/>
    <w:basedOn w:val="1"/>
    <w:qFormat/>
    <w:uiPriority w:val="0"/>
    <w:pPr>
      <w:ind w:right="181" w:firstLine="480" w:firstLineChars="200"/>
    </w:pPr>
    <w:rPr>
      <w:rFonts w:ascii="Verdana" w:hAnsi="Verdana"/>
      <w:szCs w:val="24"/>
    </w:rPr>
  </w:style>
  <w:style w:type="paragraph" w:customStyle="1" w:styleId="51">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2">
    <w:name w:val="CM105"/>
    <w:basedOn w:val="53"/>
    <w:next w:val="53"/>
    <w:qFormat/>
    <w:uiPriority w:val="99"/>
    <w:rPr>
      <w:rFonts w:cs="Times New Roman"/>
      <w:color w:val="auto"/>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CM12"/>
    <w:basedOn w:val="53"/>
    <w:next w:val="53"/>
    <w:qFormat/>
    <w:uiPriority w:val="99"/>
    <w:pPr>
      <w:spacing w:line="313" w:lineRule="atLeast"/>
    </w:pPr>
    <w:rPr>
      <w:rFonts w:cs="Times New Roman"/>
      <w:color w:val="auto"/>
    </w:rPr>
  </w:style>
  <w:style w:type="paragraph" w:customStyle="1" w:styleId="56">
    <w:name w:val="CM19"/>
    <w:basedOn w:val="53"/>
    <w:next w:val="53"/>
    <w:qFormat/>
    <w:uiPriority w:val="99"/>
    <w:pPr>
      <w:spacing w:line="440" w:lineRule="atLeast"/>
    </w:pPr>
    <w:rPr>
      <w:rFonts w:cs="Times New Roman"/>
      <w:color w:val="auto"/>
    </w:rPr>
  </w:style>
  <w:style w:type="paragraph" w:customStyle="1" w:styleId="57">
    <w:name w:val="CM45"/>
    <w:basedOn w:val="53"/>
    <w:next w:val="53"/>
    <w:qFormat/>
    <w:uiPriority w:val="99"/>
    <w:rPr>
      <w:rFonts w:cs="Times New Roman"/>
      <w:color w:val="auto"/>
    </w:rPr>
  </w:style>
  <w:style w:type="paragraph" w:customStyle="1" w:styleId="58">
    <w:name w:val="CM110"/>
    <w:basedOn w:val="53"/>
    <w:next w:val="53"/>
    <w:qFormat/>
    <w:uiPriority w:val="99"/>
    <w:rPr>
      <w:rFonts w:cs="Times New Roman"/>
      <w:color w:val="auto"/>
    </w:rPr>
  </w:style>
  <w:style w:type="paragraph" w:customStyle="1" w:styleId="59">
    <w:name w:val="CM34"/>
    <w:basedOn w:val="53"/>
    <w:next w:val="53"/>
    <w:qFormat/>
    <w:uiPriority w:val="99"/>
    <w:rPr>
      <w:rFonts w:cs="Times New Roman"/>
      <w:color w:val="auto"/>
    </w:rPr>
  </w:style>
  <w:style w:type="paragraph" w:customStyle="1" w:styleId="60">
    <w:name w:val="CM10"/>
    <w:basedOn w:val="53"/>
    <w:next w:val="53"/>
    <w:qFormat/>
    <w:uiPriority w:val="99"/>
    <w:rPr>
      <w:rFonts w:cs="Times New Roman"/>
      <w:color w:val="auto"/>
    </w:rPr>
  </w:style>
  <w:style w:type="paragraph" w:customStyle="1" w:styleId="61">
    <w:name w:val="CM17"/>
    <w:basedOn w:val="53"/>
    <w:next w:val="53"/>
    <w:qFormat/>
    <w:uiPriority w:val="99"/>
    <w:pPr>
      <w:spacing w:line="440" w:lineRule="atLeast"/>
    </w:pPr>
    <w:rPr>
      <w:rFonts w:cs="Times New Roman"/>
      <w:color w:val="auto"/>
    </w:rPr>
  </w:style>
  <w:style w:type="paragraph" w:customStyle="1" w:styleId="62">
    <w:name w:val="CM43"/>
    <w:basedOn w:val="53"/>
    <w:next w:val="53"/>
    <w:uiPriority w:val="99"/>
    <w:pPr>
      <w:spacing w:line="440" w:lineRule="atLeast"/>
    </w:pPr>
    <w:rPr>
      <w:rFonts w:cs="Times New Roman"/>
      <w:color w:val="auto"/>
    </w:rPr>
  </w:style>
  <w:style w:type="paragraph" w:customStyle="1" w:styleId="63">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6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65">
    <w:name w:val="CM54"/>
    <w:basedOn w:val="53"/>
    <w:next w:val="53"/>
    <w:qFormat/>
    <w:uiPriority w:val="99"/>
    <w:rPr>
      <w:rFonts w:cs="Times New Roman"/>
      <w:color w:val="auto"/>
    </w:rPr>
  </w:style>
  <w:style w:type="paragraph" w:customStyle="1" w:styleId="66">
    <w:name w:val="CM35"/>
    <w:basedOn w:val="53"/>
    <w:next w:val="53"/>
    <w:qFormat/>
    <w:uiPriority w:val="99"/>
    <w:pPr>
      <w:spacing w:line="400" w:lineRule="atLeast"/>
    </w:pPr>
    <w:rPr>
      <w:rFonts w:cs="Times New Roman"/>
      <w:color w:val="auto"/>
    </w:rPr>
  </w:style>
  <w:style w:type="paragraph" w:customStyle="1" w:styleId="67">
    <w:name w:val="CM84"/>
    <w:basedOn w:val="53"/>
    <w:next w:val="53"/>
    <w:qFormat/>
    <w:uiPriority w:val="99"/>
    <w:pPr>
      <w:spacing w:line="400" w:lineRule="atLeast"/>
    </w:pPr>
    <w:rPr>
      <w:rFonts w:cs="Times New Roman"/>
      <w:color w:val="auto"/>
    </w:rPr>
  </w:style>
  <w:style w:type="paragraph" w:customStyle="1" w:styleId="68">
    <w:name w:val="正文文本 (2)"/>
    <w:basedOn w:val="1"/>
    <w:link w:val="169"/>
    <w:qFormat/>
    <w:uiPriority w:val="0"/>
    <w:pPr>
      <w:shd w:val="clear" w:color="auto" w:fill="FFFFFF"/>
      <w:spacing w:before="300" w:line="439" w:lineRule="exact"/>
      <w:jc w:val="distribute"/>
    </w:pPr>
    <w:rPr>
      <w:rFonts w:ascii="宋体" w:hAnsi="宋体"/>
      <w:kern w:val="0"/>
      <w:sz w:val="22"/>
    </w:rPr>
  </w:style>
  <w:style w:type="paragraph" w:customStyle="1" w:styleId="69">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70">
    <w:name w:val="CM70"/>
    <w:basedOn w:val="53"/>
    <w:next w:val="53"/>
    <w:qFormat/>
    <w:uiPriority w:val="99"/>
    <w:pPr>
      <w:spacing w:line="400" w:lineRule="atLeast"/>
    </w:pPr>
    <w:rPr>
      <w:rFonts w:cs="Times New Roman"/>
      <w:color w:val="auto"/>
    </w:rPr>
  </w:style>
  <w:style w:type="paragraph" w:customStyle="1" w:styleId="71">
    <w:name w:val="CM52"/>
    <w:basedOn w:val="53"/>
    <w:next w:val="53"/>
    <w:qFormat/>
    <w:uiPriority w:val="99"/>
    <w:pPr>
      <w:spacing w:line="400" w:lineRule="atLeast"/>
    </w:pPr>
    <w:rPr>
      <w:rFonts w:cs="Times New Roman"/>
      <w:color w:val="auto"/>
    </w:rPr>
  </w:style>
  <w:style w:type="paragraph" w:customStyle="1" w:styleId="72">
    <w:name w:val="CM104"/>
    <w:basedOn w:val="53"/>
    <w:next w:val="53"/>
    <w:qFormat/>
    <w:uiPriority w:val="99"/>
    <w:rPr>
      <w:rFonts w:cs="Times New Roman"/>
      <w:color w:val="auto"/>
    </w:rPr>
  </w:style>
  <w:style w:type="paragraph" w:customStyle="1" w:styleId="73">
    <w:name w:val="CM57"/>
    <w:basedOn w:val="53"/>
    <w:next w:val="53"/>
    <w:qFormat/>
    <w:uiPriority w:val="99"/>
    <w:pPr>
      <w:spacing w:line="400" w:lineRule="atLeast"/>
    </w:pPr>
    <w:rPr>
      <w:rFonts w:cs="Times New Roman"/>
      <w:color w:val="auto"/>
    </w:rPr>
  </w:style>
  <w:style w:type="paragraph" w:customStyle="1" w:styleId="74">
    <w:name w:val="CM6"/>
    <w:basedOn w:val="53"/>
    <w:next w:val="53"/>
    <w:qFormat/>
    <w:uiPriority w:val="99"/>
    <w:pPr>
      <w:spacing w:line="318" w:lineRule="atLeast"/>
    </w:pPr>
    <w:rPr>
      <w:rFonts w:cs="Times New Roman"/>
      <w:color w:val="auto"/>
    </w:rPr>
  </w:style>
  <w:style w:type="paragraph" w:customStyle="1" w:styleId="75">
    <w:name w:val="Char Char"/>
    <w:basedOn w:val="1"/>
    <w:qFormat/>
    <w:uiPriority w:val="0"/>
    <w:rPr>
      <w:rFonts w:ascii="Tahoma" w:hAnsi="Tahoma"/>
      <w:sz w:val="24"/>
      <w:szCs w:val="20"/>
    </w:rPr>
  </w:style>
  <w:style w:type="paragraph" w:customStyle="1" w:styleId="76">
    <w:name w:val="CM55"/>
    <w:basedOn w:val="53"/>
    <w:next w:val="53"/>
    <w:qFormat/>
    <w:uiPriority w:val="0"/>
    <w:pPr>
      <w:spacing w:line="400" w:lineRule="atLeast"/>
    </w:pPr>
    <w:rPr>
      <w:rFonts w:cs="Times New Roman"/>
      <w:color w:val="auto"/>
    </w:rPr>
  </w:style>
  <w:style w:type="paragraph" w:customStyle="1" w:styleId="77">
    <w:name w:val="CM97"/>
    <w:basedOn w:val="53"/>
    <w:next w:val="53"/>
    <w:qFormat/>
    <w:uiPriority w:val="99"/>
    <w:rPr>
      <w:rFonts w:cs="Times New Roman"/>
      <w:color w:val="auto"/>
    </w:rPr>
  </w:style>
  <w:style w:type="paragraph" w:customStyle="1" w:styleId="78">
    <w:name w:val="CM40"/>
    <w:basedOn w:val="53"/>
    <w:next w:val="53"/>
    <w:qFormat/>
    <w:uiPriority w:val="99"/>
    <w:pPr>
      <w:spacing w:line="400" w:lineRule="atLeast"/>
    </w:pPr>
    <w:rPr>
      <w:rFonts w:cs="Times New Roman"/>
      <w:color w:val="auto"/>
    </w:rPr>
  </w:style>
  <w:style w:type="paragraph" w:customStyle="1" w:styleId="79">
    <w:name w:val="CM87"/>
    <w:basedOn w:val="53"/>
    <w:next w:val="53"/>
    <w:qFormat/>
    <w:uiPriority w:val="99"/>
    <w:pPr>
      <w:spacing w:line="440" w:lineRule="atLeast"/>
    </w:pPr>
    <w:rPr>
      <w:rFonts w:cs="Times New Roman"/>
      <w:color w:val="auto"/>
    </w:rPr>
  </w:style>
  <w:style w:type="paragraph" w:customStyle="1" w:styleId="80">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81">
    <w:name w:val="Char Char Char Char Char Char Char"/>
    <w:basedOn w:val="13"/>
    <w:qFormat/>
    <w:uiPriority w:val="0"/>
    <w:rPr>
      <w:rFonts w:ascii="Tahoma" w:hAnsi="Tahoma"/>
      <w:sz w:val="24"/>
    </w:rPr>
  </w:style>
  <w:style w:type="paragraph" w:customStyle="1" w:styleId="82">
    <w:name w:val="CM98"/>
    <w:basedOn w:val="53"/>
    <w:next w:val="53"/>
    <w:qFormat/>
    <w:uiPriority w:val="99"/>
    <w:rPr>
      <w:rFonts w:cs="Times New Roman"/>
      <w:color w:val="auto"/>
    </w:rPr>
  </w:style>
  <w:style w:type="paragraph" w:customStyle="1" w:styleId="83">
    <w:name w:val="CM22"/>
    <w:basedOn w:val="53"/>
    <w:next w:val="53"/>
    <w:qFormat/>
    <w:uiPriority w:val="99"/>
    <w:rPr>
      <w:rFonts w:cs="Times New Roman"/>
      <w:color w:val="auto"/>
    </w:rPr>
  </w:style>
  <w:style w:type="paragraph" w:customStyle="1" w:styleId="84">
    <w:name w:val="CM107"/>
    <w:basedOn w:val="53"/>
    <w:next w:val="53"/>
    <w:qFormat/>
    <w:uiPriority w:val="99"/>
    <w:rPr>
      <w:rFonts w:cs="Times New Roman"/>
      <w:color w:val="auto"/>
    </w:rPr>
  </w:style>
  <w:style w:type="paragraph" w:customStyle="1" w:styleId="85">
    <w:name w:val="CM26"/>
    <w:basedOn w:val="53"/>
    <w:next w:val="53"/>
    <w:qFormat/>
    <w:uiPriority w:val="99"/>
    <w:pPr>
      <w:spacing w:line="400" w:lineRule="atLeast"/>
    </w:pPr>
    <w:rPr>
      <w:rFonts w:cs="Times New Roman"/>
      <w:color w:val="auto"/>
    </w:rPr>
  </w:style>
  <w:style w:type="paragraph" w:customStyle="1" w:styleId="86">
    <w:name w:val="Char"/>
    <w:basedOn w:val="1"/>
    <w:qFormat/>
    <w:uiPriority w:val="0"/>
    <w:pPr>
      <w:spacing w:line="360" w:lineRule="auto"/>
      <w:ind w:firstLine="200" w:firstLineChars="200"/>
    </w:pPr>
    <w:rPr>
      <w:rFonts w:ascii="宋体" w:hAnsi="宋体" w:cs="宋体"/>
      <w:sz w:val="24"/>
      <w:szCs w:val="24"/>
    </w:rPr>
  </w:style>
  <w:style w:type="paragraph" w:customStyle="1" w:styleId="87">
    <w:name w:val="CM2"/>
    <w:basedOn w:val="53"/>
    <w:next w:val="53"/>
    <w:qFormat/>
    <w:uiPriority w:val="99"/>
    <w:pPr>
      <w:spacing w:line="500" w:lineRule="atLeast"/>
    </w:pPr>
    <w:rPr>
      <w:rFonts w:cs="Times New Roman"/>
      <w:color w:val="auto"/>
    </w:rPr>
  </w:style>
  <w:style w:type="paragraph" w:customStyle="1" w:styleId="88">
    <w:name w:val="CM88"/>
    <w:basedOn w:val="53"/>
    <w:next w:val="53"/>
    <w:qFormat/>
    <w:uiPriority w:val="99"/>
    <w:pPr>
      <w:spacing w:line="440" w:lineRule="atLeast"/>
    </w:pPr>
    <w:rPr>
      <w:rFonts w:cs="Times New Roman"/>
      <w:color w:val="auto"/>
    </w:rPr>
  </w:style>
  <w:style w:type="paragraph" w:customStyle="1" w:styleId="89">
    <w:name w:val="CM24"/>
    <w:basedOn w:val="53"/>
    <w:next w:val="53"/>
    <w:qFormat/>
    <w:uiPriority w:val="99"/>
    <w:pPr>
      <w:spacing w:line="400" w:lineRule="atLeast"/>
    </w:pPr>
    <w:rPr>
      <w:rFonts w:cs="Times New Roman"/>
      <w:color w:val="auto"/>
    </w:rPr>
  </w:style>
  <w:style w:type="paragraph" w:customStyle="1" w:styleId="90">
    <w:name w:val="CM60"/>
    <w:basedOn w:val="53"/>
    <w:next w:val="53"/>
    <w:qFormat/>
    <w:uiPriority w:val="99"/>
    <w:pPr>
      <w:spacing w:line="400" w:lineRule="atLeast"/>
    </w:pPr>
    <w:rPr>
      <w:rFonts w:cs="Times New Roman"/>
      <w:color w:val="auto"/>
    </w:rPr>
  </w:style>
  <w:style w:type="paragraph" w:customStyle="1" w:styleId="91">
    <w:name w:val="正文文本 (7)"/>
    <w:basedOn w:val="1"/>
    <w:link w:val="150"/>
    <w:qFormat/>
    <w:uiPriority w:val="0"/>
    <w:pPr>
      <w:shd w:val="clear" w:color="auto" w:fill="FFFFFF"/>
      <w:spacing w:before="120" w:after="300" w:line="0" w:lineRule="atLeast"/>
      <w:jc w:val="center"/>
    </w:pPr>
    <w:rPr>
      <w:rFonts w:ascii="宋体" w:hAnsi="宋体"/>
      <w:spacing w:val="10"/>
      <w:kern w:val="0"/>
      <w:sz w:val="22"/>
    </w:rPr>
  </w:style>
  <w:style w:type="paragraph" w:customStyle="1" w:styleId="92">
    <w:name w:val="CM99"/>
    <w:basedOn w:val="53"/>
    <w:next w:val="53"/>
    <w:qFormat/>
    <w:uiPriority w:val="99"/>
    <w:rPr>
      <w:rFonts w:cs="Times New Roman"/>
      <w:color w:val="auto"/>
    </w:rPr>
  </w:style>
  <w:style w:type="paragraph" w:customStyle="1" w:styleId="93">
    <w:name w:val="CM7"/>
    <w:basedOn w:val="53"/>
    <w:next w:val="53"/>
    <w:qFormat/>
    <w:uiPriority w:val="99"/>
    <w:pPr>
      <w:spacing w:line="318" w:lineRule="atLeast"/>
    </w:pPr>
    <w:rPr>
      <w:rFonts w:cs="Times New Roman"/>
      <w:color w:val="auto"/>
    </w:rPr>
  </w:style>
  <w:style w:type="paragraph" w:customStyle="1" w:styleId="94">
    <w:name w:val="List Paragraph1"/>
    <w:basedOn w:val="1"/>
    <w:qFormat/>
    <w:uiPriority w:val="1"/>
    <w:pPr>
      <w:ind w:firstLine="420" w:firstLineChars="200"/>
    </w:pPr>
  </w:style>
  <w:style w:type="paragraph" w:customStyle="1" w:styleId="95">
    <w:name w:val="CM28"/>
    <w:basedOn w:val="53"/>
    <w:next w:val="53"/>
    <w:qFormat/>
    <w:uiPriority w:val="99"/>
    <w:pPr>
      <w:spacing w:line="398" w:lineRule="atLeast"/>
    </w:pPr>
    <w:rPr>
      <w:rFonts w:cs="Times New Roman"/>
      <w:color w:val="auto"/>
    </w:rPr>
  </w:style>
  <w:style w:type="paragraph" w:customStyle="1" w:styleId="96">
    <w:name w:val="CM94"/>
    <w:basedOn w:val="53"/>
    <w:next w:val="53"/>
    <w:qFormat/>
    <w:uiPriority w:val="99"/>
    <w:pPr>
      <w:spacing w:line="440" w:lineRule="atLeast"/>
    </w:pPr>
    <w:rPr>
      <w:rFonts w:cs="Times New Roman"/>
      <w:color w:val="auto"/>
    </w:rPr>
  </w:style>
  <w:style w:type="paragraph" w:customStyle="1" w:styleId="97">
    <w:name w:val="CM102"/>
    <w:basedOn w:val="53"/>
    <w:next w:val="53"/>
    <w:qFormat/>
    <w:uiPriority w:val="99"/>
    <w:rPr>
      <w:rFonts w:cs="Times New Roman"/>
      <w:color w:val="auto"/>
    </w:rPr>
  </w:style>
  <w:style w:type="paragraph" w:customStyle="1" w:styleId="98">
    <w:name w:val="CM11"/>
    <w:basedOn w:val="53"/>
    <w:next w:val="53"/>
    <w:qFormat/>
    <w:uiPriority w:val="99"/>
    <w:pPr>
      <w:spacing w:line="313" w:lineRule="atLeast"/>
    </w:pPr>
    <w:rPr>
      <w:rFonts w:cs="Times New Roman"/>
      <w:color w:val="auto"/>
    </w:rPr>
  </w:style>
  <w:style w:type="paragraph" w:customStyle="1" w:styleId="99">
    <w:name w:val="MSG_EN_FONT_STYLE_NAME_TEMPLATE_ROLE_NUMBER MSG_EN_FONT_STYLE_NAME_BY_ROLE_TEXT 131"/>
    <w:basedOn w:val="1"/>
    <w:link w:val="158"/>
    <w:qFormat/>
    <w:uiPriority w:val="0"/>
    <w:pPr>
      <w:shd w:val="clear" w:color="auto" w:fill="FFFFFF"/>
      <w:spacing w:before="340" w:after="160" w:line="398" w:lineRule="exact"/>
      <w:jc w:val="distribute"/>
    </w:pPr>
    <w:rPr>
      <w:rFonts w:ascii="PMingLiU" w:hAnsi="PMingLiU" w:eastAsia="PMingLiU"/>
      <w:kern w:val="0"/>
      <w:sz w:val="20"/>
      <w:szCs w:val="20"/>
    </w:rPr>
  </w:style>
  <w:style w:type="paragraph" w:customStyle="1" w:styleId="100">
    <w:name w:val="CM108"/>
    <w:basedOn w:val="53"/>
    <w:next w:val="53"/>
    <w:qFormat/>
    <w:uiPriority w:val="99"/>
    <w:rPr>
      <w:rFonts w:cs="Times New Roman"/>
      <w:color w:val="auto"/>
    </w:rPr>
  </w:style>
  <w:style w:type="paragraph" w:customStyle="1" w:styleId="101">
    <w:name w:val="CM1"/>
    <w:basedOn w:val="53"/>
    <w:next w:val="53"/>
    <w:qFormat/>
    <w:uiPriority w:val="99"/>
    <w:rPr>
      <w:rFonts w:cs="Times New Roman"/>
      <w:color w:val="auto"/>
    </w:rPr>
  </w:style>
  <w:style w:type="paragraph" w:customStyle="1" w:styleId="102">
    <w:name w:val="CM48"/>
    <w:basedOn w:val="53"/>
    <w:next w:val="53"/>
    <w:qFormat/>
    <w:uiPriority w:val="99"/>
    <w:pPr>
      <w:spacing w:line="440" w:lineRule="atLeast"/>
    </w:pPr>
    <w:rPr>
      <w:rFonts w:cs="Times New Roman"/>
      <w:color w:val="auto"/>
    </w:rPr>
  </w:style>
  <w:style w:type="paragraph" w:customStyle="1" w:styleId="103">
    <w:name w:val="Char Char7 Char Char Char Char Char Char"/>
    <w:basedOn w:val="1"/>
    <w:qFormat/>
    <w:uiPriority w:val="0"/>
    <w:pPr>
      <w:adjustRightInd w:val="0"/>
      <w:spacing w:line="312" w:lineRule="atLeast"/>
      <w:textAlignment w:val="baseline"/>
    </w:pPr>
    <w:rPr>
      <w:b/>
      <w:bCs/>
      <w:kern w:val="0"/>
      <w:sz w:val="36"/>
      <w:szCs w:val="36"/>
    </w:rPr>
  </w:style>
  <w:style w:type="paragraph" w:customStyle="1" w:styleId="104">
    <w:name w:val="CM47"/>
    <w:basedOn w:val="53"/>
    <w:next w:val="53"/>
    <w:qFormat/>
    <w:uiPriority w:val="99"/>
    <w:pPr>
      <w:spacing w:line="540" w:lineRule="atLeast"/>
    </w:pPr>
    <w:rPr>
      <w:rFonts w:cs="Times New Roman"/>
      <w:color w:val="auto"/>
    </w:rPr>
  </w:style>
  <w:style w:type="paragraph" w:customStyle="1" w:styleId="105">
    <w:name w:val="CM112"/>
    <w:basedOn w:val="53"/>
    <w:next w:val="53"/>
    <w:qFormat/>
    <w:uiPriority w:val="99"/>
    <w:rPr>
      <w:rFonts w:cs="Times New Roman"/>
      <w:color w:val="auto"/>
    </w:rPr>
  </w:style>
  <w:style w:type="paragraph" w:customStyle="1" w:styleId="106">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CM71"/>
    <w:basedOn w:val="53"/>
    <w:next w:val="53"/>
    <w:uiPriority w:val="99"/>
    <w:rPr>
      <w:rFonts w:cs="Times New Roman"/>
      <w:color w:val="auto"/>
    </w:rPr>
  </w:style>
  <w:style w:type="paragraph" w:customStyle="1" w:styleId="108">
    <w:name w:val="CM101"/>
    <w:basedOn w:val="53"/>
    <w:next w:val="53"/>
    <w:qFormat/>
    <w:uiPriority w:val="99"/>
    <w:rPr>
      <w:rFonts w:cs="Times New Roman"/>
      <w:color w:val="auto"/>
    </w:rPr>
  </w:style>
  <w:style w:type="paragraph" w:customStyle="1" w:styleId="109">
    <w:name w:val="CM18"/>
    <w:basedOn w:val="53"/>
    <w:next w:val="53"/>
    <w:uiPriority w:val="99"/>
    <w:pPr>
      <w:spacing w:line="440" w:lineRule="atLeast"/>
    </w:pPr>
    <w:rPr>
      <w:rFonts w:cs="Times New Roman"/>
      <w:color w:val="auto"/>
    </w:rPr>
  </w:style>
  <w:style w:type="paragraph" w:customStyle="1" w:styleId="110">
    <w:name w:val="CM3"/>
    <w:basedOn w:val="53"/>
    <w:next w:val="53"/>
    <w:qFormat/>
    <w:uiPriority w:val="99"/>
    <w:pPr>
      <w:spacing w:line="500" w:lineRule="atLeast"/>
    </w:pPr>
    <w:rPr>
      <w:rFonts w:cs="Times New Roman"/>
      <w:color w:val="auto"/>
    </w:rPr>
  </w:style>
  <w:style w:type="paragraph" w:customStyle="1" w:styleId="111">
    <w:name w:val="CM74"/>
    <w:basedOn w:val="53"/>
    <w:next w:val="53"/>
    <w:uiPriority w:val="99"/>
    <w:pPr>
      <w:spacing w:line="400" w:lineRule="atLeast"/>
    </w:pPr>
    <w:rPr>
      <w:rFonts w:cs="Times New Roman"/>
      <w:color w:val="auto"/>
    </w:rPr>
  </w:style>
  <w:style w:type="paragraph" w:customStyle="1" w:styleId="112">
    <w:name w:val="Table Paragraph"/>
    <w:basedOn w:val="1"/>
    <w:qFormat/>
    <w:uiPriority w:val="1"/>
    <w:pPr>
      <w:jc w:val="left"/>
    </w:pPr>
    <w:rPr>
      <w:rFonts w:ascii="Calibri" w:hAnsi="Calibri"/>
      <w:kern w:val="0"/>
      <w:sz w:val="22"/>
      <w:lang w:eastAsia="en-US"/>
    </w:rPr>
  </w:style>
  <w:style w:type="paragraph" w:customStyle="1" w:styleId="113">
    <w:name w:val="样式3"/>
    <w:basedOn w:val="1"/>
    <w:qFormat/>
    <w:uiPriority w:val="0"/>
    <w:pPr>
      <w:keepNext/>
      <w:keepLines/>
      <w:spacing w:line="400" w:lineRule="exact"/>
      <w:outlineLvl w:val="0"/>
    </w:pPr>
    <w:rPr>
      <w:b/>
      <w:bCs/>
      <w:kern w:val="44"/>
      <w:sz w:val="28"/>
      <w:szCs w:val="44"/>
    </w:rPr>
  </w:style>
  <w:style w:type="paragraph" w:customStyle="1" w:styleId="114">
    <w:name w:val="CM78"/>
    <w:basedOn w:val="53"/>
    <w:next w:val="53"/>
    <w:qFormat/>
    <w:uiPriority w:val="99"/>
    <w:rPr>
      <w:rFonts w:cs="Times New Roman"/>
      <w:color w:val="auto"/>
    </w:rPr>
  </w:style>
  <w:style w:type="paragraph" w:customStyle="1" w:styleId="115">
    <w:name w:val="CM100"/>
    <w:basedOn w:val="53"/>
    <w:next w:val="53"/>
    <w:qFormat/>
    <w:uiPriority w:val="99"/>
    <w:rPr>
      <w:rFonts w:cs="Times New Roman"/>
      <w:color w:val="auto"/>
    </w:rPr>
  </w:style>
  <w:style w:type="paragraph" w:customStyle="1" w:styleId="116">
    <w:name w:val="列出段落11"/>
    <w:basedOn w:val="1"/>
    <w:qFormat/>
    <w:uiPriority w:val="34"/>
    <w:pPr>
      <w:ind w:firstLine="420" w:firstLineChars="200"/>
    </w:pPr>
    <w:rPr>
      <w:rFonts w:ascii="等线" w:hAnsi="等线" w:eastAsia="等线"/>
    </w:rPr>
  </w:style>
  <w:style w:type="paragraph" w:customStyle="1" w:styleId="117">
    <w:name w:val="CM49"/>
    <w:basedOn w:val="53"/>
    <w:next w:val="53"/>
    <w:uiPriority w:val="99"/>
    <w:pPr>
      <w:spacing w:line="1020" w:lineRule="atLeast"/>
    </w:pPr>
    <w:rPr>
      <w:rFonts w:cs="Times New Roman"/>
      <w:color w:val="auto"/>
    </w:rPr>
  </w:style>
  <w:style w:type="paragraph" w:customStyle="1" w:styleId="118">
    <w:name w:val="CM9"/>
    <w:basedOn w:val="53"/>
    <w:next w:val="53"/>
    <w:qFormat/>
    <w:uiPriority w:val="99"/>
    <w:rPr>
      <w:rFonts w:cs="Times New Roman"/>
      <w:color w:val="auto"/>
    </w:rPr>
  </w:style>
  <w:style w:type="paragraph" w:customStyle="1" w:styleId="119">
    <w:name w:val="CM5"/>
    <w:basedOn w:val="53"/>
    <w:next w:val="53"/>
    <w:qFormat/>
    <w:uiPriority w:val="99"/>
    <w:rPr>
      <w:rFonts w:cs="Times New Roman"/>
      <w:color w:val="auto"/>
    </w:rPr>
  </w:style>
  <w:style w:type="paragraph" w:customStyle="1" w:styleId="120">
    <w:name w:val="CM25"/>
    <w:basedOn w:val="53"/>
    <w:next w:val="53"/>
    <w:qFormat/>
    <w:uiPriority w:val="99"/>
    <w:pPr>
      <w:spacing w:line="400" w:lineRule="atLeast"/>
    </w:pPr>
    <w:rPr>
      <w:rFonts w:cs="Times New Roman"/>
      <w:color w:val="auto"/>
    </w:rPr>
  </w:style>
  <w:style w:type="paragraph" w:customStyle="1" w:styleId="121">
    <w:name w:val="CM96"/>
    <w:basedOn w:val="53"/>
    <w:next w:val="53"/>
    <w:qFormat/>
    <w:uiPriority w:val="99"/>
    <w:rPr>
      <w:rFonts w:cs="Times New Roman"/>
      <w:color w:val="auto"/>
    </w:rPr>
  </w:style>
  <w:style w:type="paragraph" w:customStyle="1" w:styleId="122">
    <w:name w:val="CM20"/>
    <w:basedOn w:val="53"/>
    <w:next w:val="53"/>
    <w:qFormat/>
    <w:uiPriority w:val="99"/>
    <w:pPr>
      <w:spacing w:line="400" w:lineRule="atLeast"/>
    </w:pPr>
    <w:rPr>
      <w:rFonts w:cs="Times New Roman"/>
      <w:color w:val="auto"/>
    </w:rPr>
  </w:style>
  <w:style w:type="paragraph" w:customStyle="1" w:styleId="123">
    <w:name w:val="CM95"/>
    <w:basedOn w:val="53"/>
    <w:next w:val="53"/>
    <w:qFormat/>
    <w:uiPriority w:val="99"/>
    <w:pPr>
      <w:spacing w:line="440" w:lineRule="atLeast"/>
    </w:pPr>
    <w:rPr>
      <w:rFonts w:cs="Times New Roman"/>
      <w:color w:val="auto"/>
    </w:rPr>
  </w:style>
  <w:style w:type="paragraph" w:customStyle="1" w:styleId="124">
    <w:name w:val="CM44"/>
    <w:basedOn w:val="53"/>
    <w:next w:val="53"/>
    <w:qFormat/>
    <w:uiPriority w:val="99"/>
    <w:rPr>
      <w:rFonts w:cs="Times New Roman"/>
      <w:color w:val="auto"/>
    </w:rPr>
  </w:style>
  <w:style w:type="paragraph" w:customStyle="1" w:styleId="125">
    <w:name w:val="CM114"/>
    <w:basedOn w:val="53"/>
    <w:next w:val="53"/>
    <w:qFormat/>
    <w:uiPriority w:val="99"/>
    <w:rPr>
      <w:rFonts w:cs="Times New Roman"/>
      <w:color w:val="auto"/>
    </w:rPr>
  </w:style>
  <w:style w:type="paragraph" w:customStyle="1" w:styleId="126">
    <w:name w:val="CM90"/>
    <w:basedOn w:val="53"/>
    <w:next w:val="53"/>
    <w:qFormat/>
    <w:uiPriority w:val="99"/>
    <w:pPr>
      <w:spacing w:line="440" w:lineRule="atLeast"/>
    </w:pPr>
    <w:rPr>
      <w:rFonts w:cs="Times New Roman"/>
      <w:color w:val="auto"/>
    </w:rPr>
  </w:style>
  <w:style w:type="paragraph" w:customStyle="1" w:styleId="127">
    <w:name w:val="CM115"/>
    <w:basedOn w:val="53"/>
    <w:next w:val="53"/>
    <w:qFormat/>
    <w:uiPriority w:val="99"/>
    <w:rPr>
      <w:rFonts w:cs="Times New Roman"/>
      <w:color w:val="auto"/>
    </w:rPr>
  </w:style>
  <w:style w:type="paragraph" w:customStyle="1" w:styleId="128">
    <w:name w:val="CM32"/>
    <w:basedOn w:val="53"/>
    <w:next w:val="53"/>
    <w:qFormat/>
    <w:uiPriority w:val="99"/>
    <w:pPr>
      <w:spacing w:line="400" w:lineRule="atLeast"/>
    </w:pPr>
    <w:rPr>
      <w:rFonts w:cs="Times New Roman"/>
      <w:color w:val="auto"/>
    </w:rPr>
  </w:style>
  <w:style w:type="paragraph" w:customStyle="1" w:styleId="129">
    <w:name w:val="CM13"/>
    <w:basedOn w:val="53"/>
    <w:next w:val="53"/>
    <w:qFormat/>
    <w:uiPriority w:val="99"/>
    <w:rPr>
      <w:rFonts w:cs="Times New Roman"/>
      <w:color w:val="auto"/>
    </w:rPr>
  </w:style>
  <w:style w:type="paragraph" w:customStyle="1" w:styleId="130">
    <w:name w:val="CM29"/>
    <w:basedOn w:val="53"/>
    <w:next w:val="53"/>
    <w:qFormat/>
    <w:uiPriority w:val="99"/>
    <w:pPr>
      <w:spacing w:line="400" w:lineRule="atLeast"/>
    </w:pPr>
    <w:rPr>
      <w:rFonts w:cs="Times New Roman"/>
      <w:color w:val="auto"/>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2">
    <w:name w:val="p0"/>
    <w:basedOn w:val="1"/>
    <w:qFormat/>
    <w:uiPriority w:val="99"/>
    <w:pPr>
      <w:widowControl/>
    </w:pPr>
    <w:rPr>
      <w:kern w:val="0"/>
      <w:szCs w:val="21"/>
    </w:rPr>
  </w:style>
  <w:style w:type="paragraph" w:customStyle="1" w:styleId="133">
    <w:name w:val="Char Char Char Char Char Char Char1"/>
    <w:basedOn w:val="13"/>
    <w:uiPriority w:val="0"/>
    <w:rPr>
      <w:rFonts w:ascii="Tahoma" w:hAnsi="Tahoma"/>
      <w:sz w:val="24"/>
    </w:rPr>
  </w:style>
  <w:style w:type="paragraph" w:customStyle="1" w:styleId="134">
    <w:name w:val="CM103"/>
    <w:basedOn w:val="53"/>
    <w:next w:val="53"/>
    <w:qFormat/>
    <w:uiPriority w:val="99"/>
    <w:rPr>
      <w:rFonts w:cs="Times New Roman"/>
      <w:color w:val="auto"/>
    </w:rPr>
  </w:style>
  <w:style w:type="paragraph" w:customStyle="1" w:styleId="135">
    <w:name w:val="CM41"/>
    <w:basedOn w:val="53"/>
    <w:next w:val="53"/>
    <w:qFormat/>
    <w:uiPriority w:val="99"/>
    <w:pPr>
      <w:spacing w:line="400" w:lineRule="atLeast"/>
    </w:pPr>
    <w:rPr>
      <w:rFonts w:cs="Times New Roman"/>
      <w:color w:val="auto"/>
    </w:rPr>
  </w:style>
  <w:style w:type="paragraph" w:customStyle="1" w:styleId="136">
    <w:name w:val="样式 标题 3 + (中文) 黑体 小四 非加粗 段前: 7.8 磅 段后: 0 磅 行距: 固定值 20 磅"/>
    <w:basedOn w:val="5"/>
    <w:uiPriority w:val="0"/>
    <w:pPr>
      <w:spacing w:before="0" w:after="0" w:line="400" w:lineRule="exact"/>
    </w:pPr>
    <w:rPr>
      <w:rFonts w:eastAsia="黑体" w:cs="宋体"/>
      <w:b w:val="0"/>
      <w:bCs w:val="0"/>
      <w:sz w:val="24"/>
      <w:szCs w:val="20"/>
    </w:rPr>
  </w:style>
  <w:style w:type="paragraph" w:customStyle="1" w:styleId="137">
    <w:name w:val="CM62"/>
    <w:basedOn w:val="53"/>
    <w:next w:val="53"/>
    <w:qFormat/>
    <w:uiPriority w:val="99"/>
    <w:rPr>
      <w:rFonts w:cs="Times New Roman"/>
      <w:color w:val="auto"/>
    </w:rPr>
  </w:style>
  <w:style w:type="paragraph" w:customStyle="1" w:styleId="138">
    <w:name w:val="CM4"/>
    <w:basedOn w:val="53"/>
    <w:next w:val="53"/>
    <w:qFormat/>
    <w:uiPriority w:val="99"/>
    <w:rPr>
      <w:rFonts w:cs="Times New Roman"/>
      <w:color w:val="auto"/>
    </w:rPr>
  </w:style>
  <w:style w:type="paragraph" w:customStyle="1" w:styleId="139">
    <w:name w:val="CM83"/>
    <w:basedOn w:val="53"/>
    <w:next w:val="53"/>
    <w:qFormat/>
    <w:uiPriority w:val="99"/>
    <w:pPr>
      <w:spacing w:line="400" w:lineRule="atLeast"/>
    </w:pPr>
    <w:rPr>
      <w:rFonts w:cs="Times New Roman"/>
      <w:color w:val="auto"/>
    </w:rPr>
  </w:style>
  <w:style w:type="paragraph" w:customStyle="1" w:styleId="140">
    <w:name w:val="CM64"/>
    <w:basedOn w:val="53"/>
    <w:next w:val="53"/>
    <w:uiPriority w:val="99"/>
    <w:pPr>
      <w:spacing w:line="398" w:lineRule="atLeast"/>
    </w:pPr>
    <w:rPr>
      <w:rFonts w:cs="Times New Roman"/>
      <w:color w:val="auto"/>
    </w:rPr>
  </w:style>
  <w:style w:type="paragraph" w:customStyle="1" w:styleId="141">
    <w:name w:val="CM109"/>
    <w:basedOn w:val="53"/>
    <w:next w:val="53"/>
    <w:qFormat/>
    <w:uiPriority w:val="99"/>
    <w:rPr>
      <w:rFonts w:cs="Times New Roman"/>
      <w:color w:val="auto"/>
    </w:rPr>
  </w:style>
  <w:style w:type="paragraph" w:customStyle="1" w:styleId="142">
    <w:name w:val="CM8"/>
    <w:basedOn w:val="53"/>
    <w:next w:val="53"/>
    <w:uiPriority w:val="99"/>
    <w:pPr>
      <w:spacing w:line="318" w:lineRule="atLeast"/>
    </w:pPr>
    <w:rPr>
      <w:rFonts w:cs="Times New Roman"/>
      <w:color w:val="auto"/>
    </w:rPr>
  </w:style>
  <w:style w:type="paragraph" w:customStyle="1" w:styleId="143">
    <w:name w:val="1 Char"/>
    <w:basedOn w:val="1"/>
    <w:qFormat/>
    <w:uiPriority w:val="0"/>
    <w:pPr>
      <w:spacing w:line="360" w:lineRule="auto"/>
      <w:ind w:firstLine="200" w:firstLineChars="200"/>
    </w:pPr>
    <w:rPr>
      <w:rFonts w:ascii="宋体" w:hAnsi="宋体" w:cs="宋体"/>
      <w:sz w:val="24"/>
      <w:szCs w:val="24"/>
    </w:rPr>
  </w:style>
  <w:style w:type="paragraph" w:customStyle="1" w:styleId="144">
    <w:name w:val="CM46"/>
    <w:basedOn w:val="53"/>
    <w:next w:val="53"/>
    <w:qFormat/>
    <w:uiPriority w:val="99"/>
    <w:pPr>
      <w:spacing w:line="440" w:lineRule="atLeast"/>
    </w:pPr>
    <w:rPr>
      <w:rFonts w:cs="Times New Roman"/>
      <w:color w:val="auto"/>
    </w:rPr>
  </w:style>
  <w:style w:type="paragraph" w:customStyle="1" w:styleId="145">
    <w:name w:val="其他"/>
    <w:basedOn w:val="1"/>
    <w:link w:val="18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46">
    <w:name w:val="CM92"/>
    <w:basedOn w:val="53"/>
    <w:next w:val="53"/>
    <w:qFormat/>
    <w:uiPriority w:val="99"/>
    <w:pPr>
      <w:spacing w:line="443" w:lineRule="atLeast"/>
    </w:pPr>
    <w:rPr>
      <w:rFonts w:cs="Times New Roman"/>
      <w:color w:val="auto"/>
    </w:rPr>
  </w:style>
  <w:style w:type="character" w:customStyle="1" w:styleId="147">
    <w:name w:val="批注框文本 字符"/>
    <w:link w:val="25"/>
    <w:semiHidden/>
    <w:qFormat/>
    <w:uiPriority w:val="99"/>
    <w:rPr>
      <w:sz w:val="18"/>
      <w:szCs w:val="18"/>
    </w:rPr>
  </w:style>
  <w:style w:type="character" w:customStyle="1" w:styleId="148">
    <w:name w:val="标题 6 字符"/>
    <w:link w:val="8"/>
    <w:uiPriority w:val="9"/>
    <w:rPr>
      <w:rFonts w:ascii="Cambria" w:hAnsi="Cambria" w:eastAsia="宋体"/>
      <w:bCs/>
      <w:kern w:val="2"/>
      <w:sz w:val="21"/>
      <w:szCs w:val="24"/>
      <w:lang w:val="en-US" w:eastAsia="zh-CN" w:bidi="ar-SA"/>
    </w:rPr>
  </w:style>
  <w:style w:type="character" w:customStyle="1" w:styleId="14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50">
    <w:name w:val="正文文本 (7)_"/>
    <w:link w:val="91"/>
    <w:qFormat/>
    <w:uiPriority w:val="0"/>
    <w:rPr>
      <w:rFonts w:ascii="宋体" w:hAnsi="宋体" w:cs="宋体"/>
      <w:spacing w:val="10"/>
      <w:sz w:val="22"/>
      <w:szCs w:val="22"/>
      <w:shd w:val="clear" w:color="auto" w:fill="FFFFFF"/>
    </w:rPr>
  </w:style>
  <w:style w:type="character" w:customStyle="1" w:styleId="151">
    <w:name w:val="正文文本首行缩进 字符"/>
    <w:link w:val="41"/>
    <w:semiHidden/>
    <w:qFormat/>
    <w:uiPriority w:val="99"/>
    <w:rPr>
      <w:rFonts w:ascii="Times New Roman" w:hAnsi="Times New Roman"/>
      <w:kern w:val="2"/>
      <w:sz w:val="21"/>
      <w:szCs w:val="22"/>
    </w:rPr>
  </w:style>
  <w:style w:type="character" w:customStyle="1" w:styleId="152">
    <w:name w:val="正文首行缩进 字符"/>
    <w:qFormat/>
    <w:uiPriority w:val="0"/>
    <w:rPr>
      <w:rFonts w:ascii="黑体" w:hAnsi="仿宋_GB2312" w:eastAsia="宋体"/>
      <w:kern w:val="2"/>
      <w:sz w:val="21"/>
      <w:szCs w:val="24"/>
      <w:lang w:val="en-US" w:eastAsia="zh-CN" w:bidi="ar-SA"/>
    </w:rPr>
  </w:style>
  <w:style w:type="character" w:customStyle="1" w:styleId="153">
    <w:name w:val="标题 3 字符"/>
    <w:link w:val="5"/>
    <w:qFormat/>
    <w:uiPriority w:val="9"/>
    <w:rPr>
      <w:b/>
      <w:bCs/>
      <w:sz w:val="32"/>
      <w:szCs w:val="32"/>
    </w:rPr>
  </w:style>
  <w:style w:type="character" w:customStyle="1" w:styleId="154">
    <w:name w:val="_Style 153"/>
    <w:unhideWhenUsed/>
    <w:qFormat/>
    <w:uiPriority w:val="99"/>
    <w:rPr>
      <w:color w:val="605E5C"/>
      <w:shd w:val="clear" w:color="auto" w:fill="E1DFDD"/>
    </w:rPr>
  </w:style>
  <w:style w:type="character" w:customStyle="1" w:styleId="155">
    <w:name w:val="脚注文本 字符"/>
    <w:link w:val="31"/>
    <w:qFormat/>
    <w:uiPriority w:val="99"/>
    <w:rPr>
      <w:sz w:val="18"/>
      <w:szCs w:val="18"/>
    </w:rPr>
  </w:style>
  <w:style w:type="character" w:customStyle="1" w:styleId="156">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57">
    <w:name w:val="副标题 字符"/>
    <w:link w:val="30"/>
    <w:uiPriority w:val="11"/>
    <w:rPr>
      <w:rFonts w:ascii="Cambria" w:hAnsi="Cambria" w:eastAsia="宋体" w:cs="Times New Roman"/>
      <w:b/>
      <w:bCs/>
      <w:kern w:val="28"/>
      <w:sz w:val="32"/>
      <w:szCs w:val="32"/>
    </w:rPr>
  </w:style>
  <w:style w:type="character" w:customStyle="1" w:styleId="158">
    <w:name w:val="MSG_EN_FONT_STYLE_NAME_TEMPLATE_ROLE_NUMBER MSG_EN_FONT_STYLE_NAME_BY_ROLE_TEXT 13_"/>
    <w:link w:val="99"/>
    <w:qFormat/>
    <w:uiPriority w:val="0"/>
    <w:rPr>
      <w:rFonts w:ascii="PMingLiU" w:hAnsi="PMingLiU" w:eastAsia="PMingLiU" w:cs="PMingLiU"/>
      <w:shd w:val="clear" w:color="auto" w:fill="FFFFFF"/>
    </w:rPr>
  </w:style>
  <w:style w:type="character" w:customStyle="1" w:styleId="159">
    <w:name w:val="标题 1 字符"/>
    <w:link w:val="4"/>
    <w:uiPriority w:val="9"/>
    <w:rPr>
      <w:b/>
      <w:bCs/>
      <w:kern w:val="44"/>
      <w:sz w:val="44"/>
      <w:szCs w:val="44"/>
    </w:rPr>
  </w:style>
  <w:style w:type="character" w:customStyle="1" w:styleId="160">
    <w:name w:val="页脚 字符"/>
    <w:link w:val="26"/>
    <w:qFormat/>
    <w:uiPriority w:val="99"/>
    <w:rPr>
      <w:sz w:val="18"/>
      <w:szCs w:val="18"/>
    </w:rPr>
  </w:style>
  <w:style w:type="character" w:customStyle="1" w:styleId="161">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62">
    <w:name w:val="Char Char10"/>
    <w:qFormat/>
    <w:uiPriority w:val="0"/>
    <w:rPr>
      <w:rFonts w:ascii="Calibri" w:hAnsi="Calibri" w:eastAsia="宋体"/>
      <w:b/>
      <w:bCs/>
      <w:kern w:val="44"/>
      <w:sz w:val="44"/>
      <w:szCs w:val="44"/>
      <w:lang w:val="en-US" w:eastAsia="zh-CN" w:bidi="ar-SA"/>
    </w:rPr>
  </w:style>
  <w:style w:type="character" w:customStyle="1" w:styleId="163">
    <w:name w:val="标题 3 Char"/>
    <w:qFormat/>
    <w:uiPriority w:val="9"/>
    <w:rPr>
      <w:rFonts w:ascii="Times New Roman" w:hAnsi="Times New Roman" w:eastAsia="宋体" w:cs="Times New Roman"/>
      <w:b/>
      <w:bCs/>
      <w:sz w:val="24"/>
      <w:szCs w:val="32"/>
    </w:rPr>
  </w:style>
  <w:style w:type="character" w:customStyle="1" w:styleId="164">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65">
    <w:name w:val="标题 5 字符"/>
    <w:link w:val="7"/>
    <w:uiPriority w:val="0"/>
    <w:rPr>
      <w:rFonts w:ascii="Calibri" w:hAnsi="Calibri" w:eastAsia="宋体"/>
      <w:bCs/>
      <w:kern w:val="2"/>
      <w:sz w:val="21"/>
      <w:szCs w:val="28"/>
      <w:lang w:val="en-US" w:eastAsia="zh-CN" w:bidi="ar-SA"/>
    </w:rPr>
  </w:style>
  <w:style w:type="character" w:customStyle="1" w:styleId="166">
    <w:name w:val="Char2 Char Char"/>
    <w:semiHidden/>
    <w:qFormat/>
    <w:uiPriority w:val="0"/>
    <w:rPr>
      <w:rFonts w:eastAsia="宋体"/>
      <w:kern w:val="2"/>
      <w:sz w:val="18"/>
      <w:szCs w:val="18"/>
      <w:lang w:val="en-US" w:eastAsia="zh-CN" w:bidi="ar-SA"/>
    </w:rPr>
  </w:style>
  <w:style w:type="character" w:customStyle="1" w:styleId="167">
    <w:name w:val="Char Char14"/>
    <w:locked/>
    <w:uiPriority w:val="0"/>
    <w:rPr>
      <w:rFonts w:ascii="Calibri" w:hAnsi="Calibri" w:eastAsia="宋体" w:cs="Calibri"/>
      <w:kern w:val="2"/>
      <w:sz w:val="18"/>
      <w:szCs w:val="18"/>
      <w:lang w:val="en-US" w:eastAsia="zh-CN" w:bidi="ar-SA"/>
    </w:rPr>
  </w:style>
  <w:style w:type="character" w:customStyle="1" w:styleId="168">
    <w:name w:val="正文文本缩进 3 字符"/>
    <w:link w:val="33"/>
    <w:qFormat/>
    <w:uiPriority w:val="99"/>
    <w:rPr>
      <w:rFonts w:ascii="Times New Roman" w:hAnsi="Times New Roman"/>
      <w:kern w:val="2"/>
      <w:sz w:val="21"/>
      <w:szCs w:val="24"/>
    </w:rPr>
  </w:style>
  <w:style w:type="character" w:customStyle="1" w:styleId="169">
    <w:name w:val="正文文本 (2)_"/>
    <w:link w:val="68"/>
    <w:uiPriority w:val="0"/>
    <w:rPr>
      <w:rFonts w:ascii="宋体" w:hAnsi="宋体" w:cs="宋体"/>
      <w:sz w:val="22"/>
      <w:szCs w:val="22"/>
      <w:shd w:val="clear" w:color="auto" w:fill="FFFFFF"/>
    </w:rPr>
  </w:style>
  <w:style w:type="character" w:customStyle="1" w:styleId="170">
    <w:name w:val="页眉 字符"/>
    <w:link w:val="27"/>
    <w:qFormat/>
    <w:uiPriority w:val="0"/>
    <w:rPr>
      <w:sz w:val="18"/>
      <w:szCs w:val="18"/>
    </w:rPr>
  </w:style>
  <w:style w:type="character" w:customStyle="1" w:styleId="171">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2">
    <w:name w:val="Char2 Char Char1"/>
    <w:qFormat/>
    <w:uiPriority w:val="0"/>
    <w:rPr>
      <w:rFonts w:eastAsia="宋体"/>
      <w:sz w:val="21"/>
      <w:lang w:val="en-US" w:eastAsia="zh-CN" w:bidi="ar-SA"/>
    </w:rPr>
  </w:style>
  <w:style w:type="character" w:customStyle="1" w:styleId="173">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74">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75">
    <w:name w:val="标题 2 字符"/>
    <w:link w:val="2"/>
    <w:uiPriority w:val="9"/>
    <w:rPr>
      <w:rFonts w:ascii="Cambria" w:hAnsi="Cambria" w:eastAsia="宋体" w:cs="Times New Roman"/>
      <w:b/>
      <w:bCs/>
      <w:sz w:val="32"/>
      <w:szCs w:val="32"/>
    </w:rPr>
  </w:style>
  <w:style w:type="character" w:customStyle="1" w:styleId="176">
    <w:name w:val="正文文本 (2) + 间距 4 p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77">
    <w:name w:val="正文文本 字符"/>
    <w:link w:val="16"/>
    <w:uiPriority w:val="0"/>
    <w:rPr>
      <w:rFonts w:ascii="Times New Roman" w:hAnsi="Times New Roman"/>
      <w:kern w:val="2"/>
      <w:sz w:val="28"/>
      <w:szCs w:val="24"/>
    </w:rPr>
  </w:style>
  <w:style w:type="character" w:customStyle="1" w:styleId="178">
    <w:name w:val="标题 4 字符"/>
    <w:link w:val="6"/>
    <w:qFormat/>
    <w:uiPriority w:val="9"/>
    <w:rPr>
      <w:rFonts w:ascii="Cambria" w:hAnsi="Cambria" w:eastAsia="黑体"/>
      <w:bCs/>
      <w:kern w:val="2"/>
      <w:sz w:val="24"/>
      <w:szCs w:val="28"/>
    </w:rPr>
  </w:style>
  <w:style w:type="character" w:customStyle="1" w:styleId="179">
    <w:name w:val="纯文本 Char1"/>
    <w:locked/>
    <w:uiPriority w:val="0"/>
    <w:rPr>
      <w:rFonts w:ascii="宋体" w:hAnsi="Courier New" w:eastAsia="宋体" w:cs="宋体"/>
      <w:szCs w:val="21"/>
    </w:rPr>
  </w:style>
  <w:style w:type="character" w:customStyle="1" w:styleId="180">
    <w:name w:val="Char Char1"/>
    <w:semiHidden/>
    <w:qFormat/>
    <w:locked/>
    <w:uiPriority w:val="0"/>
    <w:rPr>
      <w:rFonts w:ascii="Calibri" w:hAnsi="Calibri" w:eastAsia="宋体"/>
      <w:kern w:val="2"/>
      <w:sz w:val="18"/>
      <w:szCs w:val="18"/>
      <w:lang w:val="en-US" w:eastAsia="zh-CN" w:bidi="ar-SA"/>
    </w:rPr>
  </w:style>
  <w:style w:type="character" w:customStyle="1" w:styleId="181">
    <w:name w:val="其他_"/>
    <w:link w:val="145"/>
    <w:qFormat/>
    <w:uiPriority w:val="0"/>
    <w:rPr>
      <w:rFonts w:ascii="宋体" w:hAnsi="宋体" w:cs="宋体"/>
      <w:shd w:val="clear" w:color="auto" w:fill="FFFFFF"/>
      <w:lang w:val="zh-CN" w:bidi="zh-CN"/>
    </w:rPr>
  </w:style>
  <w:style w:type="table" w:customStyle="1" w:styleId="18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8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84">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1045</Words>
  <Characters>5957</Characters>
  <Lines>49</Lines>
  <Paragraphs>13</Paragraphs>
  <TotalTime>1</TotalTime>
  <ScaleCrop>false</ScaleCrop>
  <LinksUpToDate>false</LinksUpToDate>
  <CharactersWithSpaces>6989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2020-05-08T00:32:00Z</dcterms:created>
  <dc:creator>1</dc:creator>
  <cp:lastModifiedBy>Volcanobaby是我啊</cp:lastModifiedBy>
  <cp:lastPrinted>2019-07-15T23:28:00Z</cp:lastPrinted>
  <dcterms:modified xsi:type="dcterms:W3CDTF">2020-05-08T01:53:26Z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