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Fonts w:hint="eastAsia" w:ascii="宋体" w:hAnsi="宋体" w:cs="黑体"/>
          <w:b/>
          <w:bCs/>
          <w:szCs w:val="21"/>
        </w:rPr>
      </w:pPr>
      <w:bookmarkStart w:id="45" w:name="_GoBack"/>
      <w:bookmarkStart w:id="0" w:name="OLE_LINK3"/>
      <w:bookmarkStart w:id="1" w:name="_Toc197960492"/>
      <w:bookmarkStart w:id="2" w:name="_Toc197967265"/>
      <w:bookmarkStart w:id="3" w:name="_Toc197950802"/>
      <w:bookmarkStart w:id="4" w:name="_Toc197950681"/>
      <w:bookmarkStart w:id="5" w:name="_Toc197967117"/>
      <w:bookmarkStart w:id="6" w:name="_Toc197951555"/>
      <w:bookmarkStart w:id="7" w:name="_Toc197951587"/>
      <w:bookmarkStart w:id="8" w:name="_Toc197965596"/>
      <w:bookmarkStart w:id="9" w:name="_Toc197960544"/>
      <w:r>
        <w:rPr>
          <w:rFonts w:hint="eastAsia" w:ascii="宋体" w:hAnsi="宋体" w:cs="黑体"/>
          <w:b/>
          <w:bCs/>
          <w:szCs w:val="21"/>
        </w:rPr>
        <w:t>吉林省高速公路集团有限公司人力资源管理系统采购项目</w:t>
      </w:r>
    </w:p>
    <w:p>
      <w:pPr>
        <w:spacing w:after="240" w:afterLines="100" w:line="360" w:lineRule="atLeast"/>
        <w:jc w:val="center"/>
        <w:rPr>
          <w:rFonts w:hint="eastAsia"/>
          <w:b/>
          <w:bCs/>
          <w:szCs w:val="21"/>
        </w:rPr>
      </w:pPr>
      <w:r>
        <w:rPr>
          <w:rFonts w:hint="eastAsia" w:ascii="宋体" w:hAnsi="宋体" w:cs="黑体"/>
          <w:b/>
          <w:bCs/>
          <w:szCs w:val="21"/>
        </w:rPr>
        <w:t>磋商文件关键内容信息公开</w:t>
      </w:r>
    </w:p>
    <w:bookmarkEnd w:id="45"/>
    <w:p>
      <w:pPr>
        <w:numPr>
          <w:ilvl w:val="0"/>
          <w:numId w:val="2"/>
        </w:numPr>
        <w:tabs>
          <w:tab w:val="left" w:pos="709"/>
        </w:tabs>
        <w:autoSpaceDE w:val="0"/>
        <w:autoSpaceDN w:val="0"/>
        <w:adjustRightInd w:val="0"/>
        <w:snapToGrid w:val="0"/>
        <w:spacing w:line="360" w:lineRule="exact"/>
        <w:ind w:left="709" w:hanging="709"/>
        <w:rPr>
          <w:rFonts w:ascii="宋体" w:hAnsi="宋体" w:cs="黑体"/>
          <w:kern w:val="0"/>
          <w:szCs w:val="21"/>
        </w:rPr>
      </w:pPr>
      <w:bookmarkStart w:id="10" w:name="_Toc361838108"/>
      <w:bookmarkStart w:id="11" w:name="_Toc444517394"/>
      <w:bookmarkStart w:id="12" w:name="_Toc257655333"/>
      <w:bookmarkStart w:id="13" w:name="_Toc455056348"/>
      <w:bookmarkStart w:id="14" w:name="_Toc452566687"/>
      <w:bookmarkStart w:id="15" w:name="_Toc356741794"/>
      <w:bookmarkStart w:id="16" w:name="_Toc452885007"/>
      <w:r>
        <w:rPr>
          <w:rFonts w:hint="eastAsia" w:ascii="宋体" w:hAnsi="宋体" w:cs="黑体"/>
          <w:kern w:val="0"/>
          <w:szCs w:val="21"/>
        </w:rPr>
        <w:t>受吉林省高速公路集团有限公司委托，国信招标集团股份有限公司对吉林省高速公路集团有限公司人力资源管理系统采购项目（项目编号：GXTC-CZ-A-2068010）以竞争性磋商采购方式组织采购，欢迎符合条件的投标人参加磋商。</w:t>
      </w:r>
    </w:p>
    <w:p>
      <w:pPr>
        <w:numPr>
          <w:ilvl w:val="0"/>
          <w:numId w:val="2"/>
        </w:numPr>
        <w:tabs>
          <w:tab w:val="left" w:pos="709"/>
        </w:tabs>
        <w:autoSpaceDE w:val="0"/>
        <w:autoSpaceDN w:val="0"/>
        <w:adjustRightInd w:val="0"/>
        <w:snapToGrid w:val="0"/>
        <w:spacing w:line="360" w:lineRule="exact"/>
        <w:ind w:left="709" w:hanging="709"/>
        <w:rPr>
          <w:rFonts w:ascii="宋体" w:hAnsi="宋体" w:cs="黑体"/>
          <w:kern w:val="0"/>
          <w:szCs w:val="21"/>
        </w:rPr>
      </w:pPr>
      <w:r>
        <w:rPr>
          <w:rFonts w:hint="eastAsia" w:ascii="宋体" w:hAnsi="宋体" w:cs="黑体"/>
          <w:kern w:val="0"/>
          <w:szCs w:val="21"/>
        </w:rPr>
        <w:t>采购项目的名称、预算金额及最高限价</w:t>
      </w:r>
    </w:p>
    <w:p>
      <w:pPr>
        <w:tabs>
          <w:tab w:val="left" w:pos="709"/>
        </w:tabs>
        <w:autoSpaceDE w:val="0"/>
        <w:autoSpaceDN w:val="0"/>
        <w:adjustRightInd w:val="0"/>
        <w:snapToGrid w:val="0"/>
        <w:spacing w:line="360" w:lineRule="exact"/>
        <w:ind w:left="708" w:leftChars="337"/>
        <w:rPr>
          <w:rFonts w:hint="eastAsia" w:ascii="宋体" w:hAnsi="宋体" w:cs="黑体"/>
          <w:kern w:val="0"/>
          <w:szCs w:val="21"/>
        </w:rPr>
      </w:pPr>
      <w:r>
        <w:rPr>
          <w:rFonts w:hint="eastAsia" w:ascii="宋体" w:hAnsi="宋体" w:cs="黑体"/>
          <w:kern w:val="0"/>
          <w:szCs w:val="21"/>
        </w:rPr>
        <w:t>采购项目名称：吉林省高速公路集团有限公司人力资源管理系统采购项目</w:t>
      </w:r>
    </w:p>
    <w:p>
      <w:pPr>
        <w:tabs>
          <w:tab w:val="left" w:pos="709"/>
        </w:tabs>
        <w:autoSpaceDE w:val="0"/>
        <w:autoSpaceDN w:val="0"/>
        <w:adjustRightInd w:val="0"/>
        <w:snapToGrid w:val="0"/>
        <w:spacing w:line="360" w:lineRule="exact"/>
        <w:ind w:left="708" w:leftChars="337"/>
        <w:rPr>
          <w:rFonts w:ascii="宋体" w:hAnsi="宋体" w:eastAsia="仿宋_GB2312" w:cs="黑体"/>
          <w:kern w:val="0"/>
          <w:szCs w:val="21"/>
        </w:rPr>
      </w:pPr>
      <w:r>
        <w:rPr>
          <w:rFonts w:hint="eastAsia" w:ascii="宋体" w:hAnsi="宋体" w:cs="黑体"/>
          <w:kern w:val="0"/>
          <w:szCs w:val="21"/>
        </w:rPr>
        <w:t>预算金额：98万元。</w:t>
      </w:r>
    </w:p>
    <w:p>
      <w:pPr>
        <w:numPr>
          <w:ilvl w:val="0"/>
          <w:numId w:val="2"/>
        </w:numPr>
        <w:tabs>
          <w:tab w:val="left" w:pos="709"/>
        </w:tabs>
        <w:autoSpaceDE w:val="0"/>
        <w:autoSpaceDN w:val="0"/>
        <w:adjustRightInd w:val="0"/>
        <w:snapToGrid w:val="0"/>
        <w:spacing w:line="360" w:lineRule="exact"/>
        <w:ind w:left="709" w:hanging="709"/>
        <w:rPr>
          <w:rFonts w:ascii="宋体" w:hAnsi="宋体" w:cs="黑体"/>
          <w:kern w:val="0"/>
          <w:szCs w:val="21"/>
        </w:rPr>
      </w:pPr>
      <w:r>
        <w:rPr>
          <w:rFonts w:hint="eastAsia" w:ascii="宋体" w:hAnsi="宋体" w:cs="黑体"/>
          <w:kern w:val="0"/>
          <w:szCs w:val="21"/>
        </w:rPr>
        <w:t>项目概况</w:t>
      </w:r>
    </w:p>
    <w:p>
      <w:pPr>
        <w:tabs>
          <w:tab w:val="left" w:pos="709"/>
        </w:tabs>
        <w:autoSpaceDE w:val="0"/>
        <w:autoSpaceDN w:val="0"/>
        <w:adjustRightInd w:val="0"/>
        <w:snapToGrid w:val="0"/>
        <w:spacing w:line="360" w:lineRule="exact"/>
        <w:ind w:left="708" w:leftChars="337"/>
        <w:rPr>
          <w:rFonts w:hint="eastAsia" w:ascii="宋体" w:hAnsi="宋体" w:cs="宋体"/>
          <w:kern w:val="0"/>
          <w:szCs w:val="21"/>
        </w:rPr>
      </w:pPr>
      <w:r>
        <w:rPr>
          <w:rFonts w:hint="eastAsia" w:ascii="宋体" w:hAnsi="宋体" w:cs="黑体"/>
          <w:kern w:val="0"/>
          <w:szCs w:val="21"/>
        </w:rPr>
        <w:t>采购内容、合同包划分：</w:t>
      </w:r>
      <w:r>
        <w:rPr>
          <w:rFonts w:hint="eastAsia" w:ascii="宋体" w:hAnsi="宋体" w:cs="宋体"/>
          <w:kern w:val="0"/>
          <w:szCs w:val="21"/>
        </w:rPr>
        <w:t>应根据集团的实际情况提供相对成熟的基础产品原型和可重用组件，能够通过配置开发实现大部分功能，在此基础上可进行少量二次开发满足集团的管理需求。本项目应实现的功能包括但不限于如下功能：1.组织机构；2.岗位管理；3.职工管理；4.人事异动管理；5.合同管理；6.薪酬管理；7.保险管理；8.报表管理；9.绩效管理；10.招聘管理；11员工培养管理；12.职工自助；13.领导自助；14.系统管理；15.用户授权管理；16.日志管理；17.流程管理；18.新媒体平台；19.考勤填报管理等（具体技术要求详见第五章采购需求）。本项目划分一个合同包，即01合同包。</w:t>
      </w:r>
    </w:p>
    <w:p>
      <w:pPr>
        <w:tabs>
          <w:tab w:val="left" w:pos="709"/>
        </w:tabs>
        <w:autoSpaceDE w:val="0"/>
        <w:autoSpaceDN w:val="0"/>
        <w:adjustRightInd w:val="0"/>
        <w:snapToGrid w:val="0"/>
        <w:spacing w:line="360" w:lineRule="exact"/>
        <w:ind w:left="708" w:leftChars="337"/>
        <w:rPr>
          <w:rFonts w:ascii="宋体" w:hAnsi="宋体" w:cs="黑体"/>
          <w:kern w:val="0"/>
          <w:szCs w:val="21"/>
        </w:rPr>
      </w:pPr>
      <w:r>
        <w:rPr>
          <w:rFonts w:hint="eastAsia" w:ascii="宋体" w:hAnsi="宋体" w:cs="宋体"/>
          <w:kern w:val="0"/>
          <w:szCs w:val="21"/>
          <w:lang w:val="zh-CN"/>
        </w:rPr>
        <w:t>采购期限</w:t>
      </w:r>
      <w:r>
        <w:rPr>
          <w:rFonts w:hint="eastAsia" w:ascii="宋体" w:hAnsi="宋体" w:cs="宋体"/>
          <w:kern w:val="0"/>
          <w:szCs w:val="21"/>
        </w:rPr>
        <w:t>及免费服务期</w:t>
      </w:r>
      <w:r>
        <w:rPr>
          <w:rFonts w:hint="eastAsia" w:ascii="宋体" w:hAnsi="宋体" w:cs="宋体"/>
          <w:kern w:val="0"/>
          <w:szCs w:val="21"/>
          <w:lang w:val="zh-CN"/>
        </w:rPr>
        <w:t>：合同签订后</w:t>
      </w:r>
      <w:r>
        <w:rPr>
          <w:rFonts w:hint="eastAsia" w:ascii="宋体" w:hAnsi="宋体" w:cs="宋体"/>
          <w:kern w:val="0"/>
          <w:szCs w:val="21"/>
        </w:rPr>
        <w:t>20天内完成安装、调试，45天内完成开发、上线应用；验收合格后提供一年的免费服务期。</w:t>
      </w:r>
    </w:p>
    <w:p>
      <w:pPr>
        <w:tabs>
          <w:tab w:val="left" w:pos="709"/>
        </w:tabs>
        <w:autoSpaceDE w:val="0"/>
        <w:autoSpaceDN w:val="0"/>
        <w:adjustRightInd w:val="0"/>
        <w:snapToGrid w:val="0"/>
        <w:spacing w:line="360" w:lineRule="exact"/>
        <w:ind w:left="708" w:leftChars="337"/>
        <w:rPr>
          <w:rFonts w:ascii="宋体" w:hAnsi="宋体" w:cs="黑体"/>
          <w:kern w:val="0"/>
          <w:szCs w:val="21"/>
        </w:rPr>
      </w:pPr>
      <w:r>
        <w:rPr>
          <w:rFonts w:hint="eastAsia" w:ascii="宋体" w:hAnsi="宋体" w:cs="黑体"/>
          <w:kern w:val="0"/>
          <w:szCs w:val="21"/>
        </w:rPr>
        <w:t>服务地点：</w:t>
      </w:r>
      <w:r>
        <w:rPr>
          <w:rFonts w:hint="eastAsia" w:ascii="宋体" w:hAnsi="宋体" w:cs="宋体"/>
          <w:kern w:val="0"/>
          <w:szCs w:val="21"/>
        </w:rPr>
        <w:t>吉林省内、</w:t>
      </w:r>
      <w:r>
        <w:rPr>
          <w:rFonts w:hint="eastAsia" w:ascii="宋体" w:hAnsi="宋体" w:cs="宋体"/>
          <w:kern w:val="0"/>
          <w:szCs w:val="21"/>
          <w:lang w:val="zh-CN"/>
        </w:rPr>
        <w:t>招标人指定地点</w:t>
      </w:r>
      <w:r>
        <w:rPr>
          <w:rFonts w:hint="eastAsia" w:ascii="宋体" w:hAnsi="宋体" w:cs="黑体"/>
          <w:kern w:val="0"/>
          <w:szCs w:val="21"/>
        </w:rPr>
        <w:t>。</w:t>
      </w:r>
    </w:p>
    <w:p>
      <w:pPr>
        <w:numPr>
          <w:ilvl w:val="0"/>
          <w:numId w:val="2"/>
        </w:numPr>
        <w:tabs>
          <w:tab w:val="left" w:pos="709"/>
        </w:tabs>
        <w:autoSpaceDE w:val="0"/>
        <w:autoSpaceDN w:val="0"/>
        <w:adjustRightInd w:val="0"/>
        <w:snapToGrid w:val="0"/>
        <w:spacing w:line="360" w:lineRule="exact"/>
        <w:ind w:left="0" w:firstLine="0"/>
        <w:rPr>
          <w:rFonts w:ascii="宋体" w:hAnsi="宋体" w:cs="黑体"/>
          <w:kern w:val="0"/>
          <w:szCs w:val="21"/>
        </w:rPr>
      </w:pPr>
      <w:r>
        <w:rPr>
          <w:rFonts w:hint="eastAsia" w:ascii="宋体" w:hAnsi="宋体" w:cs="黑体"/>
          <w:kern w:val="0"/>
          <w:szCs w:val="21"/>
        </w:rPr>
        <w:t>投标人资格要求</w:t>
      </w:r>
    </w:p>
    <w:p>
      <w:pPr>
        <w:tabs>
          <w:tab w:val="left" w:pos="709"/>
        </w:tabs>
        <w:autoSpaceDE w:val="0"/>
        <w:autoSpaceDN w:val="0"/>
        <w:adjustRightInd w:val="0"/>
        <w:snapToGrid w:val="0"/>
        <w:spacing w:line="360" w:lineRule="exact"/>
        <w:ind w:left="708" w:leftChars="337"/>
        <w:rPr>
          <w:rFonts w:hint="eastAsia" w:ascii="宋体" w:hAnsi="宋体" w:cs="黑体"/>
          <w:kern w:val="0"/>
          <w:szCs w:val="21"/>
          <w:lang w:val="zh-CN"/>
        </w:rPr>
      </w:pPr>
      <w:r>
        <w:rPr>
          <w:rFonts w:hint="eastAsia" w:ascii="宋体" w:hAnsi="宋体" w:cs="黑体"/>
          <w:kern w:val="0"/>
          <w:szCs w:val="21"/>
        </w:rPr>
        <w:t>1、</w:t>
      </w:r>
      <w:r>
        <w:rPr>
          <w:rFonts w:hint="eastAsia" w:ascii="宋体" w:hAnsi="宋体" w:cs="黑体"/>
          <w:kern w:val="0"/>
          <w:szCs w:val="21"/>
          <w:lang w:val="zh-CN"/>
        </w:rPr>
        <w:t>投标人为软件的制造商或代理商，具有独立承担民事责任的能力。</w:t>
      </w:r>
    </w:p>
    <w:p>
      <w:pPr>
        <w:tabs>
          <w:tab w:val="left" w:pos="709"/>
        </w:tabs>
        <w:autoSpaceDE w:val="0"/>
        <w:autoSpaceDN w:val="0"/>
        <w:adjustRightInd w:val="0"/>
        <w:snapToGrid w:val="0"/>
        <w:spacing w:line="360" w:lineRule="exact"/>
        <w:ind w:left="708" w:leftChars="337"/>
        <w:rPr>
          <w:rFonts w:hint="eastAsia" w:ascii="宋体" w:hAnsi="宋体" w:cs="黑体"/>
          <w:kern w:val="0"/>
          <w:szCs w:val="21"/>
          <w:lang w:val="zh-CN"/>
        </w:rPr>
      </w:pPr>
      <w:r>
        <w:rPr>
          <w:rFonts w:hint="eastAsia" w:ascii="宋体" w:hAnsi="宋体" w:cs="黑体"/>
          <w:kern w:val="0"/>
          <w:szCs w:val="21"/>
        </w:rPr>
        <w:t>2、</w:t>
      </w:r>
      <w:r>
        <w:rPr>
          <w:rFonts w:hint="eastAsia" w:ascii="宋体" w:hAnsi="宋体" w:cs="黑体"/>
          <w:kern w:val="0"/>
          <w:szCs w:val="21"/>
          <w:lang w:val="zh-CN"/>
        </w:rPr>
        <w:t>具有良好的商业信誉和健全的财务会计制度；具有履行合同所必需的设备和专业技术能力；有依法缴纳税收和社会保障资金的良好记录。</w:t>
      </w:r>
    </w:p>
    <w:p>
      <w:pPr>
        <w:tabs>
          <w:tab w:val="left" w:pos="709"/>
        </w:tabs>
        <w:autoSpaceDE w:val="0"/>
        <w:autoSpaceDN w:val="0"/>
        <w:adjustRightInd w:val="0"/>
        <w:snapToGrid w:val="0"/>
        <w:spacing w:line="360" w:lineRule="exact"/>
        <w:ind w:left="708" w:leftChars="337"/>
        <w:rPr>
          <w:rFonts w:hint="eastAsia" w:ascii="宋体" w:hAnsi="宋体" w:cs="黑体"/>
          <w:kern w:val="0"/>
          <w:szCs w:val="21"/>
          <w:lang w:val="zh-CN"/>
        </w:rPr>
      </w:pPr>
      <w:r>
        <w:rPr>
          <w:rFonts w:hint="eastAsia" w:ascii="宋体" w:hAnsi="宋体" w:cs="黑体"/>
          <w:kern w:val="0"/>
          <w:szCs w:val="21"/>
        </w:rPr>
        <w:t>3、</w:t>
      </w:r>
      <w:r>
        <w:rPr>
          <w:rFonts w:hint="eastAsia" w:ascii="宋体" w:hAnsi="宋体" w:cs="黑体"/>
          <w:kern w:val="0"/>
          <w:szCs w:val="21"/>
          <w:lang w:val="zh-CN"/>
        </w:rPr>
        <w:t>参加采购活动前三年内，在经营活动中没有重大违法记录（重大违法记录是指供应商因违法经营受到刑事处罚或者责令停产停业、吊销许可证或者执照、较大数额罚款等行政处罚）。</w:t>
      </w:r>
    </w:p>
    <w:p>
      <w:pPr>
        <w:tabs>
          <w:tab w:val="left" w:pos="709"/>
        </w:tabs>
        <w:autoSpaceDE w:val="0"/>
        <w:autoSpaceDN w:val="0"/>
        <w:adjustRightInd w:val="0"/>
        <w:snapToGrid w:val="0"/>
        <w:spacing w:line="360" w:lineRule="exact"/>
        <w:ind w:left="708" w:leftChars="337"/>
        <w:rPr>
          <w:rFonts w:hint="eastAsia" w:ascii="宋体" w:hAnsi="宋体" w:cs="黑体"/>
          <w:kern w:val="0"/>
          <w:szCs w:val="21"/>
          <w:lang w:val="zh-CN"/>
        </w:rPr>
      </w:pPr>
      <w:r>
        <w:rPr>
          <w:rFonts w:hint="eastAsia" w:ascii="宋体" w:hAnsi="宋体" w:cs="黑体"/>
          <w:kern w:val="0"/>
          <w:szCs w:val="21"/>
        </w:rPr>
        <w:t>4、</w:t>
      </w:r>
      <w:r>
        <w:rPr>
          <w:rFonts w:hint="eastAsia" w:ascii="宋体" w:hAnsi="宋体" w:cs="黑体"/>
          <w:kern w:val="0"/>
          <w:szCs w:val="21"/>
          <w:lang w:val="zh-CN"/>
        </w:rPr>
        <w:t>被“信用中国”网站（www.creditchina.gov.cn）中列入失信被执行人和重大税收违法案件当事人名单的供应商、被“国家企业信用信息公示系统”网站（http://www.gsxt.gov.cn/）中被列入严重违法失信企业名单的供应商，无资格参加本项目的采购活动。</w:t>
      </w:r>
    </w:p>
    <w:p>
      <w:pPr>
        <w:tabs>
          <w:tab w:val="left" w:pos="709"/>
        </w:tabs>
        <w:autoSpaceDE w:val="0"/>
        <w:autoSpaceDN w:val="0"/>
        <w:adjustRightInd w:val="0"/>
        <w:snapToGrid w:val="0"/>
        <w:spacing w:line="360" w:lineRule="exact"/>
        <w:ind w:left="708" w:leftChars="337"/>
        <w:rPr>
          <w:rFonts w:hint="eastAsia" w:ascii="宋体" w:hAnsi="宋体" w:cs="黑体"/>
          <w:kern w:val="0"/>
          <w:szCs w:val="21"/>
          <w:lang w:val="zh-CN"/>
        </w:rPr>
      </w:pPr>
      <w:r>
        <w:rPr>
          <w:rFonts w:hint="eastAsia" w:ascii="宋体" w:hAnsi="宋体" w:cs="黑体"/>
          <w:kern w:val="0"/>
          <w:szCs w:val="21"/>
        </w:rPr>
        <w:t>5、</w:t>
      </w:r>
      <w:r>
        <w:rPr>
          <w:rFonts w:hint="eastAsia" w:ascii="宋体" w:hAnsi="宋体" w:cs="黑体"/>
          <w:kern w:val="0"/>
          <w:szCs w:val="21"/>
          <w:lang w:val="zh-CN"/>
        </w:rPr>
        <w:t>单位负责人为同一人或者存在控股、管理关系的不同单位，不得同时参加本项目的投标；与招标人存在利害关系可能影响招标公正性的法人、其他组织或者个人，不得参加本项目投标。</w:t>
      </w:r>
    </w:p>
    <w:p>
      <w:pPr>
        <w:tabs>
          <w:tab w:val="left" w:pos="709"/>
        </w:tabs>
        <w:autoSpaceDE w:val="0"/>
        <w:autoSpaceDN w:val="0"/>
        <w:adjustRightInd w:val="0"/>
        <w:snapToGrid w:val="0"/>
        <w:spacing w:line="360" w:lineRule="exact"/>
        <w:ind w:left="708" w:leftChars="337"/>
        <w:rPr>
          <w:rFonts w:hint="eastAsia" w:ascii="宋体" w:hAnsi="宋体" w:cs="黑体"/>
          <w:kern w:val="0"/>
          <w:szCs w:val="21"/>
          <w:lang w:val="zh-CN"/>
        </w:rPr>
      </w:pPr>
      <w:r>
        <w:rPr>
          <w:rFonts w:hint="eastAsia" w:ascii="宋体" w:hAnsi="宋体" w:cs="黑体"/>
          <w:kern w:val="0"/>
          <w:szCs w:val="21"/>
        </w:rPr>
        <w:t>6、</w:t>
      </w:r>
      <w:r>
        <w:rPr>
          <w:rFonts w:hint="eastAsia" w:ascii="宋体" w:hAnsi="宋体" w:cs="黑体"/>
          <w:kern w:val="0"/>
          <w:szCs w:val="21"/>
          <w:lang w:val="zh-CN"/>
        </w:rPr>
        <w:t>一个制造商对同一品牌同一型号的软件，仅能委托一个代理商参加投标。</w:t>
      </w:r>
    </w:p>
    <w:p>
      <w:pPr>
        <w:tabs>
          <w:tab w:val="left" w:pos="709"/>
        </w:tabs>
        <w:autoSpaceDE w:val="0"/>
        <w:autoSpaceDN w:val="0"/>
        <w:adjustRightInd w:val="0"/>
        <w:snapToGrid w:val="0"/>
        <w:spacing w:line="360" w:lineRule="exact"/>
        <w:ind w:left="708" w:leftChars="337"/>
        <w:rPr>
          <w:rFonts w:hint="eastAsia" w:ascii="宋体" w:hAnsi="宋体" w:cs="黑体"/>
          <w:kern w:val="0"/>
          <w:szCs w:val="21"/>
        </w:rPr>
      </w:pPr>
      <w:r>
        <w:rPr>
          <w:rFonts w:hint="eastAsia" w:ascii="宋体" w:hAnsi="宋体" w:cs="黑体"/>
          <w:kern w:val="0"/>
          <w:szCs w:val="21"/>
        </w:rPr>
        <w:t>7、</w:t>
      </w:r>
      <w:r>
        <w:rPr>
          <w:rFonts w:hint="eastAsia" w:ascii="宋体" w:hAnsi="宋体" w:cs="黑体"/>
          <w:kern w:val="0"/>
          <w:szCs w:val="21"/>
          <w:lang w:val="zh-CN"/>
        </w:rPr>
        <w:t>本项目不接受联合体。</w:t>
      </w:r>
    </w:p>
    <w:bookmarkEnd w:id="0"/>
    <w:bookmarkEnd w:id="10"/>
    <w:bookmarkEnd w:id="11"/>
    <w:bookmarkEnd w:id="12"/>
    <w:bookmarkEnd w:id="13"/>
    <w:bookmarkEnd w:id="14"/>
    <w:bookmarkEnd w:id="15"/>
    <w:bookmarkEnd w:id="16"/>
    <w:p>
      <w:pPr>
        <w:keepNext/>
        <w:keepLines/>
        <w:tabs>
          <w:tab w:val="left" w:pos="426"/>
        </w:tabs>
        <w:spacing w:line="360" w:lineRule="exact"/>
        <w:jc w:val="left"/>
        <w:outlineLvl w:val="2"/>
        <w:rPr>
          <w:rFonts w:ascii="宋体" w:hAnsi="宋体"/>
          <w:bCs/>
          <w:kern w:val="44"/>
          <w:szCs w:val="21"/>
        </w:rPr>
      </w:pPr>
      <w:bookmarkStart w:id="17" w:name="_Toc12959559"/>
      <w:r>
        <w:rPr>
          <w:rFonts w:hint="eastAsia" w:ascii="宋体" w:hAnsi="宋体"/>
          <w:bCs/>
          <w:kern w:val="44"/>
          <w:szCs w:val="21"/>
        </w:rPr>
        <w:t xml:space="preserve">五、  </w:t>
      </w:r>
      <w:r>
        <w:rPr>
          <w:rFonts w:ascii="宋体" w:hAnsi="宋体"/>
          <w:bCs/>
          <w:kern w:val="44"/>
          <w:szCs w:val="21"/>
        </w:rPr>
        <w:t>投标人须知</w:t>
      </w:r>
      <w:bookmarkEnd w:id="1"/>
      <w:bookmarkEnd w:id="2"/>
      <w:bookmarkEnd w:id="3"/>
      <w:bookmarkEnd w:id="4"/>
      <w:bookmarkEnd w:id="5"/>
      <w:bookmarkEnd w:id="6"/>
      <w:bookmarkEnd w:id="7"/>
      <w:bookmarkEnd w:id="8"/>
      <w:bookmarkEnd w:id="9"/>
      <w:bookmarkEnd w:id="17"/>
    </w:p>
    <w:p>
      <w:pPr>
        <w:keepNext/>
        <w:keepLines/>
        <w:tabs>
          <w:tab w:val="left" w:pos="426"/>
        </w:tabs>
        <w:spacing w:line="360" w:lineRule="atLeast"/>
        <w:jc w:val="center"/>
        <w:outlineLvl w:val="2"/>
        <w:rPr>
          <w:rFonts w:ascii="宋体" w:hAnsi="宋体"/>
          <w:bCs/>
          <w:kern w:val="44"/>
          <w:szCs w:val="21"/>
        </w:rPr>
      </w:pPr>
      <w:bookmarkStart w:id="18" w:name="_Toc197950682"/>
      <w:bookmarkStart w:id="19" w:name="_Toc197950803"/>
      <w:bookmarkStart w:id="20" w:name="_Toc197951588"/>
      <w:bookmarkStart w:id="21" w:name="_Toc197960493"/>
      <w:bookmarkStart w:id="22" w:name="_Toc197960545"/>
      <w:bookmarkStart w:id="23" w:name="_Toc197965597"/>
      <w:bookmarkStart w:id="24" w:name="_Toc197967118"/>
      <w:bookmarkStart w:id="25" w:name="_Toc197967266"/>
      <w:bookmarkStart w:id="26" w:name="_Toc12952459"/>
      <w:bookmarkStart w:id="27" w:name="_Toc12959560"/>
      <w:r>
        <w:rPr>
          <w:rFonts w:ascii="宋体" w:hAnsi="宋体"/>
          <w:bCs/>
          <w:kern w:val="44"/>
          <w:szCs w:val="21"/>
        </w:rPr>
        <w:t>投标人须知前附表</w:t>
      </w:r>
      <w:bookmarkEnd w:id="18"/>
      <w:bookmarkEnd w:id="19"/>
      <w:bookmarkEnd w:id="20"/>
      <w:bookmarkEnd w:id="21"/>
      <w:bookmarkEnd w:id="22"/>
      <w:bookmarkEnd w:id="23"/>
      <w:bookmarkEnd w:id="24"/>
      <w:bookmarkEnd w:id="25"/>
      <w:bookmarkEnd w:id="26"/>
      <w:bookmarkEnd w:id="27"/>
      <w:bookmarkStart w:id="28" w:name="_Toc12959566"/>
      <w:bookmarkStart w:id="29" w:name="_Toc441605620"/>
      <w:bookmarkStart w:id="30" w:name="_Toc197960498"/>
      <w:bookmarkStart w:id="31" w:name="_Toc197960550"/>
      <w:bookmarkStart w:id="32" w:name="_Toc197965613"/>
      <w:bookmarkStart w:id="33" w:name="_Toc197967129"/>
      <w:bookmarkStart w:id="34" w:name="_Toc197967277"/>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条款号</w:t>
            </w:r>
          </w:p>
        </w:tc>
        <w:tc>
          <w:tcPr>
            <w:tcW w:w="2515"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条 款 名 称</w:t>
            </w:r>
          </w:p>
        </w:tc>
        <w:tc>
          <w:tcPr>
            <w:tcW w:w="5675"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REF _Ref527101463 \r \h  \* MERGEFORMAT </w:instrText>
            </w:r>
            <w:r>
              <w:rPr>
                <w:rFonts w:hint="eastAsia" w:ascii="宋体" w:hAnsi="宋体" w:cs="宋体"/>
                <w:szCs w:val="21"/>
              </w:rPr>
              <w:fldChar w:fldCharType="separate"/>
            </w:r>
            <w:r>
              <w:rPr>
                <w:rFonts w:hint="eastAsia" w:ascii="宋体" w:hAnsi="宋体" w:cs="宋体"/>
                <w:kern w:val="0"/>
                <w:szCs w:val="21"/>
              </w:rPr>
              <w:t>1.7</w:t>
            </w:r>
            <w:r>
              <w:rPr>
                <w:rFonts w:hint="eastAsia" w:ascii="宋体" w:hAnsi="宋体" w:cs="宋体"/>
                <w:szCs w:val="21"/>
              </w:rPr>
              <w:fldChar w:fldCharType="end"/>
            </w:r>
          </w:p>
        </w:tc>
        <w:tc>
          <w:tcPr>
            <w:tcW w:w="2515" w:type="dxa"/>
            <w:noWrap w:val="0"/>
            <w:vAlign w:val="center"/>
          </w:tcPr>
          <w:p>
            <w:pPr>
              <w:autoSpaceDE w:val="0"/>
              <w:autoSpaceDN w:val="0"/>
              <w:adjustRightInd w:val="0"/>
              <w:snapToGrid w:val="0"/>
              <w:jc w:val="left"/>
              <w:rPr>
                <w:rFonts w:hint="eastAsia" w:ascii="宋体" w:hAnsi="宋体" w:cs="宋体"/>
                <w:kern w:val="0"/>
                <w:szCs w:val="21"/>
              </w:rPr>
            </w:pPr>
            <w:r>
              <w:rPr>
                <w:rFonts w:hint="eastAsia" w:ascii="宋体" w:hAnsi="宋体" w:cs="宋体"/>
                <w:kern w:val="0"/>
                <w:szCs w:val="21"/>
              </w:rPr>
              <w:t>分包</w:t>
            </w:r>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☑不允许</w:t>
            </w:r>
          </w:p>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□允  许：</w:t>
            </w:r>
          </w:p>
          <w:p>
            <w:pPr>
              <w:autoSpaceDE w:val="0"/>
              <w:autoSpaceDN w:val="0"/>
              <w:adjustRightInd w:val="0"/>
              <w:snapToGrid w:val="0"/>
              <w:ind w:left="311" w:leftChars="148"/>
              <w:rPr>
                <w:rFonts w:hint="eastAsia" w:ascii="宋体" w:hAnsi="宋体" w:cs="宋体"/>
                <w:kern w:val="0"/>
                <w:szCs w:val="21"/>
              </w:rPr>
            </w:pPr>
            <w:r>
              <w:rPr>
                <w:rFonts w:hint="eastAsia" w:ascii="宋体" w:hAnsi="宋体" w:cs="宋体"/>
                <w:kern w:val="0"/>
                <w:szCs w:val="21"/>
              </w:rPr>
              <w:t>分包内容要求：</w:t>
            </w:r>
          </w:p>
          <w:p>
            <w:pPr>
              <w:autoSpaceDE w:val="0"/>
              <w:autoSpaceDN w:val="0"/>
              <w:adjustRightInd w:val="0"/>
              <w:snapToGrid w:val="0"/>
              <w:ind w:left="311" w:leftChars="148"/>
              <w:rPr>
                <w:rFonts w:hint="eastAsia" w:ascii="宋体" w:hAnsi="宋体" w:cs="宋体"/>
                <w:kern w:val="0"/>
                <w:szCs w:val="21"/>
              </w:rPr>
            </w:pPr>
            <w:r>
              <w:rPr>
                <w:rFonts w:hint="eastAsia" w:ascii="宋体" w:hAnsi="宋体" w:cs="宋体"/>
                <w:kern w:val="0"/>
                <w:szCs w:val="21"/>
              </w:rPr>
              <w:t>分包金额要求：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REF _Ref527292580 \r \h  \* MERGEFORMAT </w:instrText>
            </w:r>
            <w:r>
              <w:rPr>
                <w:rFonts w:hint="eastAsia" w:ascii="宋体" w:hAnsi="宋体" w:cs="宋体"/>
                <w:szCs w:val="21"/>
              </w:rPr>
              <w:fldChar w:fldCharType="separate"/>
            </w:r>
            <w:r>
              <w:rPr>
                <w:rFonts w:hint="eastAsia" w:ascii="宋体" w:hAnsi="宋体" w:cs="宋体"/>
                <w:kern w:val="0"/>
                <w:szCs w:val="21"/>
              </w:rPr>
              <w:t>1.12.1</w:t>
            </w:r>
            <w:r>
              <w:rPr>
                <w:rFonts w:hint="eastAsia" w:ascii="宋体" w:hAnsi="宋体" w:cs="宋体"/>
                <w:szCs w:val="21"/>
              </w:rPr>
              <w:fldChar w:fldCharType="end"/>
            </w:r>
          </w:p>
        </w:tc>
        <w:tc>
          <w:tcPr>
            <w:tcW w:w="2515" w:type="dxa"/>
            <w:noWrap w:val="0"/>
            <w:vAlign w:val="center"/>
          </w:tcPr>
          <w:p>
            <w:pPr>
              <w:autoSpaceDE w:val="0"/>
              <w:autoSpaceDN w:val="0"/>
              <w:adjustRightInd w:val="0"/>
              <w:snapToGrid w:val="0"/>
              <w:jc w:val="left"/>
              <w:rPr>
                <w:rFonts w:hint="eastAsia" w:ascii="宋体" w:hAnsi="宋体" w:cs="宋体"/>
                <w:kern w:val="0"/>
                <w:szCs w:val="21"/>
              </w:rPr>
            </w:pPr>
            <w:r>
              <w:rPr>
                <w:rFonts w:hint="eastAsia" w:ascii="宋体" w:hAnsi="宋体" w:cs="宋体"/>
                <w:kern w:val="0"/>
                <w:szCs w:val="21"/>
              </w:rPr>
              <w:t>现场踏勘</w:t>
            </w:r>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☑不组织</w:t>
            </w:r>
          </w:p>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□组  织：</w:t>
            </w:r>
          </w:p>
          <w:p>
            <w:pPr>
              <w:autoSpaceDE w:val="0"/>
              <w:autoSpaceDN w:val="0"/>
              <w:adjustRightInd w:val="0"/>
              <w:snapToGrid w:val="0"/>
              <w:ind w:left="311" w:leftChars="148"/>
              <w:rPr>
                <w:rFonts w:hint="eastAsia" w:ascii="宋体" w:hAnsi="宋体" w:cs="宋体"/>
                <w:kern w:val="0"/>
                <w:szCs w:val="21"/>
              </w:rPr>
            </w:pPr>
            <w:r>
              <w:rPr>
                <w:rFonts w:hint="eastAsia" w:ascii="宋体" w:hAnsi="宋体" w:cs="宋体"/>
                <w:kern w:val="0"/>
                <w:szCs w:val="21"/>
              </w:rPr>
              <w:t>踏勘时间：</w:t>
            </w:r>
          </w:p>
          <w:p>
            <w:pPr>
              <w:autoSpaceDE w:val="0"/>
              <w:autoSpaceDN w:val="0"/>
              <w:adjustRightInd w:val="0"/>
              <w:snapToGrid w:val="0"/>
              <w:ind w:left="311" w:leftChars="148"/>
              <w:rPr>
                <w:rFonts w:hint="eastAsia" w:ascii="宋体" w:hAnsi="宋体" w:cs="宋体"/>
                <w:kern w:val="0"/>
                <w:szCs w:val="21"/>
              </w:rPr>
            </w:pPr>
            <w:r>
              <w:rPr>
                <w:rFonts w:hint="eastAsia" w:ascii="宋体" w:hAnsi="宋体" w:cs="宋体"/>
                <w:kern w:val="0"/>
                <w:szCs w:val="21"/>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REF _Ref527101604 \r \h  \* MERGEFORMAT </w:instrText>
            </w:r>
            <w:r>
              <w:rPr>
                <w:rFonts w:hint="eastAsia" w:ascii="宋体" w:hAnsi="宋体" w:cs="宋体"/>
                <w:szCs w:val="21"/>
              </w:rPr>
              <w:fldChar w:fldCharType="separate"/>
            </w:r>
            <w:r>
              <w:rPr>
                <w:rFonts w:hint="eastAsia" w:ascii="宋体" w:hAnsi="宋体" w:cs="宋体"/>
                <w:kern w:val="0"/>
                <w:szCs w:val="21"/>
              </w:rPr>
              <w:t>2.2.2</w:t>
            </w:r>
            <w:r>
              <w:rPr>
                <w:rFonts w:hint="eastAsia" w:ascii="宋体" w:hAnsi="宋体" w:cs="宋体"/>
                <w:szCs w:val="21"/>
              </w:rPr>
              <w:fldChar w:fldCharType="end"/>
            </w:r>
          </w:p>
        </w:tc>
        <w:tc>
          <w:tcPr>
            <w:tcW w:w="2515" w:type="dxa"/>
            <w:noWrap w:val="0"/>
            <w:vAlign w:val="center"/>
          </w:tcPr>
          <w:p>
            <w:pPr>
              <w:autoSpaceDE w:val="0"/>
              <w:autoSpaceDN w:val="0"/>
              <w:adjustRightInd w:val="0"/>
              <w:snapToGrid w:val="0"/>
              <w:jc w:val="left"/>
              <w:rPr>
                <w:rFonts w:hint="eastAsia" w:ascii="宋体" w:hAnsi="宋体" w:cs="宋体"/>
                <w:kern w:val="0"/>
                <w:szCs w:val="21"/>
              </w:rPr>
            </w:pPr>
            <w:r>
              <w:rPr>
                <w:rFonts w:hint="eastAsia" w:ascii="宋体" w:hAnsi="宋体" w:cs="宋体"/>
                <w:kern w:val="0"/>
                <w:szCs w:val="21"/>
              </w:rPr>
              <w:t>供应商询问或要求澄清的截止时间</w:t>
            </w:r>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提交首次响应文件截止之日3个工作日前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REF _Ref527101721 \r \h  \* MERGEFORMAT </w:instrText>
            </w:r>
            <w:r>
              <w:rPr>
                <w:rFonts w:hint="eastAsia" w:ascii="宋体" w:hAnsi="宋体" w:cs="宋体"/>
                <w:szCs w:val="21"/>
              </w:rPr>
              <w:fldChar w:fldCharType="separate"/>
            </w:r>
            <w:r>
              <w:rPr>
                <w:rFonts w:hint="eastAsia" w:ascii="宋体" w:hAnsi="宋体" w:cs="宋体"/>
                <w:kern w:val="0"/>
                <w:szCs w:val="21"/>
              </w:rPr>
              <w:t>2.3</w:t>
            </w:r>
            <w:r>
              <w:rPr>
                <w:rFonts w:hint="eastAsia" w:ascii="宋体" w:hAnsi="宋体" w:cs="宋体"/>
                <w:szCs w:val="21"/>
              </w:rPr>
              <w:fldChar w:fldCharType="end"/>
            </w:r>
          </w:p>
        </w:tc>
        <w:tc>
          <w:tcPr>
            <w:tcW w:w="2515" w:type="dxa"/>
            <w:noWrap w:val="0"/>
            <w:vAlign w:val="center"/>
          </w:tcPr>
          <w:p>
            <w:pPr>
              <w:autoSpaceDE w:val="0"/>
              <w:autoSpaceDN w:val="0"/>
              <w:adjustRightInd w:val="0"/>
              <w:snapToGrid w:val="0"/>
              <w:outlineLvl w:val="0"/>
              <w:rPr>
                <w:rFonts w:hint="eastAsia" w:ascii="宋体" w:hAnsi="宋体" w:cs="宋体"/>
                <w:kern w:val="0"/>
                <w:szCs w:val="21"/>
              </w:rPr>
            </w:pPr>
            <w:bookmarkStart w:id="35" w:name="_Toc11744960"/>
            <w:bookmarkStart w:id="36" w:name="_Toc14340437"/>
            <w:r>
              <w:rPr>
                <w:rFonts w:hint="eastAsia" w:ascii="宋体" w:hAnsi="宋体" w:cs="宋体"/>
                <w:kern w:val="0"/>
                <w:szCs w:val="21"/>
              </w:rPr>
              <w:t>质疑函送达方式</w:t>
            </w:r>
            <w:bookmarkEnd w:id="35"/>
            <w:bookmarkEnd w:id="36"/>
          </w:p>
        </w:tc>
        <w:tc>
          <w:tcPr>
            <w:tcW w:w="5675" w:type="dxa"/>
            <w:noWrap w:val="0"/>
            <w:vAlign w:val="center"/>
          </w:tcPr>
          <w:p>
            <w:pPr>
              <w:autoSpaceDE w:val="0"/>
              <w:autoSpaceDN w:val="0"/>
              <w:adjustRightInd w:val="0"/>
              <w:snapToGrid w:val="0"/>
              <w:ind w:left="27" w:leftChars="13"/>
              <w:rPr>
                <w:rFonts w:hint="eastAsia" w:ascii="宋体" w:hAnsi="宋体" w:cs="宋体"/>
                <w:kern w:val="0"/>
                <w:szCs w:val="21"/>
              </w:rPr>
            </w:pPr>
            <w:r>
              <w:rPr>
                <w:rFonts w:hint="eastAsia" w:ascii="宋体" w:hAnsi="宋体" w:cs="宋体"/>
                <w:kern w:val="0"/>
                <w:szCs w:val="21"/>
              </w:rPr>
              <w:t>质疑提出人应将质疑函原件委派专人或通过邮寄方式</w:t>
            </w:r>
            <w:r>
              <w:rPr>
                <w:rFonts w:hint="eastAsia" w:ascii="宋体" w:hAnsi="宋体" w:cs="宋体"/>
                <w:szCs w:val="21"/>
              </w:rPr>
              <w:t>在知道或者应知其权益受到损害之日起7个工作日内</w:t>
            </w:r>
            <w:r>
              <w:rPr>
                <w:rFonts w:hint="eastAsia" w:ascii="宋体" w:hAnsi="宋体" w:cs="宋体"/>
                <w:kern w:val="0"/>
                <w:szCs w:val="21"/>
              </w:rPr>
              <w:t>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REF _Ref527102185 \r \h  \* MERGEFORMAT </w:instrText>
            </w:r>
            <w:r>
              <w:rPr>
                <w:rFonts w:hint="eastAsia" w:ascii="宋体" w:hAnsi="宋体" w:cs="宋体"/>
                <w:szCs w:val="21"/>
              </w:rPr>
              <w:fldChar w:fldCharType="separate"/>
            </w:r>
            <w:r>
              <w:rPr>
                <w:rFonts w:hint="eastAsia" w:ascii="宋体" w:hAnsi="宋体" w:cs="宋体"/>
                <w:kern w:val="0"/>
                <w:szCs w:val="21"/>
              </w:rPr>
              <w:t>3.6.1</w:t>
            </w:r>
            <w:r>
              <w:rPr>
                <w:rFonts w:hint="eastAsia" w:ascii="宋体" w:hAnsi="宋体" w:cs="宋体"/>
                <w:szCs w:val="21"/>
              </w:rPr>
              <w:fldChar w:fldCharType="end"/>
            </w:r>
          </w:p>
        </w:tc>
        <w:tc>
          <w:tcPr>
            <w:tcW w:w="2515" w:type="dxa"/>
            <w:noWrap w:val="0"/>
            <w:vAlign w:val="center"/>
          </w:tcPr>
          <w:p>
            <w:pPr>
              <w:autoSpaceDE w:val="0"/>
              <w:autoSpaceDN w:val="0"/>
              <w:adjustRightInd w:val="0"/>
              <w:snapToGrid w:val="0"/>
              <w:outlineLvl w:val="0"/>
              <w:rPr>
                <w:rFonts w:hint="eastAsia" w:ascii="宋体" w:hAnsi="宋体" w:cs="宋体"/>
                <w:kern w:val="0"/>
                <w:szCs w:val="21"/>
              </w:rPr>
            </w:pPr>
            <w:bookmarkStart w:id="37" w:name="_Toc14340438"/>
            <w:bookmarkStart w:id="38" w:name="_Toc11744961"/>
            <w:r>
              <w:rPr>
                <w:rFonts w:hint="eastAsia" w:ascii="宋体" w:hAnsi="宋体" w:cs="宋体"/>
                <w:kern w:val="0"/>
                <w:szCs w:val="21"/>
              </w:rPr>
              <w:t>响应文件有效期</w:t>
            </w:r>
            <w:bookmarkEnd w:id="37"/>
            <w:bookmarkEnd w:id="38"/>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REF _Ref419361076 \r \h  \* MERGEFORMAT </w:instrText>
            </w:r>
            <w:r>
              <w:rPr>
                <w:rFonts w:hint="eastAsia" w:ascii="宋体" w:hAnsi="宋体" w:cs="宋体"/>
                <w:szCs w:val="21"/>
              </w:rPr>
              <w:fldChar w:fldCharType="separate"/>
            </w:r>
            <w:r>
              <w:rPr>
                <w:rFonts w:hint="eastAsia" w:ascii="宋体" w:hAnsi="宋体" w:cs="宋体"/>
                <w:kern w:val="0"/>
                <w:szCs w:val="21"/>
              </w:rPr>
              <w:t>3.7.1</w:t>
            </w:r>
            <w:r>
              <w:rPr>
                <w:rFonts w:hint="eastAsia" w:ascii="宋体" w:hAnsi="宋体" w:cs="宋体"/>
                <w:szCs w:val="21"/>
              </w:rPr>
              <w:fldChar w:fldCharType="end"/>
            </w:r>
          </w:p>
        </w:tc>
        <w:tc>
          <w:tcPr>
            <w:tcW w:w="2515" w:type="dxa"/>
            <w:noWrap w:val="0"/>
            <w:vAlign w:val="center"/>
          </w:tcPr>
          <w:p>
            <w:pPr>
              <w:autoSpaceDE w:val="0"/>
              <w:autoSpaceDN w:val="0"/>
              <w:adjustRightInd w:val="0"/>
              <w:snapToGrid w:val="0"/>
              <w:outlineLvl w:val="0"/>
              <w:rPr>
                <w:rFonts w:hint="eastAsia" w:ascii="宋体" w:hAnsi="宋体" w:cs="宋体"/>
                <w:kern w:val="0"/>
                <w:szCs w:val="21"/>
              </w:rPr>
            </w:pPr>
            <w:bookmarkStart w:id="39" w:name="_Toc14340439"/>
            <w:bookmarkStart w:id="40" w:name="_Toc11744962"/>
            <w:r>
              <w:rPr>
                <w:rFonts w:hint="eastAsia" w:ascii="宋体" w:hAnsi="宋体" w:cs="宋体"/>
                <w:kern w:val="0"/>
                <w:szCs w:val="21"/>
              </w:rPr>
              <w:t>磋商保证金</w:t>
            </w:r>
            <w:bookmarkEnd w:id="39"/>
            <w:bookmarkEnd w:id="40"/>
          </w:p>
        </w:tc>
        <w:tc>
          <w:tcPr>
            <w:tcW w:w="5675" w:type="dxa"/>
            <w:noWrap w:val="0"/>
            <w:vAlign w:val="center"/>
          </w:tcPr>
          <w:p>
            <w:pPr>
              <w:adjustRightInd w:val="0"/>
              <w:snapToGrid w:val="0"/>
              <w:rPr>
                <w:rFonts w:hint="eastAsia" w:ascii="宋体" w:hAnsi="宋体" w:cs="宋体"/>
                <w:kern w:val="0"/>
                <w:szCs w:val="21"/>
              </w:rPr>
            </w:pPr>
            <w:r>
              <w:rPr>
                <w:rFonts w:hint="eastAsia" w:ascii="宋体" w:hAnsi="宋体" w:cs="宋体"/>
                <w:kern w:val="0"/>
                <w:szCs w:val="21"/>
              </w:rPr>
              <w:t>投标保证金的金额：人民币19000元</w:t>
            </w:r>
          </w:p>
          <w:p>
            <w:pPr>
              <w:adjustRightInd w:val="0"/>
              <w:snapToGrid w:val="0"/>
              <w:rPr>
                <w:rFonts w:hint="eastAsia" w:ascii="宋体" w:hAnsi="宋体" w:cs="宋体"/>
                <w:kern w:val="0"/>
                <w:szCs w:val="21"/>
              </w:rPr>
            </w:pPr>
            <w:r>
              <w:rPr>
                <w:rFonts w:hint="eastAsia" w:ascii="宋体" w:hAnsi="宋体" w:cs="宋体"/>
                <w:kern w:val="0"/>
                <w:szCs w:val="21"/>
              </w:rPr>
              <w:t>形式：转账或电汇</w:t>
            </w:r>
          </w:p>
          <w:p>
            <w:pPr>
              <w:adjustRightInd w:val="0"/>
              <w:snapToGrid w:val="0"/>
              <w:rPr>
                <w:rFonts w:hint="eastAsia" w:ascii="宋体" w:hAnsi="宋体" w:cs="宋体"/>
                <w:kern w:val="0"/>
                <w:szCs w:val="21"/>
              </w:rPr>
            </w:pPr>
            <w:r>
              <w:rPr>
                <w:rFonts w:hint="eastAsia" w:ascii="宋体" w:hAnsi="宋体" w:cs="宋体"/>
                <w:kern w:val="0"/>
                <w:szCs w:val="21"/>
              </w:rPr>
              <w:t>投标人应在递交响应文件截止时间之前，将磋商保证金由投标人单位的基本账户一次性转入并到达采购人指定账户，否则视为投标保证金无效。采购人指定的开户银行及账号如下：</w:t>
            </w:r>
          </w:p>
          <w:p>
            <w:pPr>
              <w:adjustRightInd w:val="0"/>
              <w:snapToGrid w:val="0"/>
              <w:rPr>
                <w:rFonts w:hint="eastAsia" w:ascii="宋体" w:hAnsi="宋体" w:cs="宋体"/>
                <w:kern w:val="0"/>
                <w:szCs w:val="21"/>
              </w:rPr>
            </w:pPr>
            <w:r>
              <w:rPr>
                <w:rFonts w:hint="eastAsia" w:ascii="宋体" w:hAnsi="宋体" w:cs="宋体"/>
                <w:kern w:val="0"/>
                <w:szCs w:val="21"/>
              </w:rPr>
              <w:t>开户银行：中国工商银行长春经济技术开发区支行</w:t>
            </w:r>
          </w:p>
          <w:p>
            <w:pPr>
              <w:adjustRightInd w:val="0"/>
              <w:snapToGrid w:val="0"/>
              <w:rPr>
                <w:rFonts w:hint="eastAsia" w:ascii="宋体" w:hAnsi="宋体" w:cs="宋体"/>
                <w:kern w:val="0"/>
                <w:szCs w:val="21"/>
              </w:rPr>
            </w:pPr>
            <w:r>
              <w:rPr>
                <w:rFonts w:hint="eastAsia" w:ascii="宋体" w:hAnsi="宋体" w:cs="宋体"/>
                <w:kern w:val="0"/>
                <w:szCs w:val="21"/>
              </w:rPr>
              <w:t>账户名称：吉林省高速公路集团有限公司</w:t>
            </w:r>
          </w:p>
          <w:p>
            <w:pPr>
              <w:adjustRightInd w:val="0"/>
              <w:snapToGrid w:val="0"/>
              <w:rPr>
                <w:rFonts w:hint="eastAsia" w:ascii="宋体" w:hAnsi="宋体" w:cs="宋体"/>
                <w:kern w:val="0"/>
                <w:szCs w:val="21"/>
              </w:rPr>
            </w:pPr>
            <w:r>
              <w:rPr>
                <w:rFonts w:hint="eastAsia" w:ascii="宋体" w:hAnsi="宋体" w:cs="宋体"/>
                <w:kern w:val="0"/>
                <w:szCs w:val="21"/>
              </w:rPr>
              <w:t>账号：4200223219200131189</w:t>
            </w:r>
          </w:p>
          <w:p>
            <w:pPr>
              <w:adjustRightInd w:val="0"/>
              <w:snapToGrid w:val="0"/>
              <w:rPr>
                <w:rFonts w:hint="eastAsia" w:ascii="宋体" w:hAnsi="宋体" w:cs="宋体"/>
                <w:kern w:val="0"/>
                <w:szCs w:val="21"/>
              </w:rPr>
            </w:pPr>
            <w:r>
              <w:rPr>
                <w:rFonts w:hint="eastAsia" w:ascii="宋体" w:hAnsi="宋体" w:cs="宋体"/>
                <w:kern w:val="0"/>
                <w:szCs w:val="21"/>
              </w:rPr>
              <w:t>咨询电话：0431-85254019</w:t>
            </w:r>
          </w:p>
          <w:p>
            <w:pPr>
              <w:adjustRightInd w:val="0"/>
              <w:snapToGrid w:val="0"/>
              <w:rPr>
                <w:rFonts w:hint="eastAsia" w:ascii="宋体" w:hAnsi="宋体" w:cs="宋体"/>
                <w:kern w:val="0"/>
                <w:szCs w:val="21"/>
              </w:rPr>
            </w:pPr>
            <w:r>
              <w:rPr>
                <w:rFonts w:hint="eastAsia" w:ascii="宋体" w:hAnsi="宋体" w:cs="宋体"/>
                <w:kern w:val="0"/>
                <w:szCs w:val="21"/>
              </w:rPr>
              <w:t>联 系 人：单俊植</w:t>
            </w:r>
          </w:p>
          <w:p>
            <w:pPr>
              <w:autoSpaceDE w:val="0"/>
              <w:autoSpaceDN w:val="0"/>
              <w:adjustRightInd w:val="0"/>
              <w:snapToGrid w:val="0"/>
              <w:rPr>
                <w:rFonts w:hint="eastAsia" w:ascii="宋体" w:hAnsi="宋体" w:cs="宋体"/>
                <w:b/>
                <w:kern w:val="0"/>
                <w:szCs w:val="21"/>
              </w:rPr>
            </w:pPr>
            <w:r>
              <w:rPr>
                <w:rFonts w:hint="eastAsia" w:ascii="宋体" w:hAnsi="宋体" w:cs="宋体"/>
                <w:szCs w:val="21"/>
              </w:rPr>
              <w:t>业务回单备注一栏可填写：</w:t>
            </w:r>
            <w:r>
              <w:rPr>
                <w:rFonts w:hint="eastAsia" w:ascii="宋体" w:hAnsi="宋体" w:cs="宋体"/>
                <w:kern w:val="0"/>
                <w:szCs w:val="21"/>
              </w:rPr>
              <w:t>人力资源软件项目磋</w:t>
            </w:r>
            <w:r>
              <w:rPr>
                <w:rFonts w:hint="eastAsia" w:ascii="宋体" w:hAnsi="宋体" w:cs="宋体"/>
                <w:szCs w:val="21"/>
              </w:rPr>
              <w:t>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3.8.3</w:t>
            </w:r>
          </w:p>
        </w:tc>
        <w:tc>
          <w:tcPr>
            <w:tcW w:w="251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响应文件副本份数</w:t>
            </w:r>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正本1份，副本3份。电子版U盘2份（U盘内应包含响应文件全部内容的Word及pdf格式各1份，电子U盘需单独密封，密封要求与响应文件密封要求相同）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3.8.4</w:t>
            </w:r>
          </w:p>
        </w:tc>
        <w:tc>
          <w:tcPr>
            <w:tcW w:w="251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装订要求</w:t>
            </w:r>
          </w:p>
        </w:tc>
        <w:tc>
          <w:tcPr>
            <w:tcW w:w="5675" w:type="dxa"/>
            <w:noWrap w:val="0"/>
            <w:vAlign w:val="center"/>
          </w:tcPr>
          <w:p>
            <w:pPr>
              <w:autoSpaceDE w:val="0"/>
              <w:autoSpaceDN w:val="0"/>
              <w:adjustRightInd w:val="0"/>
              <w:snapToGrid w:val="0"/>
              <w:rPr>
                <w:rFonts w:hint="eastAsia" w:ascii="宋体" w:hAnsi="宋体" w:cs="宋体"/>
                <w:i/>
                <w:kern w:val="0"/>
                <w:szCs w:val="21"/>
              </w:rPr>
            </w:pPr>
            <w:r>
              <w:rPr>
                <w:rFonts w:hint="eastAsia" w:ascii="宋体" w:hAnsi="宋体" w:cs="宋体"/>
                <w:kern w:val="0"/>
                <w:szCs w:val="21"/>
              </w:rPr>
              <w:t>应装订成册，不得采用活页方式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4.1.2</w:t>
            </w:r>
          </w:p>
        </w:tc>
        <w:tc>
          <w:tcPr>
            <w:tcW w:w="251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封套上写明</w:t>
            </w:r>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采购人名称：</w:t>
            </w:r>
          </w:p>
          <w:p>
            <w:pPr>
              <w:autoSpaceDE w:val="0"/>
              <w:autoSpaceDN w:val="0"/>
              <w:adjustRightInd w:val="0"/>
              <w:snapToGrid w:val="0"/>
              <w:rPr>
                <w:rFonts w:hint="eastAsia" w:ascii="宋体" w:hAnsi="宋体" w:cs="宋体"/>
                <w:b/>
                <w:kern w:val="0"/>
                <w:szCs w:val="21"/>
              </w:rPr>
            </w:pPr>
            <w:r>
              <w:rPr>
                <w:rFonts w:hint="eastAsia" w:ascii="宋体" w:hAnsi="宋体" w:cs="宋体"/>
                <w:kern w:val="0"/>
                <w:szCs w:val="21"/>
              </w:rPr>
              <w:t>项目编号：</w:t>
            </w:r>
          </w:p>
          <w:p>
            <w:pPr>
              <w:autoSpaceDE w:val="0"/>
              <w:autoSpaceDN w:val="0"/>
              <w:adjustRightInd w:val="0"/>
              <w:snapToGrid w:val="0"/>
              <w:rPr>
                <w:rFonts w:hint="eastAsia"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（项目名称）响应文件在    年 月 日 时 分前不得开启</w:t>
            </w:r>
          </w:p>
          <w:p>
            <w:pPr>
              <w:autoSpaceDE w:val="0"/>
              <w:autoSpaceDN w:val="0"/>
              <w:adjustRightInd w:val="0"/>
              <w:snapToGrid w:val="0"/>
              <w:rPr>
                <w:rFonts w:hint="eastAsia" w:ascii="宋体" w:hAnsi="宋体" w:cs="宋体"/>
                <w:b/>
                <w:kern w:val="0"/>
                <w:szCs w:val="21"/>
              </w:rPr>
            </w:pPr>
            <w:r>
              <w:rPr>
                <w:rFonts w:hint="eastAsia" w:ascii="宋体" w:hAnsi="宋体" w:cs="宋体"/>
                <w:kern w:val="0"/>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REF _Ref527102573 \r \h  \* MERGEFORMAT </w:instrText>
            </w:r>
            <w:r>
              <w:rPr>
                <w:rFonts w:hint="eastAsia" w:ascii="宋体" w:hAnsi="宋体" w:cs="宋体"/>
                <w:szCs w:val="21"/>
              </w:rPr>
              <w:fldChar w:fldCharType="separate"/>
            </w:r>
            <w:r>
              <w:rPr>
                <w:rFonts w:hint="eastAsia" w:ascii="宋体" w:hAnsi="宋体" w:cs="宋体"/>
                <w:kern w:val="0"/>
                <w:szCs w:val="21"/>
              </w:rPr>
              <w:t>5.1.1</w:t>
            </w:r>
            <w:r>
              <w:rPr>
                <w:rFonts w:hint="eastAsia" w:ascii="宋体" w:hAnsi="宋体" w:cs="宋体"/>
                <w:szCs w:val="21"/>
              </w:rPr>
              <w:fldChar w:fldCharType="end"/>
            </w:r>
          </w:p>
        </w:tc>
        <w:tc>
          <w:tcPr>
            <w:tcW w:w="251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磋商小组成员</w:t>
            </w:r>
          </w:p>
        </w:tc>
        <w:tc>
          <w:tcPr>
            <w:tcW w:w="5675" w:type="dxa"/>
            <w:noWrap w:val="0"/>
            <w:vAlign w:val="center"/>
          </w:tcPr>
          <w:p>
            <w:pPr>
              <w:autoSpaceDE w:val="0"/>
              <w:autoSpaceDN w:val="0"/>
              <w:adjustRightInd w:val="0"/>
              <w:snapToGrid w:val="0"/>
              <w:ind w:left="27" w:leftChars="13"/>
              <w:rPr>
                <w:rFonts w:hint="eastAsia" w:ascii="宋体" w:hAnsi="宋体" w:cs="宋体"/>
                <w:kern w:val="0"/>
                <w:szCs w:val="21"/>
              </w:rPr>
            </w:pPr>
            <w:r>
              <w:rPr>
                <w:rFonts w:hint="eastAsia" w:ascii="宋体" w:hAnsi="宋体" w:cs="宋体"/>
                <w:kern w:val="0"/>
                <w:szCs w:val="21"/>
              </w:rPr>
              <w:t xml:space="preserve">采购人代表：1 人 </w:t>
            </w:r>
          </w:p>
          <w:p>
            <w:pPr>
              <w:autoSpaceDE w:val="0"/>
              <w:autoSpaceDN w:val="0"/>
              <w:adjustRightInd w:val="0"/>
              <w:snapToGrid w:val="0"/>
              <w:rPr>
                <w:rFonts w:hint="eastAsia" w:ascii="宋体" w:hAnsi="宋体" w:cs="宋体"/>
                <w:b/>
                <w:kern w:val="0"/>
                <w:szCs w:val="21"/>
              </w:rPr>
            </w:pPr>
            <w:r>
              <w:rPr>
                <w:rFonts w:hint="eastAsia" w:ascii="宋体" w:hAnsi="宋体" w:cs="宋体"/>
                <w:kern w:val="0"/>
                <w:szCs w:val="21"/>
              </w:rPr>
              <w:t>从专家库抽取的评审专家：2人。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REF _Ref527102841 \r \h  \* MERGEFORMAT </w:instrText>
            </w:r>
            <w:r>
              <w:rPr>
                <w:rFonts w:hint="eastAsia" w:ascii="宋体" w:hAnsi="宋体" w:cs="宋体"/>
                <w:szCs w:val="21"/>
              </w:rPr>
              <w:fldChar w:fldCharType="separate"/>
            </w:r>
            <w:r>
              <w:rPr>
                <w:rFonts w:hint="eastAsia" w:ascii="宋体" w:hAnsi="宋体" w:cs="宋体"/>
                <w:kern w:val="0"/>
                <w:szCs w:val="21"/>
              </w:rPr>
              <w:t>6.1</w:t>
            </w:r>
            <w:r>
              <w:rPr>
                <w:rFonts w:hint="eastAsia" w:ascii="宋体" w:hAnsi="宋体" w:cs="宋体"/>
                <w:szCs w:val="21"/>
              </w:rPr>
              <w:fldChar w:fldCharType="end"/>
            </w:r>
          </w:p>
        </w:tc>
        <w:tc>
          <w:tcPr>
            <w:tcW w:w="251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确定成交供应商方式</w:t>
            </w:r>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☑采购人</w:t>
            </w:r>
          </w:p>
          <w:p>
            <w:pPr>
              <w:autoSpaceDE w:val="0"/>
              <w:autoSpaceDN w:val="0"/>
              <w:adjustRightInd w:val="0"/>
              <w:snapToGrid w:val="0"/>
              <w:rPr>
                <w:rFonts w:hint="eastAsia" w:ascii="宋体" w:hAnsi="宋体" w:cs="宋体"/>
                <w:b/>
                <w:kern w:val="0"/>
                <w:szCs w:val="21"/>
              </w:rPr>
            </w:pPr>
            <w:r>
              <w:rPr>
                <w:rFonts w:hint="eastAsia" w:ascii="宋体" w:hAnsi="宋体" w:cs="宋体"/>
                <w:kern w:val="0"/>
                <w:szCs w:val="21"/>
              </w:rPr>
              <w:t>□采购人授权磋商小组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REF _Ref421009348 \r \h  \* MERGEFORMAT </w:instrText>
            </w:r>
            <w:r>
              <w:rPr>
                <w:rFonts w:hint="eastAsia" w:ascii="宋体" w:hAnsi="宋体" w:cs="宋体"/>
                <w:szCs w:val="21"/>
              </w:rPr>
              <w:fldChar w:fldCharType="separate"/>
            </w:r>
            <w:r>
              <w:rPr>
                <w:rFonts w:hint="eastAsia" w:ascii="宋体" w:hAnsi="宋体" w:cs="宋体"/>
                <w:kern w:val="0"/>
                <w:szCs w:val="21"/>
              </w:rPr>
              <w:t>6.4.1</w:t>
            </w:r>
            <w:r>
              <w:rPr>
                <w:rFonts w:hint="eastAsia" w:ascii="宋体" w:hAnsi="宋体" w:cs="宋体"/>
                <w:szCs w:val="21"/>
              </w:rPr>
              <w:fldChar w:fldCharType="end"/>
            </w:r>
          </w:p>
        </w:tc>
        <w:tc>
          <w:tcPr>
            <w:tcW w:w="2515" w:type="dxa"/>
            <w:noWrap w:val="0"/>
            <w:vAlign w:val="center"/>
          </w:tcPr>
          <w:p>
            <w:pPr>
              <w:autoSpaceDE w:val="0"/>
              <w:autoSpaceDN w:val="0"/>
              <w:adjustRightInd w:val="0"/>
              <w:snapToGrid w:val="0"/>
              <w:outlineLvl w:val="0"/>
              <w:rPr>
                <w:rFonts w:hint="eastAsia" w:ascii="宋体" w:hAnsi="宋体" w:cs="宋体"/>
                <w:kern w:val="0"/>
                <w:szCs w:val="21"/>
              </w:rPr>
            </w:pPr>
            <w:bookmarkStart w:id="41" w:name="_Toc14340440"/>
            <w:bookmarkStart w:id="42" w:name="_Toc11744963"/>
            <w:r>
              <w:rPr>
                <w:rFonts w:hint="eastAsia" w:ascii="宋体" w:hAnsi="宋体" w:cs="宋体"/>
                <w:kern w:val="0"/>
                <w:szCs w:val="21"/>
              </w:rPr>
              <w:t>履约保证金</w:t>
            </w:r>
            <w:bookmarkEnd w:id="41"/>
            <w:bookmarkEnd w:id="42"/>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履约保证金的形式：银行保函或现金、支票形式。</w:t>
            </w:r>
          </w:p>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履约保证金为签约合同价的10%。</w:t>
            </w:r>
          </w:p>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注意：（1）采用现金、支票形式时，应有中标人的基本账户汇入发包人指定账户。</w:t>
            </w:r>
          </w:p>
          <w:p>
            <w:pPr>
              <w:autoSpaceDE w:val="0"/>
              <w:autoSpaceDN w:val="0"/>
              <w:adjustRightInd w:val="0"/>
              <w:snapToGrid w:val="0"/>
              <w:rPr>
                <w:rFonts w:hint="eastAsia" w:ascii="宋体" w:hAnsi="宋体" w:cs="宋体"/>
                <w:b/>
                <w:kern w:val="0"/>
                <w:szCs w:val="21"/>
              </w:rPr>
            </w:pPr>
            <w:r>
              <w:rPr>
                <w:rFonts w:hint="eastAsia" w:ascii="宋体" w:hAnsi="宋体" w:cs="宋体"/>
                <w:kern w:val="0"/>
                <w:szCs w:val="21"/>
              </w:rPr>
              <w:t>（2）采用银行保函时，出具保函的银行级别：应由“工商银行、农业银行、中国银行、建设银行、交通银行”五大国有商业银行之一或全国性股份制商业银行开具，银行应为地市级分、支行或以上级别，所需费用由中标人承担，中标人应保证银行保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REF _Ref527103019 \r \h  \* MERGEFORMAT </w:instrText>
            </w:r>
            <w:r>
              <w:rPr>
                <w:rFonts w:hint="eastAsia" w:ascii="宋体" w:hAnsi="宋体" w:cs="宋体"/>
                <w:szCs w:val="21"/>
              </w:rPr>
              <w:fldChar w:fldCharType="separate"/>
            </w:r>
            <w:r>
              <w:rPr>
                <w:rFonts w:hint="eastAsia" w:ascii="宋体" w:hAnsi="宋体" w:cs="宋体"/>
                <w:szCs w:val="21"/>
              </w:rPr>
              <w:t>9</w:t>
            </w:r>
            <w:r>
              <w:rPr>
                <w:rFonts w:hint="eastAsia" w:ascii="宋体" w:hAnsi="宋体" w:cs="宋体"/>
                <w:szCs w:val="21"/>
              </w:rPr>
              <w:fldChar w:fldCharType="end"/>
            </w:r>
          </w:p>
        </w:tc>
        <w:tc>
          <w:tcPr>
            <w:tcW w:w="8190" w:type="dxa"/>
            <w:gridSpan w:val="2"/>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（1）</w:t>
            </w:r>
          </w:p>
        </w:tc>
        <w:tc>
          <w:tcPr>
            <w:tcW w:w="8190" w:type="dxa"/>
            <w:gridSpan w:val="2"/>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成交供应商应在收到成交通知书后五个工作日内向采购代理机构交纳代理服务费。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251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代理服务费计算</w:t>
            </w:r>
          </w:p>
        </w:tc>
        <w:tc>
          <w:tcPr>
            <w:tcW w:w="5675" w:type="dxa"/>
            <w:noWrap w:val="0"/>
            <w:vAlign w:val="center"/>
          </w:tcPr>
          <w:p>
            <w:pPr>
              <w:widowControl/>
              <w:adjustRightInd w:val="0"/>
              <w:snapToGrid w:val="0"/>
              <w:jc w:val="left"/>
              <w:rPr>
                <w:rFonts w:hint="eastAsia" w:ascii="宋体" w:hAnsi="宋体" w:cs="宋体"/>
                <w:bCs/>
                <w:kern w:val="15"/>
                <w:szCs w:val="21"/>
              </w:rPr>
            </w:pPr>
            <w:r>
              <w:rPr>
                <w:rFonts w:hint="eastAsia" w:ascii="宋体" w:hAnsi="宋体" w:cs="宋体"/>
                <w:bCs/>
                <w:kern w:val="15"/>
                <w:szCs w:val="21"/>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pPr>
              <w:adjustRightInd w:val="0"/>
              <w:snapToGrid w:val="0"/>
              <w:jc w:val="center"/>
              <w:rPr>
                <w:rFonts w:hint="eastAsia" w:ascii="宋体" w:hAnsi="宋体" w:cs="宋体"/>
                <w:szCs w:val="21"/>
              </w:rPr>
            </w:pPr>
            <w:r>
              <w:rPr>
                <w:rFonts w:hint="eastAsia" w:ascii="宋体" w:hAnsi="宋体" w:cs="宋体"/>
                <w:szCs w:val="21"/>
              </w:rPr>
              <w:t>招标代理服务收费折扣系数表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02"/>
              <w:gridCol w:w="916"/>
              <w:gridCol w:w="982"/>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6"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基准代理费</w:t>
                  </w:r>
                </w:p>
              </w:tc>
              <w:tc>
                <w:tcPr>
                  <w:tcW w:w="110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2万以下</w:t>
                  </w:r>
                </w:p>
              </w:tc>
              <w:tc>
                <w:tcPr>
                  <w:tcW w:w="916"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2-5万</w:t>
                  </w:r>
                </w:p>
              </w:tc>
              <w:tc>
                <w:tcPr>
                  <w:tcW w:w="98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5-10万</w:t>
                  </w:r>
                </w:p>
              </w:tc>
              <w:tc>
                <w:tcPr>
                  <w:tcW w:w="1123"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10万以上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56" w:type="dxa"/>
                  <w:noWrap w:val="0"/>
                  <w:vAlign w:val="center"/>
                </w:tcPr>
                <w:p>
                  <w:pPr>
                    <w:pStyle w:val="116"/>
                    <w:adjustRightInd w:val="0"/>
                    <w:snapToGrid w:val="0"/>
                    <w:ind w:firstLine="0" w:firstLineChars="0"/>
                    <w:jc w:val="center"/>
                    <w:rPr>
                      <w:rFonts w:hint="eastAsia" w:ascii="宋体" w:hAnsi="宋体" w:eastAsia="宋体" w:cs="宋体"/>
                      <w:szCs w:val="21"/>
                    </w:rPr>
                  </w:pPr>
                  <w:r>
                    <w:rPr>
                      <w:rFonts w:hint="eastAsia" w:ascii="宋体" w:hAnsi="宋体" w:eastAsia="宋体" w:cs="宋体"/>
                      <w:szCs w:val="21"/>
                    </w:rPr>
                    <w:t>折扣系数</w:t>
                  </w:r>
                </w:p>
              </w:tc>
              <w:tc>
                <w:tcPr>
                  <w:tcW w:w="1102" w:type="dxa"/>
                  <w:noWrap w:val="0"/>
                  <w:vAlign w:val="center"/>
                </w:tcPr>
                <w:p>
                  <w:pPr>
                    <w:pStyle w:val="116"/>
                    <w:adjustRightInd w:val="0"/>
                    <w:snapToGrid w:val="0"/>
                    <w:ind w:firstLine="0" w:firstLineChars="0"/>
                    <w:jc w:val="center"/>
                    <w:rPr>
                      <w:rFonts w:hint="eastAsia" w:ascii="宋体" w:hAnsi="宋体" w:eastAsia="宋体" w:cs="宋体"/>
                      <w:szCs w:val="21"/>
                    </w:rPr>
                  </w:pPr>
                  <w:r>
                    <w:rPr>
                      <w:rFonts w:hint="eastAsia" w:ascii="宋体" w:hAnsi="宋体" w:eastAsia="宋体" w:cs="宋体"/>
                      <w:szCs w:val="21"/>
                    </w:rPr>
                    <w:t>1.0</w:t>
                  </w:r>
                </w:p>
              </w:tc>
              <w:tc>
                <w:tcPr>
                  <w:tcW w:w="916" w:type="dxa"/>
                  <w:noWrap w:val="0"/>
                  <w:vAlign w:val="center"/>
                </w:tcPr>
                <w:p>
                  <w:pPr>
                    <w:pStyle w:val="116"/>
                    <w:adjustRightInd w:val="0"/>
                    <w:snapToGrid w:val="0"/>
                    <w:ind w:firstLine="0" w:firstLineChars="0"/>
                    <w:jc w:val="center"/>
                    <w:rPr>
                      <w:rFonts w:hint="eastAsia" w:ascii="宋体" w:hAnsi="宋体" w:eastAsia="宋体" w:cs="宋体"/>
                      <w:szCs w:val="21"/>
                    </w:rPr>
                  </w:pPr>
                  <w:r>
                    <w:rPr>
                      <w:rFonts w:hint="eastAsia" w:ascii="宋体" w:hAnsi="宋体" w:eastAsia="宋体" w:cs="宋体"/>
                      <w:szCs w:val="21"/>
                    </w:rPr>
                    <w:t>0.9</w:t>
                  </w:r>
                </w:p>
              </w:tc>
              <w:tc>
                <w:tcPr>
                  <w:tcW w:w="982" w:type="dxa"/>
                  <w:noWrap w:val="0"/>
                  <w:vAlign w:val="center"/>
                </w:tcPr>
                <w:p>
                  <w:pPr>
                    <w:pStyle w:val="116"/>
                    <w:adjustRightInd w:val="0"/>
                    <w:snapToGrid w:val="0"/>
                    <w:ind w:firstLine="0" w:firstLineChars="0"/>
                    <w:jc w:val="center"/>
                    <w:rPr>
                      <w:rFonts w:hint="eastAsia" w:ascii="宋体" w:hAnsi="宋体" w:eastAsia="宋体" w:cs="宋体"/>
                      <w:szCs w:val="21"/>
                    </w:rPr>
                  </w:pPr>
                  <w:r>
                    <w:rPr>
                      <w:rFonts w:hint="eastAsia" w:ascii="宋体" w:hAnsi="宋体" w:eastAsia="宋体" w:cs="宋体"/>
                      <w:szCs w:val="21"/>
                    </w:rPr>
                    <w:t>0.8</w:t>
                  </w:r>
                </w:p>
              </w:tc>
              <w:tc>
                <w:tcPr>
                  <w:tcW w:w="1123" w:type="dxa"/>
                  <w:noWrap w:val="0"/>
                  <w:vAlign w:val="center"/>
                </w:tcPr>
                <w:p>
                  <w:pPr>
                    <w:pStyle w:val="116"/>
                    <w:adjustRightInd w:val="0"/>
                    <w:snapToGrid w:val="0"/>
                    <w:ind w:firstLine="0" w:firstLineChars="0"/>
                    <w:jc w:val="center"/>
                    <w:rPr>
                      <w:rFonts w:hint="eastAsia" w:ascii="宋体" w:hAnsi="宋体" w:eastAsia="宋体" w:cs="宋体"/>
                      <w:szCs w:val="21"/>
                    </w:rPr>
                  </w:pPr>
                  <w:r>
                    <w:rPr>
                      <w:rFonts w:hint="eastAsia" w:ascii="宋体" w:hAnsi="宋体" w:eastAsia="宋体" w:cs="宋体"/>
                      <w:szCs w:val="21"/>
                    </w:rPr>
                    <w:t>0.7</w:t>
                  </w:r>
                </w:p>
              </w:tc>
            </w:tr>
          </w:tbl>
          <w:p>
            <w:pPr>
              <w:autoSpaceDE w:val="0"/>
              <w:autoSpaceDN w:val="0"/>
              <w:adjustRightInd w:val="0"/>
              <w:snapToGrid w:val="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（3）</w:t>
            </w:r>
          </w:p>
        </w:tc>
        <w:tc>
          <w:tcPr>
            <w:tcW w:w="251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依法缴纳税收和社会保障资金的月份要求</w:t>
            </w:r>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2019年10月-2020年3月任意一个月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（4）</w:t>
            </w:r>
          </w:p>
        </w:tc>
        <w:tc>
          <w:tcPr>
            <w:tcW w:w="251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财务状况的年份要求</w:t>
            </w:r>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515" w:type="dxa"/>
            <w:noWrap w:val="0"/>
            <w:vAlign w:val="center"/>
          </w:tcPr>
          <w:p>
            <w:pPr>
              <w:keepLines/>
              <w:adjustRightInd w:val="0"/>
              <w:snapToGrid w:val="0"/>
              <w:rPr>
                <w:rFonts w:hint="eastAsia" w:ascii="宋体" w:hAnsi="宋体" w:cs="宋体"/>
                <w:kern w:val="0"/>
                <w:szCs w:val="21"/>
              </w:rPr>
            </w:pPr>
            <w:r>
              <w:rPr>
                <w:rFonts w:hint="eastAsia" w:ascii="宋体" w:hAnsi="宋体" w:cs="宋体"/>
                <w:bCs/>
                <w:szCs w:val="21"/>
              </w:rPr>
              <w:t>质量保证金及质保期</w:t>
            </w:r>
          </w:p>
        </w:tc>
        <w:tc>
          <w:tcPr>
            <w:tcW w:w="5675" w:type="dxa"/>
            <w:noWrap w:val="0"/>
            <w:vAlign w:val="center"/>
          </w:tcPr>
          <w:p>
            <w:pPr>
              <w:keepLines/>
              <w:adjustRightInd w:val="0"/>
              <w:snapToGrid w:val="0"/>
              <w:jc w:val="left"/>
              <w:rPr>
                <w:rFonts w:hint="eastAsia" w:ascii="宋体" w:hAnsi="宋体" w:cs="宋体"/>
                <w:kern w:val="0"/>
                <w:szCs w:val="21"/>
              </w:rPr>
            </w:pPr>
            <w:r>
              <w:rPr>
                <w:rFonts w:hint="eastAsia" w:ascii="宋体" w:hAnsi="宋体" w:cs="宋体"/>
                <w:bCs/>
                <w:szCs w:val="21"/>
              </w:rPr>
              <w:t>质量保证金为签约合同价的5%，验收合格后提供一年的免费服务期（投标人另有承诺的按投标人承诺的质量保证期），包括软件使用培训、维护、质保、升级等。须提供7*24小时的售后电话咨询服务。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（6）</w:t>
            </w:r>
          </w:p>
        </w:tc>
        <w:tc>
          <w:tcPr>
            <w:tcW w:w="2515" w:type="dxa"/>
            <w:noWrap w:val="0"/>
            <w:vAlign w:val="center"/>
          </w:tcPr>
          <w:p>
            <w:pPr>
              <w:autoSpaceDE w:val="0"/>
              <w:autoSpaceDN w:val="0"/>
              <w:adjustRightInd w:val="0"/>
              <w:snapToGrid w:val="0"/>
              <w:rPr>
                <w:rFonts w:hint="eastAsia" w:ascii="宋体" w:hAnsi="宋体" w:cs="宋体"/>
                <w:szCs w:val="21"/>
              </w:rPr>
            </w:pPr>
            <w:r>
              <w:rPr>
                <w:rFonts w:hint="eastAsia" w:ascii="宋体" w:hAnsi="宋体" w:cs="宋体"/>
                <w:szCs w:val="21"/>
              </w:rPr>
              <w:t>预付款</w:t>
            </w:r>
          </w:p>
        </w:tc>
        <w:tc>
          <w:tcPr>
            <w:tcW w:w="5675" w:type="dxa"/>
            <w:noWrap w:val="0"/>
            <w:vAlign w:val="center"/>
          </w:tcPr>
          <w:p>
            <w:pPr>
              <w:autoSpaceDE w:val="0"/>
              <w:autoSpaceDN w:val="0"/>
              <w:adjustRightInd w:val="0"/>
              <w:snapToGrid w:val="0"/>
              <w:rPr>
                <w:rFonts w:hint="eastAsia" w:ascii="宋体" w:hAnsi="宋体" w:cs="宋体"/>
                <w:szCs w:val="21"/>
              </w:rPr>
            </w:pPr>
            <w:r>
              <w:rPr>
                <w:rFonts w:hint="eastAsia" w:ascii="宋体" w:hAnsi="宋体" w:cs="宋体"/>
                <w:szCs w:val="21"/>
              </w:rPr>
              <w:t>合同价款的30%。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（7）</w:t>
            </w:r>
          </w:p>
        </w:tc>
        <w:tc>
          <w:tcPr>
            <w:tcW w:w="2515" w:type="dxa"/>
            <w:noWrap w:val="0"/>
            <w:vAlign w:val="center"/>
          </w:tcPr>
          <w:p>
            <w:pPr>
              <w:keepLines/>
              <w:adjustRightInd w:val="0"/>
              <w:snapToGrid w:val="0"/>
              <w:rPr>
                <w:rFonts w:hint="eastAsia" w:ascii="宋体" w:hAnsi="宋体" w:cs="宋体"/>
                <w:kern w:val="0"/>
                <w:szCs w:val="21"/>
              </w:rPr>
            </w:pPr>
            <w:r>
              <w:rPr>
                <w:rFonts w:hint="eastAsia" w:ascii="宋体" w:hAnsi="宋体" w:cs="宋体"/>
                <w:bCs/>
                <w:szCs w:val="21"/>
              </w:rPr>
              <w:t>进度款及支付方式</w:t>
            </w:r>
          </w:p>
        </w:tc>
        <w:tc>
          <w:tcPr>
            <w:tcW w:w="5675" w:type="dxa"/>
            <w:noWrap w:val="0"/>
            <w:vAlign w:val="center"/>
          </w:tcPr>
          <w:p>
            <w:pPr>
              <w:numPr>
                <w:ilvl w:val="0"/>
                <w:numId w:val="3"/>
              </w:numPr>
              <w:snapToGrid w:val="0"/>
              <w:rPr>
                <w:rFonts w:hint="eastAsia" w:ascii="宋体" w:hAnsi="宋体" w:cs="宋体"/>
                <w:bCs/>
                <w:szCs w:val="21"/>
              </w:rPr>
            </w:pPr>
            <w:r>
              <w:rPr>
                <w:rFonts w:hint="eastAsia" w:ascii="宋体" w:hAnsi="宋体" w:cs="宋体"/>
                <w:bCs/>
                <w:szCs w:val="21"/>
              </w:rPr>
              <w:t>合同签订后，招标人支付给中标人合同价款的30%预付款；</w:t>
            </w:r>
          </w:p>
          <w:p>
            <w:pPr>
              <w:pStyle w:val="21"/>
              <w:numPr>
                <w:ilvl w:val="0"/>
                <w:numId w:val="3"/>
              </w:numPr>
              <w:snapToGrid w:val="0"/>
              <w:rPr>
                <w:rFonts w:hint="eastAsia" w:hAnsi="宋体" w:cs="宋体"/>
                <w:bCs/>
              </w:rPr>
            </w:pPr>
            <w:r>
              <w:rPr>
                <w:rFonts w:hint="eastAsia" w:hAnsi="宋体" w:cs="宋体"/>
                <w:bCs/>
              </w:rPr>
              <w:t>在系统安装完毕后，支付合同价款的30%；</w:t>
            </w:r>
          </w:p>
          <w:p>
            <w:pPr>
              <w:pStyle w:val="21"/>
              <w:numPr>
                <w:ilvl w:val="0"/>
                <w:numId w:val="3"/>
              </w:numPr>
              <w:snapToGrid w:val="0"/>
              <w:rPr>
                <w:rFonts w:hint="eastAsia" w:hAnsi="宋体" w:cs="宋体"/>
                <w:bCs/>
              </w:rPr>
            </w:pPr>
            <w:r>
              <w:rPr>
                <w:rFonts w:hint="eastAsia" w:hAnsi="宋体" w:cs="宋体"/>
                <w:bCs/>
              </w:rPr>
              <w:t>系统调试、上线应用，并出示1个月报表后，支付合同价款的20%；</w:t>
            </w:r>
          </w:p>
          <w:p>
            <w:pPr>
              <w:pStyle w:val="21"/>
              <w:numPr>
                <w:ilvl w:val="0"/>
                <w:numId w:val="3"/>
              </w:numPr>
              <w:snapToGrid w:val="0"/>
              <w:rPr>
                <w:rFonts w:hint="eastAsia" w:hAnsi="宋体" w:cs="宋体"/>
                <w:bCs/>
              </w:rPr>
            </w:pPr>
            <w:r>
              <w:rPr>
                <w:rFonts w:hint="eastAsia" w:hAnsi="宋体" w:cs="宋体"/>
                <w:bCs/>
              </w:rPr>
              <w:t>系统稳定运行，并经招标人验收合格后，支付合同价款的15%；</w:t>
            </w:r>
          </w:p>
          <w:p>
            <w:pPr>
              <w:pStyle w:val="21"/>
              <w:numPr>
                <w:ilvl w:val="0"/>
                <w:numId w:val="3"/>
              </w:numPr>
              <w:snapToGrid w:val="0"/>
              <w:rPr>
                <w:rFonts w:hint="eastAsia" w:hAnsi="宋体" w:cs="宋体"/>
                <w:kern w:val="0"/>
              </w:rPr>
            </w:pPr>
            <w:r>
              <w:rPr>
                <w:rFonts w:hint="eastAsia" w:hAnsi="宋体" w:cs="宋体"/>
                <w:bCs/>
              </w:rPr>
              <w:t>其余5%作为质量及服务保证金，保修期满后支付</w:t>
            </w:r>
            <w:r>
              <w:rPr>
                <w:rFonts w:hint="eastAsia"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（8）</w:t>
            </w:r>
          </w:p>
        </w:tc>
        <w:tc>
          <w:tcPr>
            <w:tcW w:w="251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最高限价</w:t>
            </w:r>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（9）</w:t>
            </w:r>
          </w:p>
        </w:tc>
        <w:tc>
          <w:tcPr>
            <w:tcW w:w="251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服务方式</w:t>
            </w:r>
          </w:p>
        </w:tc>
        <w:tc>
          <w:tcPr>
            <w:tcW w:w="5675"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总价包干式（凡标书中涉及的项目中标单位不得以任何理由增加费用）。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（10）</w:t>
            </w:r>
          </w:p>
        </w:tc>
        <w:tc>
          <w:tcPr>
            <w:tcW w:w="2515" w:type="dxa"/>
            <w:noWrap w:val="0"/>
            <w:vAlign w:val="center"/>
          </w:tcPr>
          <w:p>
            <w:pPr>
              <w:adjustRightInd w:val="0"/>
              <w:snapToGrid w:val="0"/>
              <w:ind w:left="2"/>
              <w:jc w:val="center"/>
              <w:rPr>
                <w:rFonts w:hint="eastAsia" w:ascii="宋体" w:hAnsi="宋体" w:cs="宋体"/>
                <w:szCs w:val="21"/>
              </w:rPr>
            </w:pPr>
            <w:r>
              <w:rPr>
                <w:rFonts w:hint="eastAsia" w:ascii="宋体" w:hAnsi="宋体" w:cs="宋体"/>
                <w:szCs w:val="21"/>
              </w:rPr>
              <w:t>磋商保证金</w:t>
            </w:r>
          </w:p>
          <w:p>
            <w:pPr>
              <w:adjustRightInd w:val="0"/>
              <w:snapToGrid w:val="0"/>
              <w:ind w:left="2"/>
              <w:jc w:val="center"/>
              <w:rPr>
                <w:rFonts w:hint="eastAsia" w:ascii="宋体" w:hAnsi="宋体" w:cs="宋体"/>
                <w:kern w:val="0"/>
                <w:szCs w:val="21"/>
              </w:rPr>
            </w:pPr>
            <w:r>
              <w:rPr>
                <w:rFonts w:hint="eastAsia" w:ascii="宋体" w:hAnsi="宋体" w:cs="宋体"/>
                <w:szCs w:val="21"/>
              </w:rPr>
              <w:t>的退还</w:t>
            </w:r>
          </w:p>
        </w:tc>
        <w:tc>
          <w:tcPr>
            <w:tcW w:w="5675" w:type="dxa"/>
            <w:noWrap w:val="0"/>
            <w:vAlign w:val="center"/>
          </w:tcPr>
          <w:p>
            <w:pPr>
              <w:adjustRightInd w:val="0"/>
              <w:snapToGrid w:val="0"/>
              <w:ind w:left="2"/>
              <w:rPr>
                <w:rFonts w:hint="eastAsia" w:ascii="宋体" w:hAnsi="宋体" w:cs="宋体"/>
                <w:szCs w:val="21"/>
              </w:rPr>
            </w:pPr>
            <w:r>
              <w:rPr>
                <w:rFonts w:hint="eastAsia" w:ascii="宋体" w:hAnsi="宋体" w:cs="宋体"/>
                <w:szCs w:val="21"/>
              </w:rPr>
              <w:t>所有未中标的应答单位应在中标公示期结束后5日内办理退还投标保证金；中标人在与采购人签订合同后，办理退还投标保证金，办理时应答单位应向采购人提供如下资料并邮寄至采购人处：</w:t>
            </w:r>
          </w:p>
          <w:p>
            <w:pPr>
              <w:adjustRightInd w:val="0"/>
              <w:snapToGrid w:val="0"/>
              <w:ind w:left="2"/>
              <w:rPr>
                <w:rFonts w:hint="eastAsia" w:ascii="宋体" w:hAnsi="宋体" w:cs="宋体"/>
                <w:szCs w:val="21"/>
              </w:rPr>
            </w:pPr>
            <w:r>
              <w:rPr>
                <w:rFonts w:hint="eastAsia" w:ascii="宋体" w:hAnsi="宋体" w:cs="宋体"/>
                <w:szCs w:val="21"/>
              </w:rPr>
              <w:t>（1）基本账户开户许可证复印件；</w:t>
            </w:r>
          </w:p>
          <w:p>
            <w:pPr>
              <w:adjustRightInd w:val="0"/>
              <w:snapToGrid w:val="0"/>
              <w:ind w:left="2"/>
              <w:rPr>
                <w:rFonts w:hint="eastAsia" w:ascii="宋体" w:hAnsi="宋体" w:cs="宋体"/>
                <w:szCs w:val="21"/>
              </w:rPr>
            </w:pPr>
            <w:r>
              <w:rPr>
                <w:rFonts w:hint="eastAsia" w:ascii="宋体" w:hAnsi="宋体" w:cs="宋体"/>
                <w:szCs w:val="21"/>
              </w:rPr>
              <w:t>（2）给采购人开具的财务收据原件；</w:t>
            </w:r>
          </w:p>
          <w:p>
            <w:pPr>
              <w:adjustRightInd w:val="0"/>
              <w:snapToGrid w:val="0"/>
              <w:ind w:left="2"/>
              <w:rPr>
                <w:rFonts w:hint="eastAsia" w:ascii="宋体" w:hAnsi="宋体" w:cs="宋体"/>
                <w:szCs w:val="21"/>
              </w:rPr>
            </w:pPr>
            <w:r>
              <w:rPr>
                <w:rFonts w:hint="eastAsia" w:ascii="宋体" w:hAnsi="宋体" w:cs="宋体"/>
                <w:szCs w:val="21"/>
              </w:rPr>
              <w:t>（3）磋商保证金汇款凭证。</w:t>
            </w:r>
          </w:p>
          <w:p>
            <w:pPr>
              <w:adjustRightInd w:val="0"/>
              <w:snapToGrid w:val="0"/>
              <w:ind w:left="2"/>
              <w:rPr>
                <w:rFonts w:hint="eastAsia" w:ascii="宋体" w:hAnsi="宋体" w:cs="宋体"/>
                <w:kern w:val="0"/>
                <w:szCs w:val="21"/>
              </w:rPr>
            </w:pPr>
            <w:r>
              <w:rPr>
                <w:rFonts w:hint="eastAsia" w:ascii="宋体" w:hAnsi="宋体" w:cs="宋体"/>
                <w:szCs w:val="21"/>
              </w:rPr>
              <w:t>（4）如果应答单位未在公示期结束后5日后将相关手续送达采购人，应答单位放弃利息的，须开具放弃索要利息的情况说明，也可以在磋商保证金财务收据上写明“不计取利息”，采购人不强制应答单位必须放弃利息。所要利息的，需要同时提供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（11）</w:t>
            </w:r>
          </w:p>
        </w:tc>
        <w:tc>
          <w:tcPr>
            <w:tcW w:w="2515" w:type="dxa"/>
            <w:noWrap w:val="0"/>
            <w:vAlign w:val="center"/>
          </w:tcPr>
          <w:p>
            <w:pPr>
              <w:adjustRightInd w:val="0"/>
              <w:snapToGrid w:val="0"/>
              <w:ind w:left="2"/>
              <w:jc w:val="center"/>
              <w:rPr>
                <w:rFonts w:hint="eastAsia" w:ascii="宋体" w:hAnsi="宋体" w:cs="宋体"/>
                <w:szCs w:val="21"/>
              </w:rPr>
            </w:pPr>
            <w:r>
              <w:rPr>
                <w:rFonts w:hint="eastAsia" w:ascii="宋体" w:hAnsi="宋体" w:cs="宋体"/>
                <w:szCs w:val="21"/>
              </w:rPr>
              <w:t>磋商保证金的</w:t>
            </w:r>
          </w:p>
          <w:p>
            <w:pPr>
              <w:adjustRightInd w:val="0"/>
              <w:snapToGrid w:val="0"/>
              <w:ind w:left="2"/>
              <w:jc w:val="center"/>
              <w:rPr>
                <w:rFonts w:hint="eastAsia" w:ascii="宋体" w:hAnsi="宋体" w:cs="宋体"/>
                <w:szCs w:val="21"/>
              </w:rPr>
            </w:pPr>
            <w:r>
              <w:rPr>
                <w:rFonts w:hint="eastAsia" w:ascii="宋体" w:hAnsi="宋体" w:cs="宋体"/>
                <w:szCs w:val="21"/>
              </w:rPr>
              <w:t>利息计算原则</w:t>
            </w:r>
          </w:p>
        </w:tc>
        <w:tc>
          <w:tcPr>
            <w:tcW w:w="5675" w:type="dxa"/>
            <w:noWrap w:val="0"/>
            <w:vAlign w:val="bottom"/>
          </w:tcPr>
          <w:p>
            <w:pPr>
              <w:adjustRightInd w:val="0"/>
              <w:snapToGrid w:val="0"/>
              <w:ind w:left="2"/>
              <w:jc w:val="left"/>
              <w:rPr>
                <w:rFonts w:hint="eastAsia" w:ascii="宋体" w:hAnsi="宋体" w:cs="宋体"/>
                <w:szCs w:val="21"/>
              </w:rPr>
            </w:pPr>
            <w:r>
              <w:rPr>
                <w:rFonts w:hint="eastAsia" w:ascii="宋体" w:hAnsi="宋体" w:cs="宋体"/>
                <w:szCs w:val="21"/>
              </w:rPr>
              <w:t>（1）磋商保证金计息利率依照中国人民银行公布的同期活期存款基准利率；</w:t>
            </w:r>
          </w:p>
          <w:p>
            <w:pPr>
              <w:adjustRightInd w:val="0"/>
              <w:snapToGrid w:val="0"/>
              <w:ind w:left="2"/>
              <w:jc w:val="left"/>
              <w:rPr>
                <w:rFonts w:hint="eastAsia" w:ascii="宋体" w:hAnsi="宋体" w:cs="宋体"/>
                <w:szCs w:val="21"/>
              </w:rPr>
            </w:pPr>
            <w:r>
              <w:rPr>
                <w:rFonts w:hint="eastAsia" w:ascii="宋体" w:hAnsi="宋体" w:cs="宋体"/>
                <w:szCs w:val="21"/>
              </w:rPr>
              <w:t>（2）银行同期存款利息的计算公式为：金额×年利率/360×计息天数；</w:t>
            </w:r>
          </w:p>
          <w:p>
            <w:pPr>
              <w:adjustRightInd w:val="0"/>
              <w:snapToGrid w:val="0"/>
              <w:ind w:left="2"/>
              <w:jc w:val="left"/>
              <w:rPr>
                <w:rFonts w:hint="eastAsia" w:ascii="宋体" w:hAnsi="宋体" w:cs="宋体"/>
                <w:szCs w:val="21"/>
              </w:rPr>
            </w:pPr>
            <w:r>
              <w:rPr>
                <w:rFonts w:hint="eastAsia" w:ascii="宋体" w:hAnsi="宋体" w:cs="宋体"/>
                <w:szCs w:val="21"/>
              </w:rPr>
              <w:t>（3）起息日为项目的投标截止日，结息日为成交通知书中标明的日期；</w:t>
            </w:r>
          </w:p>
          <w:p>
            <w:pPr>
              <w:adjustRightInd w:val="0"/>
              <w:snapToGrid w:val="0"/>
              <w:ind w:left="2"/>
              <w:jc w:val="left"/>
              <w:rPr>
                <w:rFonts w:hint="eastAsia" w:ascii="宋体" w:hAnsi="宋体" w:cs="宋体"/>
                <w:szCs w:val="21"/>
              </w:rPr>
            </w:pPr>
            <w:r>
              <w:rPr>
                <w:rFonts w:hint="eastAsia" w:ascii="宋体" w:hAnsi="宋体" w:cs="宋体"/>
                <w:szCs w:val="21"/>
              </w:rPr>
              <w:t>（4）在退还磋商保证金利息前，应答单位应提供保证金利息发票；</w:t>
            </w:r>
          </w:p>
          <w:p>
            <w:pPr>
              <w:adjustRightInd w:val="0"/>
              <w:snapToGrid w:val="0"/>
              <w:ind w:left="2"/>
              <w:jc w:val="left"/>
              <w:rPr>
                <w:rFonts w:hint="eastAsia" w:ascii="宋体" w:hAnsi="宋体" w:cs="宋体"/>
                <w:szCs w:val="21"/>
              </w:rPr>
            </w:pPr>
            <w:r>
              <w:rPr>
                <w:rFonts w:hint="eastAsia" w:ascii="宋体" w:hAnsi="宋体" w:cs="宋体"/>
                <w:szCs w:val="21"/>
              </w:rPr>
              <w:t>（5）以保函或其他担保形式提交的磋商保证金无利息。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（12）</w:t>
            </w:r>
          </w:p>
        </w:tc>
        <w:tc>
          <w:tcPr>
            <w:tcW w:w="2515" w:type="dxa"/>
            <w:noWrap w:val="0"/>
            <w:vAlign w:val="center"/>
          </w:tcPr>
          <w:p>
            <w:pPr>
              <w:adjustRightInd w:val="0"/>
              <w:snapToGrid w:val="0"/>
              <w:ind w:left="2"/>
              <w:jc w:val="center"/>
              <w:rPr>
                <w:rFonts w:hint="eastAsia" w:ascii="宋体" w:hAnsi="宋体" w:cs="宋体"/>
                <w:szCs w:val="21"/>
              </w:rPr>
            </w:pPr>
            <w:r>
              <w:rPr>
                <w:rFonts w:hint="eastAsia" w:ascii="宋体" w:hAnsi="宋体" w:cs="宋体"/>
                <w:szCs w:val="21"/>
              </w:rPr>
              <w:t>逾期违约金</w:t>
            </w:r>
          </w:p>
        </w:tc>
        <w:tc>
          <w:tcPr>
            <w:tcW w:w="5675" w:type="dxa"/>
            <w:noWrap w:val="0"/>
            <w:vAlign w:val="center"/>
          </w:tcPr>
          <w:p>
            <w:pPr>
              <w:adjustRightInd w:val="0"/>
              <w:snapToGrid w:val="0"/>
              <w:ind w:left="2"/>
              <w:jc w:val="left"/>
              <w:rPr>
                <w:rFonts w:hint="eastAsia" w:ascii="宋体" w:hAnsi="宋体" w:cs="宋体"/>
                <w:szCs w:val="21"/>
              </w:rPr>
            </w:pPr>
            <w:r>
              <w:rPr>
                <w:rFonts w:hint="eastAsia" w:ascii="宋体" w:hAnsi="宋体" w:cs="宋体"/>
                <w:szCs w:val="21"/>
              </w:rPr>
              <w:t>延迟交付违约金：合同价款3</w:t>
            </w:r>
            <w:r>
              <w:rPr>
                <w:rFonts w:hint="eastAsia" w:ascii="宋体" w:hAnsi="宋体" w:cs="宋体"/>
                <w:szCs w:val="21"/>
                <w:lang w:val="zh-CN"/>
              </w:rPr>
              <w:t>‰</w:t>
            </w:r>
            <w:r>
              <w:rPr>
                <w:rFonts w:hint="eastAsia" w:ascii="宋体" w:hAnsi="宋体" w:cs="宋体"/>
                <w:szCs w:val="21"/>
              </w:rPr>
              <w:t>/天。</w:t>
            </w:r>
          </w:p>
          <w:p>
            <w:pPr>
              <w:adjustRightInd w:val="0"/>
              <w:snapToGrid w:val="0"/>
              <w:ind w:left="2"/>
              <w:jc w:val="left"/>
              <w:rPr>
                <w:rFonts w:hint="eastAsia" w:ascii="宋体" w:hAnsi="宋体" w:cs="宋体"/>
                <w:szCs w:val="21"/>
              </w:rPr>
            </w:pPr>
            <w:r>
              <w:rPr>
                <w:rFonts w:hint="eastAsia" w:ascii="宋体" w:hAnsi="宋体" w:cs="宋体"/>
                <w:szCs w:val="21"/>
              </w:rPr>
              <w:t>迟延交付违约金的总额不得超过合同价格的5%。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rPr>
                <w:rFonts w:hint="eastAsia" w:ascii="宋体" w:hAnsi="宋体" w:cs="宋体"/>
                <w:kern w:val="0"/>
                <w:szCs w:val="21"/>
              </w:rPr>
            </w:pPr>
            <w:r>
              <w:rPr>
                <w:rFonts w:hint="eastAsia" w:ascii="宋体" w:hAnsi="宋体" w:cs="宋体"/>
                <w:kern w:val="0"/>
                <w:szCs w:val="21"/>
              </w:rPr>
              <w:t>（13）</w:t>
            </w:r>
          </w:p>
        </w:tc>
        <w:tc>
          <w:tcPr>
            <w:tcW w:w="2515" w:type="dxa"/>
            <w:noWrap w:val="0"/>
            <w:vAlign w:val="center"/>
          </w:tcPr>
          <w:p>
            <w:pPr>
              <w:overflowPunct w:val="0"/>
              <w:adjustRightInd w:val="0"/>
              <w:snapToGrid w:val="0"/>
              <w:jc w:val="center"/>
              <w:rPr>
                <w:rFonts w:hint="eastAsia" w:ascii="宋体" w:hAnsi="宋体" w:cs="宋体"/>
                <w:szCs w:val="21"/>
              </w:rPr>
            </w:pPr>
            <w:r>
              <w:rPr>
                <w:rFonts w:hint="eastAsia" w:ascii="宋体" w:hAnsi="宋体" w:cs="宋体"/>
                <w:szCs w:val="21"/>
              </w:rPr>
              <w:t>重要事项</w:t>
            </w:r>
          </w:p>
        </w:tc>
        <w:tc>
          <w:tcPr>
            <w:tcW w:w="5675" w:type="dxa"/>
            <w:noWrap w:val="0"/>
            <w:vAlign w:val="center"/>
          </w:tcPr>
          <w:p>
            <w:pPr>
              <w:adjustRightInd w:val="0"/>
              <w:snapToGrid w:val="0"/>
              <w:ind w:left="2"/>
              <w:jc w:val="left"/>
              <w:rPr>
                <w:rFonts w:hint="eastAsia" w:ascii="宋体" w:hAnsi="宋体" w:cs="宋体"/>
                <w:szCs w:val="21"/>
              </w:rPr>
            </w:pPr>
            <w:r>
              <w:rPr>
                <w:rFonts w:hint="eastAsia" w:ascii="宋体" w:hAnsi="宋体" w:cs="宋体"/>
                <w:szCs w:val="21"/>
              </w:rPr>
              <w:t>1.如发现有围标、串标行为，将列入集团内部黑名单。</w:t>
            </w:r>
          </w:p>
          <w:p>
            <w:pPr>
              <w:adjustRightInd w:val="0"/>
              <w:snapToGrid w:val="0"/>
              <w:ind w:left="2"/>
              <w:jc w:val="left"/>
              <w:rPr>
                <w:rFonts w:hint="eastAsia" w:ascii="宋体" w:hAnsi="宋体" w:cs="宋体"/>
                <w:szCs w:val="21"/>
              </w:rPr>
            </w:pPr>
            <w:r>
              <w:rPr>
                <w:rFonts w:hint="eastAsia" w:ascii="宋体" w:hAnsi="宋体" w:cs="宋体"/>
                <w:szCs w:val="21"/>
              </w:rPr>
              <w:t>2.中标人未能及时满足招标人服务要求的，招标人有权终止合同，且不承担任何责任。</w:t>
            </w:r>
          </w:p>
          <w:p>
            <w:pPr>
              <w:adjustRightInd w:val="0"/>
              <w:snapToGrid w:val="0"/>
              <w:ind w:left="2"/>
              <w:jc w:val="left"/>
              <w:rPr>
                <w:rFonts w:ascii="宋体" w:hAnsi="宋体" w:cs="宋体"/>
                <w:szCs w:val="21"/>
              </w:rPr>
            </w:pPr>
            <w:r>
              <w:rPr>
                <w:rFonts w:hint="eastAsia" w:ascii="宋体" w:hAnsi="宋体" w:cs="宋体"/>
                <w:szCs w:val="21"/>
              </w:rPr>
              <w:t>3.开标当日，各投标人必须各自派1名技术人员代表本单位进行现场演示，且需要携带投标单位的授权委托书。</w:t>
            </w:r>
          </w:p>
          <w:p>
            <w:pPr>
              <w:adjustRightInd w:val="0"/>
              <w:snapToGrid w:val="0"/>
              <w:ind w:left="2"/>
              <w:jc w:val="left"/>
              <w:rPr>
                <w:rFonts w:hint="eastAsia" w:ascii="宋体" w:hAnsi="宋体" w:cs="宋体"/>
                <w:szCs w:val="21"/>
              </w:rPr>
            </w:pPr>
            <w:r>
              <w:rPr>
                <w:rFonts w:hint="eastAsia" w:ascii="宋体" w:hAnsi="宋体" w:cs="宋体"/>
                <w:szCs w:val="21"/>
              </w:rPr>
              <w:t>4.投标人需按照招标文件中演示要求的内容进行项目演示，演示所需设备由投标人自行准备。</w:t>
            </w:r>
          </w:p>
          <w:p>
            <w:pPr>
              <w:adjustRightInd w:val="0"/>
              <w:snapToGrid w:val="0"/>
              <w:ind w:left="2"/>
              <w:jc w:val="left"/>
              <w:rPr>
                <w:rFonts w:hint="eastAsia" w:ascii="宋体" w:hAnsi="宋体" w:cs="宋体"/>
                <w:szCs w:val="21"/>
              </w:rPr>
            </w:pPr>
            <w:r>
              <w:rPr>
                <w:rFonts w:hint="eastAsia" w:ascii="宋体" w:hAnsi="宋体" w:cs="宋体"/>
                <w:szCs w:val="21"/>
              </w:rPr>
              <w:t>5.系统演示的相关内容需要在投标文件中文字体现，并标注清晰。</w:t>
            </w:r>
          </w:p>
        </w:tc>
      </w:tr>
    </w:tbl>
    <w:p>
      <w:pPr>
        <w:keepNext/>
        <w:keepLines/>
        <w:numPr>
          <w:ilvl w:val="0"/>
          <w:numId w:val="4"/>
        </w:numPr>
        <w:tabs>
          <w:tab w:val="left" w:pos="426"/>
        </w:tabs>
        <w:spacing w:line="360" w:lineRule="atLeast"/>
        <w:jc w:val="left"/>
        <w:outlineLvl w:val="2"/>
        <w:rPr>
          <w:rFonts w:ascii="宋体" w:hAnsi="宋体"/>
          <w:b/>
          <w:kern w:val="44"/>
          <w:szCs w:val="21"/>
        </w:rPr>
      </w:pPr>
      <w:r>
        <w:rPr>
          <w:rFonts w:ascii="宋体" w:hAnsi="宋体"/>
          <w:b/>
          <w:kern w:val="44"/>
          <w:szCs w:val="21"/>
        </w:rPr>
        <w:t>评标办法</w:t>
      </w:r>
      <w:bookmarkEnd w:id="28"/>
      <w:bookmarkEnd w:id="29"/>
    </w:p>
    <w:p>
      <w:pPr>
        <w:widowControl/>
        <w:snapToGrid w:val="0"/>
        <w:spacing w:line="360" w:lineRule="auto"/>
        <w:jc w:val="center"/>
        <w:rPr>
          <w:rFonts w:ascii="宋体" w:hAnsi="宋体"/>
          <w:b/>
          <w:szCs w:val="21"/>
        </w:rPr>
      </w:pPr>
      <w:r>
        <w:rPr>
          <w:rFonts w:ascii="宋体" w:hAnsi="宋体"/>
          <w:b/>
          <w:szCs w:val="21"/>
        </w:rPr>
        <w:t>附表一</w:t>
      </w:r>
      <w:r>
        <w:rPr>
          <w:rFonts w:hint="eastAsia" w:ascii="宋体" w:hAnsi="宋体"/>
          <w:b/>
          <w:szCs w:val="21"/>
        </w:rPr>
        <w:t xml:space="preserve"> </w:t>
      </w:r>
      <w:r>
        <w:rPr>
          <w:rFonts w:ascii="宋体" w:hAnsi="宋体"/>
          <w:b/>
          <w:szCs w:val="21"/>
        </w:rPr>
        <w:t>资格审查表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991"/>
        <w:gridCol w:w="402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39" w:type="dxa"/>
            <w:noWrap w:val="0"/>
            <w:vAlign w:val="center"/>
          </w:tcPr>
          <w:p>
            <w:pPr>
              <w:snapToGrid w:val="0"/>
              <w:jc w:val="center"/>
              <w:rPr>
                <w:rFonts w:ascii="宋体" w:hAnsi="宋体"/>
                <w:b/>
                <w:szCs w:val="21"/>
              </w:rPr>
            </w:pPr>
            <w:r>
              <w:rPr>
                <w:rFonts w:ascii="宋体" w:hAnsi="宋体"/>
                <w:b/>
                <w:szCs w:val="21"/>
              </w:rPr>
              <w:t>序号</w:t>
            </w:r>
          </w:p>
        </w:tc>
        <w:tc>
          <w:tcPr>
            <w:tcW w:w="2991" w:type="dxa"/>
            <w:noWrap w:val="0"/>
            <w:vAlign w:val="center"/>
          </w:tcPr>
          <w:p>
            <w:pPr>
              <w:snapToGrid w:val="0"/>
              <w:jc w:val="center"/>
              <w:rPr>
                <w:rFonts w:ascii="宋体" w:hAnsi="宋体"/>
                <w:b/>
                <w:szCs w:val="21"/>
              </w:rPr>
            </w:pPr>
            <w:r>
              <w:rPr>
                <w:rFonts w:ascii="宋体" w:hAnsi="宋体"/>
                <w:b/>
                <w:szCs w:val="21"/>
              </w:rPr>
              <w:t>评审内容</w:t>
            </w:r>
          </w:p>
        </w:tc>
        <w:tc>
          <w:tcPr>
            <w:tcW w:w="4020" w:type="dxa"/>
            <w:noWrap w:val="0"/>
            <w:vAlign w:val="center"/>
          </w:tcPr>
          <w:p>
            <w:pPr>
              <w:snapToGrid w:val="0"/>
              <w:jc w:val="center"/>
              <w:rPr>
                <w:rFonts w:ascii="宋体" w:hAnsi="宋体"/>
                <w:b/>
                <w:szCs w:val="21"/>
              </w:rPr>
            </w:pPr>
            <w:r>
              <w:rPr>
                <w:rFonts w:hint="eastAsia" w:ascii="宋体" w:hAnsi="宋体"/>
                <w:b/>
                <w:szCs w:val="21"/>
              </w:rPr>
              <w:t>评审合格标准</w:t>
            </w:r>
          </w:p>
        </w:tc>
        <w:tc>
          <w:tcPr>
            <w:tcW w:w="1499" w:type="dxa"/>
            <w:noWrap w:val="0"/>
            <w:vAlign w:val="center"/>
          </w:tcPr>
          <w:p>
            <w:pPr>
              <w:tabs>
                <w:tab w:val="left" w:pos="1260"/>
                <w:tab w:val="left" w:pos="1620"/>
              </w:tabs>
              <w:adjustRightInd w:val="0"/>
              <w:snapToGrid w:val="0"/>
              <w:jc w:val="center"/>
              <w:textAlignment w:val="baseline"/>
              <w:rPr>
                <w:rFonts w:ascii="宋体" w:hAnsi="宋体"/>
                <w:b/>
                <w:caps/>
                <w:szCs w:val="21"/>
              </w:rPr>
            </w:pPr>
            <w:r>
              <w:rPr>
                <w:rFonts w:ascii="宋体" w:hAnsi="宋体"/>
                <w:b/>
                <w:caps/>
                <w:szCs w:val="21"/>
              </w:rPr>
              <w:t>评审结论</w:t>
            </w:r>
          </w:p>
          <w:p>
            <w:pPr>
              <w:snapToGrid w:val="0"/>
              <w:jc w:val="center"/>
              <w:rPr>
                <w:rFonts w:ascii="宋体" w:hAnsi="宋体"/>
                <w:b/>
                <w:szCs w:val="21"/>
              </w:rPr>
            </w:pPr>
            <w:r>
              <w:rPr>
                <w:rFonts w:ascii="宋体" w:hAnsi="宋体"/>
                <w:b/>
                <w:caps/>
                <w:szCs w:val="21"/>
              </w:rPr>
              <w:t>（</w:t>
            </w:r>
            <w:r>
              <w:rPr>
                <w:rFonts w:ascii="Arial" w:hAnsi="Arial" w:eastAsia="MS Mincho" w:cs="Arial"/>
                <w:b/>
                <w:caps/>
                <w:szCs w:val="21"/>
              </w:rPr>
              <w:t>√</w:t>
            </w:r>
            <w:r>
              <w:rPr>
                <w:rFonts w:ascii="宋体" w:hAnsi="宋体"/>
                <w:b/>
                <w:caps/>
                <w:szCs w:val="21"/>
              </w:rPr>
              <w:t>/</w:t>
            </w:r>
            <w:r>
              <w:rPr>
                <w:rFonts w:hint="eastAsia" w:ascii="宋体" w:hAnsi="宋体"/>
                <w:szCs w:val="21"/>
              </w:rPr>
              <w:t>×</w:t>
            </w:r>
            <w:r>
              <w:rPr>
                <w:rFonts w:ascii="宋体" w:hAnsi="宋体"/>
                <w:b/>
                <w:cap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宋体" w:hAnsi="宋体"/>
                <w:b/>
                <w:szCs w:val="21"/>
              </w:rPr>
            </w:pPr>
            <w:r>
              <w:rPr>
                <w:rFonts w:hint="eastAsia" w:ascii="宋体" w:hAnsi="宋体"/>
                <w:bCs/>
                <w:szCs w:val="21"/>
              </w:rPr>
              <w:t>1</w:t>
            </w:r>
          </w:p>
        </w:tc>
        <w:tc>
          <w:tcPr>
            <w:tcW w:w="2991" w:type="dxa"/>
            <w:noWrap w:val="0"/>
            <w:vAlign w:val="center"/>
          </w:tcPr>
          <w:p>
            <w:pPr>
              <w:snapToGrid w:val="0"/>
              <w:jc w:val="center"/>
              <w:rPr>
                <w:rFonts w:ascii="宋体" w:hAnsi="宋体"/>
                <w:b/>
                <w:szCs w:val="21"/>
              </w:rPr>
            </w:pPr>
            <w:r>
              <w:rPr>
                <w:rFonts w:hint="eastAsia" w:ascii="宋体" w:hAnsi="宋体" w:cs="宋体"/>
                <w:bCs/>
                <w:szCs w:val="21"/>
              </w:rPr>
              <w:t>投标人名称</w:t>
            </w:r>
          </w:p>
        </w:tc>
        <w:tc>
          <w:tcPr>
            <w:tcW w:w="4020" w:type="dxa"/>
            <w:noWrap w:val="0"/>
            <w:vAlign w:val="center"/>
          </w:tcPr>
          <w:p>
            <w:pPr>
              <w:snapToGrid w:val="0"/>
              <w:jc w:val="left"/>
              <w:rPr>
                <w:rFonts w:hint="eastAsia" w:ascii="宋体" w:hAnsi="宋体" w:cs="宋体"/>
                <w:bCs/>
                <w:szCs w:val="21"/>
              </w:rPr>
            </w:pPr>
            <w:r>
              <w:rPr>
                <w:rFonts w:hint="eastAsia" w:ascii="宋体" w:hAnsi="宋体" w:cs="宋体"/>
                <w:bCs/>
                <w:szCs w:val="21"/>
              </w:rPr>
              <w:t>与报名、营业执照一致（符合法定工商变更程序除外）</w:t>
            </w:r>
          </w:p>
          <w:p>
            <w:pPr>
              <w:pStyle w:val="4"/>
              <w:snapToGrid w:val="0"/>
              <w:spacing w:before="0" w:after="0" w:line="240" w:lineRule="auto"/>
              <w:jc w:val="left"/>
              <w:rPr>
                <w:rFonts w:ascii="宋体" w:hAnsi="宋体"/>
                <w:b w:val="0"/>
                <w:sz w:val="21"/>
                <w:szCs w:val="21"/>
              </w:rPr>
            </w:pPr>
            <w:r>
              <w:rPr>
                <w:rFonts w:hint="eastAsia" w:ascii="宋体" w:hAnsi="宋体" w:cs="宋体"/>
                <w:b w:val="0"/>
                <w:sz w:val="21"/>
                <w:szCs w:val="21"/>
              </w:rPr>
              <w:t>【标书内附清晰的扫描件并加盖公章鲜章】</w:t>
            </w:r>
          </w:p>
        </w:tc>
        <w:tc>
          <w:tcPr>
            <w:tcW w:w="1499" w:type="dxa"/>
            <w:noWrap w:val="0"/>
            <w:vAlign w:val="center"/>
          </w:tcPr>
          <w:p>
            <w:pPr>
              <w:snapToGrid w:val="0"/>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宋体" w:hAnsi="宋体"/>
                <w:szCs w:val="21"/>
              </w:rPr>
            </w:pPr>
            <w:r>
              <w:rPr>
                <w:rFonts w:hint="eastAsia" w:ascii="宋体" w:hAnsi="宋体"/>
                <w:szCs w:val="21"/>
              </w:rPr>
              <w:t>2</w:t>
            </w:r>
          </w:p>
        </w:tc>
        <w:tc>
          <w:tcPr>
            <w:tcW w:w="2991" w:type="dxa"/>
            <w:noWrap w:val="0"/>
            <w:vAlign w:val="center"/>
          </w:tcPr>
          <w:p>
            <w:pPr>
              <w:snapToGrid w:val="0"/>
              <w:jc w:val="center"/>
              <w:rPr>
                <w:rFonts w:ascii="宋体" w:hAnsi="宋体"/>
                <w:szCs w:val="21"/>
              </w:rPr>
            </w:pPr>
            <w:r>
              <w:rPr>
                <w:rFonts w:hint="eastAsia" w:ascii="宋体" w:hAnsi="宋体" w:cs="宋体"/>
                <w:bCs/>
                <w:szCs w:val="21"/>
              </w:rPr>
              <w:t>具有健全的财务会计制度</w:t>
            </w:r>
          </w:p>
        </w:tc>
        <w:tc>
          <w:tcPr>
            <w:tcW w:w="4020" w:type="dxa"/>
            <w:noWrap w:val="0"/>
            <w:vAlign w:val="center"/>
          </w:tcPr>
          <w:p>
            <w:pPr>
              <w:snapToGrid w:val="0"/>
              <w:jc w:val="left"/>
              <w:rPr>
                <w:rFonts w:hint="eastAsia" w:ascii="宋体" w:hAnsi="宋体" w:cs="宋体"/>
                <w:bCs/>
                <w:szCs w:val="21"/>
              </w:rPr>
            </w:pPr>
            <w:r>
              <w:rPr>
                <w:rFonts w:hint="eastAsia" w:ascii="宋体" w:hAnsi="宋体" w:cs="宋体"/>
                <w:bCs/>
                <w:szCs w:val="21"/>
              </w:rPr>
              <w:t>提供了2018年度经审计的财务报表或银行开具的资信证明</w:t>
            </w:r>
          </w:p>
          <w:p>
            <w:pPr>
              <w:pStyle w:val="4"/>
              <w:snapToGrid w:val="0"/>
              <w:spacing w:before="0" w:after="0" w:line="240" w:lineRule="auto"/>
              <w:jc w:val="left"/>
              <w:rPr>
                <w:rFonts w:ascii="宋体" w:hAnsi="宋体"/>
                <w:sz w:val="21"/>
                <w:szCs w:val="21"/>
              </w:rPr>
            </w:pPr>
            <w:r>
              <w:rPr>
                <w:rFonts w:hint="eastAsia" w:ascii="宋体" w:hAnsi="宋体" w:cs="宋体"/>
                <w:b w:val="0"/>
                <w:sz w:val="21"/>
                <w:szCs w:val="21"/>
                <w:shd w:val="clear" w:color="auto" w:fill="FFFFFF"/>
                <w:lang w:val="zh-CN"/>
              </w:rPr>
              <w:t>【</w:t>
            </w:r>
            <w:r>
              <w:rPr>
                <w:rFonts w:hint="eastAsia" w:ascii="宋体" w:hAnsi="宋体" w:cs="宋体"/>
                <w:b w:val="0"/>
                <w:sz w:val="21"/>
                <w:szCs w:val="21"/>
                <w:shd w:val="clear" w:color="auto" w:fill="FFFFFF"/>
              </w:rPr>
              <w:t>标书内附</w:t>
            </w:r>
            <w:r>
              <w:rPr>
                <w:rFonts w:hint="eastAsia" w:ascii="宋体" w:hAnsi="宋体" w:cs="宋体"/>
                <w:b w:val="0"/>
                <w:sz w:val="21"/>
                <w:szCs w:val="21"/>
                <w:lang w:val="zh-CN"/>
              </w:rPr>
              <w:t>（1）开户许可证扫描件，</w:t>
            </w:r>
            <w:r>
              <w:rPr>
                <w:rFonts w:hint="eastAsia" w:ascii="宋体" w:hAnsi="宋体" w:cs="宋体"/>
                <w:b w:val="0"/>
                <w:sz w:val="21"/>
                <w:szCs w:val="21"/>
              </w:rPr>
              <w:t>并加盖公章鲜章</w:t>
            </w:r>
            <w:r>
              <w:rPr>
                <w:rFonts w:hint="eastAsia" w:ascii="宋体" w:hAnsi="宋体" w:cs="宋体"/>
                <w:b w:val="0"/>
                <w:sz w:val="21"/>
                <w:szCs w:val="21"/>
                <w:lang w:val="zh-CN"/>
              </w:rPr>
              <w:t>；（2）提供2018年度经会计师事务所审计的财务报告，</w:t>
            </w:r>
            <w:r>
              <w:rPr>
                <w:rFonts w:hint="eastAsia" w:ascii="宋体" w:hAnsi="宋体" w:cs="宋体"/>
                <w:b w:val="0"/>
                <w:sz w:val="21"/>
                <w:szCs w:val="21"/>
              </w:rPr>
              <w:t>包括资产负债表、现金流量表、利润表和财务情况说明书的扫描件，或银行开具的资信证明，所有扫描件并加盖公章鲜章</w:t>
            </w:r>
            <w:r>
              <w:rPr>
                <w:rFonts w:hint="eastAsia" w:ascii="宋体" w:hAnsi="宋体" w:cs="宋体"/>
                <w:b w:val="0"/>
                <w:sz w:val="21"/>
                <w:szCs w:val="21"/>
                <w:shd w:val="clear" w:color="auto" w:fill="FFFFFF"/>
                <w:lang w:val="zh-CN"/>
              </w:rPr>
              <w:t>】</w:t>
            </w:r>
          </w:p>
        </w:tc>
        <w:tc>
          <w:tcPr>
            <w:tcW w:w="1499"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宋体" w:hAnsi="宋体"/>
                <w:szCs w:val="21"/>
              </w:rPr>
            </w:pPr>
            <w:r>
              <w:rPr>
                <w:rFonts w:hint="eastAsia" w:ascii="宋体" w:hAnsi="宋体"/>
                <w:szCs w:val="21"/>
              </w:rPr>
              <w:t>3</w:t>
            </w:r>
          </w:p>
        </w:tc>
        <w:tc>
          <w:tcPr>
            <w:tcW w:w="2991" w:type="dxa"/>
            <w:noWrap w:val="0"/>
            <w:vAlign w:val="center"/>
          </w:tcPr>
          <w:p>
            <w:pPr>
              <w:snapToGrid w:val="0"/>
              <w:jc w:val="center"/>
              <w:rPr>
                <w:rFonts w:ascii="宋体" w:hAnsi="宋体"/>
                <w:szCs w:val="21"/>
              </w:rPr>
            </w:pPr>
            <w:r>
              <w:rPr>
                <w:rFonts w:hint="eastAsia" w:ascii="宋体" w:hAnsi="宋体" w:cs="宋体"/>
                <w:bCs/>
                <w:szCs w:val="21"/>
              </w:rPr>
              <w:t>具有履行合同所必需的设备和专业技术能力</w:t>
            </w:r>
          </w:p>
        </w:tc>
        <w:tc>
          <w:tcPr>
            <w:tcW w:w="4020" w:type="dxa"/>
            <w:noWrap w:val="0"/>
            <w:vAlign w:val="top"/>
          </w:tcPr>
          <w:p>
            <w:pPr>
              <w:snapToGrid w:val="0"/>
              <w:jc w:val="left"/>
              <w:rPr>
                <w:rFonts w:hint="eastAsia" w:ascii="宋体" w:hAnsi="宋体" w:cs="宋体"/>
                <w:bCs/>
                <w:szCs w:val="21"/>
              </w:rPr>
            </w:pPr>
            <w:r>
              <w:rPr>
                <w:rFonts w:hint="eastAsia" w:ascii="宋体" w:hAnsi="宋体" w:cs="宋体"/>
                <w:bCs/>
                <w:szCs w:val="21"/>
              </w:rPr>
              <w:t>提供了可充分满足履行合同所需设备和专业技术能力的证明材料或承诺</w:t>
            </w:r>
          </w:p>
          <w:p>
            <w:pPr>
              <w:pStyle w:val="4"/>
              <w:snapToGrid w:val="0"/>
              <w:spacing w:before="0" w:after="0" w:line="240" w:lineRule="auto"/>
              <w:jc w:val="left"/>
              <w:rPr>
                <w:rFonts w:ascii="宋体" w:hAnsi="宋体"/>
                <w:sz w:val="21"/>
                <w:szCs w:val="21"/>
              </w:rPr>
            </w:pPr>
            <w:r>
              <w:rPr>
                <w:rFonts w:hint="eastAsia" w:ascii="宋体" w:hAnsi="宋体" w:cs="宋体"/>
                <w:b w:val="0"/>
                <w:sz w:val="21"/>
                <w:szCs w:val="21"/>
                <w:shd w:val="clear" w:color="auto" w:fill="FFFFFF"/>
                <w:lang w:val="zh-CN"/>
              </w:rPr>
              <w:t>【</w:t>
            </w:r>
            <w:r>
              <w:rPr>
                <w:rFonts w:hint="eastAsia" w:ascii="宋体" w:hAnsi="宋体" w:cs="宋体"/>
                <w:b w:val="0"/>
                <w:sz w:val="21"/>
                <w:szCs w:val="21"/>
                <w:shd w:val="clear" w:color="auto" w:fill="FFFFFF"/>
              </w:rPr>
              <w:t>标书内附</w:t>
            </w:r>
            <w:r>
              <w:rPr>
                <w:rFonts w:hint="eastAsia" w:ascii="宋体" w:hAnsi="宋体" w:cs="宋体"/>
                <w:b w:val="0"/>
                <w:sz w:val="21"/>
                <w:szCs w:val="21"/>
              </w:rPr>
              <w:t>相关证明材料或承诺，并加盖公章鲜章</w:t>
            </w:r>
            <w:r>
              <w:rPr>
                <w:rFonts w:hint="eastAsia" w:ascii="宋体" w:hAnsi="宋体" w:cs="宋体"/>
                <w:b w:val="0"/>
                <w:sz w:val="21"/>
                <w:szCs w:val="21"/>
                <w:shd w:val="clear" w:color="auto" w:fill="FFFFFF"/>
                <w:lang w:val="zh-CN"/>
              </w:rPr>
              <w:t>】</w:t>
            </w:r>
          </w:p>
        </w:tc>
        <w:tc>
          <w:tcPr>
            <w:tcW w:w="1499"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ascii="宋体" w:hAnsi="宋体"/>
                <w:szCs w:val="21"/>
              </w:rPr>
            </w:pPr>
            <w:r>
              <w:rPr>
                <w:rFonts w:hint="eastAsia" w:ascii="宋体" w:hAnsi="宋体"/>
                <w:szCs w:val="21"/>
              </w:rPr>
              <w:t>4</w:t>
            </w:r>
          </w:p>
        </w:tc>
        <w:tc>
          <w:tcPr>
            <w:tcW w:w="2991" w:type="dxa"/>
            <w:noWrap w:val="0"/>
            <w:vAlign w:val="center"/>
          </w:tcPr>
          <w:p>
            <w:pPr>
              <w:snapToGrid w:val="0"/>
              <w:jc w:val="center"/>
              <w:rPr>
                <w:rFonts w:ascii="宋体" w:hAnsi="宋体"/>
                <w:szCs w:val="21"/>
              </w:rPr>
            </w:pPr>
            <w:r>
              <w:rPr>
                <w:rFonts w:hint="eastAsia" w:ascii="宋体" w:hAnsi="宋体" w:cs="宋体"/>
                <w:bCs/>
                <w:szCs w:val="21"/>
              </w:rPr>
              <w:t>有依法缴纳税收和社会保障资金的良好记录</w:t>
            </w:r>
          </w:p>
        </w:tc>
        <w:tc>
          <w:tcPr>
            <w:tcW w:w="4020" w:type="dxa"/>
            <w:noWrap w:val="0"/>
            <w:vAlign w:val="top"/>
          </w:tcPr>
          <w:p>
            <w:pPr>
              <w:numPr>
                <w:ilvl w:val="0"/>
                <w:numId w:val="5"/>
              </w:numPr>
              <w:snapToGrid w:val="0"/>
              <w:jc w:val="left"/>
              <w:rPr>
                <w:rFonts w:hint="eastAsia" w:ascii="宋体" w:hAnsi="宋体" w:cs="宋体"/>
                <w:bCs/>
                <w:szCs w:val="21"/>
              </w:rPr>
            </w:pPr>
            <w:r>
              <w:rPr>
                <w:rFonts w:hint="eastAsia" w:ascii="宋体" w:hAnsi="宋体" w:cs="宋体"/>
                <w:bCs/>
                <w:szCs w:val="21"/>
              </w:rPr>
              <w:t>提供了提供近六个月中任意一个月的缴纳增值税和企业所得税的凭证</w:t>
            </w:r>
          </w:p>
          <w:p>
            <w:pPr>
              <w:snapToGrid w:val="0"/>
              <w:jc w:val="left"/>
              <w:rPr>
                <w:rFonts w:hint="eastAsia" w:ascii="宋体" w:hAnsi="宋体" w:cs="宋体"/>
                <w:bCs/>
                <w:szCs w:val="21"/>
              </w:rPr>
            </w:pPr>
            <w:r>
              <w:rPr>
                <w:rFonts w:hint="eastAsia" w:ascii="宋体" w:hAnsi="宋体" w:cs="宋体"/>
                <w:bCs/>
                <w:szCs w:val="21"/>
              </w:rPr>
              <w:t>【标书内附银行出具的缴税凭证或税务机关出具的证明的复印件或免税证明，并加盖公章鲜章】</w:t>
            </w:r>
          </w:p>
          <w:p>
            <w:pPr>
              <w:numPr>
                <w:ilvl w:val="0"/>
                <w:numId w:val="5"/>
              </w:numPr>
              <w:snapToGrid w:val="0"/>
              <w:jc w:val="left"/>
              <w:rPr>
                <w:rFonts w:hint="eastAsia" w:ascii="宋体" w:hAnsi="宋体" w:cs="宋体"/>
                <w:bCs/>
                <w:szCs w:val="21"/>
              </w:rPr>
            </w:pPr>
            <w:r>
              <w:rPr>
                <w:rFonts w:hint="eastAsia" w:ascii="宋体" w:hAnsi="宋体" w:cs="宋体"/>
                <w:bCs/>
                <w:szCs w:val="21"/>
              </w:rPr>
              <w:t>提供了提供近六个月内任意一个月的社会保障资金缴纳记录</w:t>
            </w:r>
          </w:p>
          <w:p>
            <w:pPr>
              <w:snapToGrid w:val="0"/>
              <w:jc w:val="left"/>
              <w:rPr>
                <w:rFonts w:ascii="宋体" w:hAnsi="宋体"/>
                <w:szCs w:val="21"/>
              </w:rPr>
            </w:pPr>
            <w:r>
              <w:rPr>
                <w:rFonts w:hint="eastAsia" w:ascii="宋体" w:hAnsi="宋体" w:cs="宋体"/>
                <w:bCs/>
                <w:szCs w:val="21"/>
              </w:rPr>
              <w:t>【标书内附专用收据或社会保险缴纳清单或免缴纳证明，并加盖公章鲜章】</w:t>
            </w:r>
          </w:p>
        </w:tc>
        <w:tc>
          <w:tcPr>
            <w:tcW w:w="1499"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宋体" w:hAnsi="宋体"/>
                <w:szCs w:val="21"/>
              </w:rPr>
            </w:pPr>
            <w:r>
              <w:rPr>
                <w:rFonts w:hint="eastAsia" w:ascii="宋体" w:hAnsi="宋体"/>
                <w:szCs w:val="21"/>
              </w:rPr>
              <w:t>5</w:t>
            </w:r>
          </w:p>
        </w:tc>
        <w:tc>
          <w:tcPr>
            <w:tcW w:w="2991" w:type="dxa"/>
            <w:noWrap w:val="0"/>
            <w:vAlign w:val="center"/>
          </w:tcPr>
          <w:p>
            <w:pPr>
              <w:snapToGrid w:val="0"/>
              <w:jc w:val="center"/>
              <w:rPr>
                <w:rFonts w:ascii="宋体" w:hAnsi="宋体"/>
                <w:szCs w:val="21"/>
              </w:rPr>
            </w:pPr>
            <w:r>
              <w:rPr>
                <w:rFonts w:hint="eastAsia" w:ascii="宋体" w:hAnsi="宋体" w:cs="宋体"/>
                <w:bCs/>
                <w:szCs w:val="21"/>
              </w:rPr>
              <w:t>参加采购活动前三年内，在经营活动中没有重大违法记录</w:t>
            </w:r>
          </w:p>
        </w:tc>
        <w:tc>
          <w:tcPr>
            <w:tcW w:w="4020" w:type="dxa"/>
            <w:noWrap w:val="0"/>
            <w:vAlign w:val="top"/>
          </w:tcPr>
          <w:p>
            <w:pPr>
              <w:snapToGrid w:val="0"/>
              <w:jc w:val="left"/>
              <w:rPr>
                <w:rFonts w:hint="eastAsia" w:ascii="宋体" w:hAnsi="宋体" w:cs="宋体"/>
                <w:bCs/>
                <w:szCs w:val="21"/>
              </w:rPr>
            </w:pPr>
            <w:r>
              <w:rPr>
                <w:rFonts w:hint="eastAsia" w:ascii="宋体" w:hAnsi="宋体" w:cs="宋体"/>
                <w:bCs/>
                <w:szCs w:val="21"/>
              </w:rPr>
              <w:t>提供了有效的参加采购活动前3年内在经营活动中没有重大违法记录的书面声明</w:t>
            </w:r>
          </w:p>
          <w:p>
            <w:pPr>
              <w:pStyle w:val="4"/>
              <w:snapToGrid w:val="0"/>
              <w:spacing w:before="0" w:after="0" w:line="240" w:lineRule="auto"/>
              <w:jc w:val="left"/>
              <w:rPr>
                <w:rFonts w:ascii="宋体" w:hAnsi="宋体"/>
                <w:sz w:val="21"/>
                <w:szCs w:val="21"/>
              </w:rPr>
            </w:pPr>
            <w:r>
              <w:rPr>
                <w:rFonts w:hint="eastAsia" w:ascii="宋体" w:hAnsi="宋体" w:cs="宋体"/>
                <w:b w:val="0"/>
                <w:sz w:val="21"/>
                <w:szCs w:val="21"/>
              </w:rPr>
              <w:t>【标书内附书面证明，并加盖公章鲜章】</w:t>
            </w:r>
          </w:p>
        </w:tc>
        <w:tc>
          <w:tcPr>
            <w:tcW w:w="1499"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宋体" w:hAnsi="宋体"/>
                <w:szCs w:val="21"/>
              </w:rPr>
            </w:pPr>
            <w:r>
              <w:rPr>
                <w:rFonts w:hint="eastAsia" w:ascii="宋体" w:hAnsi="宋体"/>
                <w:szCs w:val="21"/>
              </w:rPr>
              <w:t>6</w:t>
            </w:r>
          </w:p>
        </w:tc>
        <w:tc>
          <w:tcPr>
            <w:tcW w:w="2991" w:type="dxa"/>
            <w:noWrap w:val="0"/>
            <w:vAlign w:val="center"/>
          </w:tcPr>
          <w:p>
            <w:pPr>
              <w:snapToGrid w:val="0"/>
              <w:jc w:val="center"/>
              <w:rPr>
                <w:rFonts w:ascii="宋体" w:hAnsi="宋体"/>
                <w:szCs w:val="21"/>
              </w:rPr>
            </w:pPr>
            <w:r>
              <w:rPr>
                <w:rFonts w:hint="eastAsia" w:ascii="宋体" w:hAnsi="宋体" w:cs="宋体"/>
                <w:bCs/>
                <w:szCs w:val="21"/>
              </w:rPr>
              <w:t>信誉要求</w:t>
            </w:r>
          </w:p>
        </w:tc>
        <w:tc>
          <w:tcPr>
            <w:tcW w:w="4020" w:type="dxa"/>
            <w:noWrap w:val="0"/>
            <w:vAlign w:val="top"/>
          </w:tcPr>
          <w:p>
            <w:pPr>
              <w:snapToGrid w:val="0"/>
              <w:jc w:val="left"/>
              <w:rPr>
                <w:rFonts w:hint="eastAsia" w:ascii="宋体" w:hAnsi="宋体" w:cs="宋体"/>
                <w:bCs/>
                <w:szCs w:val="21"/>
              </w:rPr>
            </w:pPr>
            <w:r>
              <w:rPr>
                <w:rFonts w:hint="eastAsia" w:ascii="宋体" w:hAnsi="宋体" w:cs="宋体"/>
                <w:bCs/>
                <w:szCs w:val="21"/>
              </w:rPr>
              <w:t>未被“信用中国”网站</w:t>
            </w:r>
            <w:r>
              <w:rPr>
                <w:rFonts w:hint="eastAsia" w:ascii="宋体" w:hAnsi="宋体" w:cs="宋体"/>
                <w:bCs/>
                <w:szCs w:val="21"/>
              </w:rPr>
              <w:fldChar w:fldCharType="begin"/>
            </w:r>
            <w:r>
              <w:rPr>
                <w:rFonts w:hint="eastAsia" w:ascii="宋体" w:hAnsi="宋体" w:cs="宋体"/>
                <w:bCs/>
                <w:szCs w:val="21"/>
              </w:rPr>
              <w:instrText xml:space="preserve"> HYPERLINK "http://www.creditchina.gov.cn）中列入失信被执行人和/" </w:instrText>
            </w:r>
            <w:r>
              <w:rPr>
                <w:rFonts w:hint="eastAsia" w:ascii="宋体" w:hAnsi="宋体" w:cs="宋体"/>
                <w:bCs/>
                <w:szCs w:val="21"/>
              </w:rPr>
              <w:fldChar w:fldCharType="separate"/>
            </w:r>
            <w:r>
              <w:rPr>
                <w:rFonts w:hint="eastAsia" w:ascii="宋体" w:hAnsi="宋体" w:cs="宋体"/>
                <w:bCs/>
                <w:szCs w:val="21"/>
              </w:rPr>
              <w:t>中列入失信被执行人和/</w:t>
            </w:r>
            <w:r>
              <w:rPr>
                <w:rFonts w:hint="eastAsia" w:ascii="宋体" w:hAnsi="宋体" w:cs="宋体"/>
                <w:bCs/>
                <w:szCs w:val="21"/>
              </w:rPr>
              <w:fldChar w:fldCharType="end"/>
            </w:r>
            <w:r>
              <w:rPr>
                <w:rFonts w:hint="eastAsia" w:ascii="宋体" w:hAnsi="宋体" w:cs="宋体"/>
                <w:bCs/>
                <w:szCs w:val="21"/>
              </w:rPr>
              <w:t>或重大税收违法案件当事人、未被“国家企业信用信息公示系统”网站列入严重违法失信企业名单。</w:t>
            </w:r>
          </w:p>
          <w:p>
            <w:pPr>
              <w:snapToGrid w:val="0"/>
              <w:jc w:val="left"/>
              <w:rPr>
                <w:rFonts w:ascii="宋体" w:hAnsi="宋体"/>
                <w:szCs w:val="21"/>
              </w:rPr>
            </w:pPr>
            <w:r>
              <w:rPr>
                <w:rFonts w:hint="eastAsia" w:ascii="宋体" w:hAnsi="宋体" w:cs="宋体"/>
                <w:bCs/>
                <w:szCs w:val="21"/>
                <w:shd w:val="clear" w:color="auto" w:fill="FFFFFF"/>
              </w:rPr>
              <w:t>【</w:t>
            </w:r>
            <w:r>
              <w:rPr>
                <w:rFonts w:hint="eastAsia" w:ascii="宋体" w:hAnsi="宋体" w:cs="宋体"/>
                <w:bCs/>
                <w:szCs w:val="21"/>
              </w:rPr>
              <w:t>提供查询时间在招标公告之日起至开标前期间内的相关信息的截图，并加盖公章鲜章</w:t>
            </w:r>
            <w:r>
              <w:rPr>
                <w:rFonts w:hint="eastAsia" w:ascii="宋体" w:hAnsi="宋体" w:cs="宋体"/>
                <w:bCs/>
                <w:szCs w:val="21"/>
                <w:shd w:val="clear" w:color="auto" w:fill="FFFFFF"/>
              </w:rPr>
              <w:t>】</w:t>
            </w:r>
          </w:p>
        </w:tc>
        <w:tc>
          <w:tcPr>
            <w:tcW w:w="1499" w:type="dxa"/>
            <w:noWrap w:val="0"/>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ascii="宋体" w:hAnsi="宋体"/>
                <w:szCs w:val="21"/>
              </w:rPr>
            </w:pPr>
            <w:r>
              <w:rPr>
                <w:rFonts w:hint="eastAsia" w:ascii="宋体" w:hAnsi="宋体"/>
                <w:szCs w:val="21"/>
              </w:rPr>
              <w:t>7</w:t>
            </w:r>
          </w:p>
        </w:tc>
        <w:tc>
          <w:tcPr>
            <w:tcW w:w="2991" w:type="dxa"/>
            <w:noWrap w:val="0"/>
            <w:vAlign w:val="center"/>
          </w:tcPr>
          <w:p>
            <w:pPr>
              <w:snapToGrid w:val="0"/>
              <w:jc w:val="center"/>
              <w:rPr>
                <w:rFonts w:ascii="宋体" w:hAnsi="宋体"/>
                <w:szCs w:val="21"/>
              </w:rPr>
            </w:pPr>
            <w:r>
              <w:rPr>
                <w:rFonts w:hint="eastAsia" w:ascii="宋体" w:hAnsi="宋体" w:cs="宋体"/>
                <w:bCs/>
                <w:szCs w:val="21"/>
              </w:rPr>
              <w:t>单位负责人为同一人或者存在控股、管理关系的不同单位，不得同时参加本项目的投标</w:t>
            </w:r>
          </w:p>
        </w:tc>
        <w:tc>
          <w:tcPr>
            <w:tcW w:w="4020" w:type="dxa"/>
            <w:noWrap w:val="0"/>
            <w:vAlign w:val="top"/>
          </w:tcPr>
          <w:p>
            <w:pPr>
              <w:snapToGrid w:val="0"/>
              <w:jc w:val="left"/>
              <w:rPr>
                <w:rFonts w:hint="eastAsia" w:ascii="宋体" w:hAnsi="宋体" w:cs="宋体"/>
                <w:bCs/>
                <w:szCs w:val="21"/>
              </w:rPr>
            </w:pPr>
            <w:r>
              <w:rPr>
                <w:rFonts w:hint="eastAsia" w:ascii="宋体" w:hAnsi="宋体" w:cs="宋体"/>
                <w:bCs/>
                <w:szCs w:val="21"/>
              </w:rPr>
              <w:t>提供了法人代表、控股股东、控股企业及管理、被管理单位情况声明且各供应商之间不存在单位负责人为同一人或者存在控股、管理关系情形。</w:t>
            </w:r>
          </w:p>
          <w:p>
            <w:pPr>
              <w:pStyle w:val="4"/>
              <w:snapToGrid w:val="0"/>
              <w:spacing w:before="0" w:after="0" w:line="240" w:lineRule="auto"/>
              <w:jc w:val="left"/>
              <w:rPr>
                <w:rFonts w:ascii="宋体" w:hAnsi="宋体"/>
                <w:sz w:val="21"/>
                <w:szCs w:val="21"/>
              </w:rPr>
            </w:pPr>
            <w:r>
              <w:rPr>
                <w:rFonts w:hint="eastAsia" w:ascii="宋体" w:hAnsi="宋体" w:cs="宋体"/>
                <w:b w:val="0"/>
                <w:sz w:val="21"/>
                <w:szCs w:val="21"/>
              </w:rPr>
              <w:t>【标书内附书面声明，并加盖公章鲜章】</w:t>
            </w:r>
          </w:p>
        </w:tc>
        <w:tc>
          <w:tcPr>
            <w:tcW w:w="1499" w:type="dxa"/>
            <w:noWrap w:val="0"/>
            <w:vAlign w:val="center"/>
          </w:tcPr>
          <w:p>
            <w:pPr>
              <w:snapToGrid w:val="0"/>
              <w:ind w:left="42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50" w:type="dxa"/>
            <w:gridSpan w:val="3"/>
            <w:noWrap w:val="0"/>
            <w:vAlign w:val="center"/>
          </w:tcPr>
          <w:p>
            <w:pPr>
              <w:snapToGrid w:val="0"/>
              <w:jc w:val="center"/>
              <w:rPr>
                <w:rFonts w:ascii="宋体" w:hAnsi="宋体"/>
                <w:szCs w:val="21"/>
              </w:rPr>
            </w:pPr>
            <w:r>
              <w:rPr>
                <w:rFonts w:hint="eastAsia" w:ascii="宋体" w:hAnsi="宋体"/>
                <w:szCs w:val="21"/>
              </w:rPr>
              <w:t>结        论</w:t>
            </w:r>
          </w:p>
        </w:tc>
        <w:tc>
          <w:tcPr>
            <w:tcW w:w="1499" w:type="dxa"/>
            <w:noWrap w:val="0"/>
            <w:vAlign w:val="center"/>
          </w:tcPr>
          <w:p>
            <w:pPr>
              <w:snapToGrid w:val="0"/>
              <w:ind w:left="425"/>
              <w:jc w:val="center"/>
              <w:rPr>
                <w:rFonts w:ascii="宋体" w:hAnsi="宋体"/>
                <w:szCs w:val="21"/>
              </w:rPr>
            </w:pPr>
          </w:p>
        </w:tc>
      </w:tr>
    </w:tbl>
    <w:p>
      <w:pPr>
        <w:snapToGrid w:val="0"/>
        <w:spacing w:line="360" w:lineRule="auto"/>
        <w:jc w:val="left"/>
        <w:rPr>
          <w:rFonts w:ascii="宋体" w:hAnsi="宋体"/>
          <w:szCs w:val="21"/>
        </w:rPr>
      </w:pPr>
      <w:r>
        <w:rPr>
          <w:rFonts w:hint="eastAsia" w:ascii="宋体" w:hAnsi="宋体"/>
          <w:szCs w:val="21"/>
        </w:rPr>
        <w:t>注：符合要求用“</w:t>
      </w:r>
      <w:r>
        <w:rPr>
          <w:rFonts w:ascii="Arial" w:hAnsi="Arial" w:cs="Arial"/>
          <w:szCs w:val="21"/>
        </w:rPr>
        <w:t>√</w:t>
      </w:r>
      <w:r>
        <w:rPr>
          <w:rFonts w:hint="eastAsia" w:ascii="宋体" w:hAnsi="宋体"/>
          <w:szCs w:val="21"/>
        </w:rPr>
        <w:t>”表示，不符合用“×”表示。有一项不符合要求，结论为不合格。</w:t>
      </w:r>
    </w:p>
    <w:p>
      <w:pPr>
        <w:tabs>
          <w:tab w:val="left" w:pos="-94"/>
          <w:tab w:val="left" w:pos="428"/>
        </w:tabs>
        <w:adjustRightInd w:val="0"/>
        <w:snapToGrid w:val="0"/>
        <w:spacing w:line="360" w:lineRule="auto"/>
        <w:ind w:left="23" w:leftChars="11"/>
        <w:jc w:val="center"/>
        <w:textAlignment w:val="baseline"/>
        <w:outlineLvl w:val="1"/>
        <w:rPr>
          <w:rFonts w:ascii="宋体" w:hAnsi="宋体"/>
          <w:b/>
          <w:szCs w:val="21"/>
        </w:rPr>
      </w:pPr>
      <w:r>
        <w:rPr>
          <w:rFonts w:ascii="宋体" w:hAnsi="宋体"/>
          <w:szCs w:val="21"/>
        </w:rPr>
        <w:br w:type="page"/>
      </w:r>
      <w:r>
        <w:rPr>
          <w:rFonts w:hint="eastAsia" w:ascii="宋体" w:hAnsi="宋体"/>
          <w:b/>
          <w:szCs w:val="21"/>
        </w:rPr>
        <w:t xml:space="preserve">附表二 </w:t>
      </w:r>
      <w:r>
        <w:rPr>
          <w:rFonts w:ascii="宋体" w:hAnsi="宋体"/>
          <w:b/>
          <w:szCs w:val="21"/>
        </w:rPr>
        <w:t>符合性审查表</w:t>
      </w:r>
    </w:p>
    <w:tbl>
      <w:tblPr>
        <w:tblStyle w:val="4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1"/>
        <w:gridCol w:w="1994"/>
        <w:gridCol w:w="5091"/>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tabs>
                <w:tab w:val="left" w:pos="1260"/>
                <w:tab w:val="left" w:pos="1620"/>
              </w:tabs>
              <w:adjustRightInd w:val="0"/>
              <w:snapToGrid w:val="0"/>
              <w:jc w:val="center"/>
              <w:textAlignment w:val="baseline"/>
              <w:rPr>
                <w:rFonts w:ascii="宋体" w:hAnsi="宋体"/>
                <w:b/>
                <w:caps/>
                <w:szCs w:val="21"/>
              </w:rPr>
            </w:pPr>
            <w:r>
              <w:rPr>
                <w:rFonts w:ascii="宋体" w:hAnsi="宋体"/>
                <w:b/>
                <w:caps/>
                <w:szCs w:val="21"/>
              </w:rPr>
              <w:t>序号</w:t>
            </w:r>
          </w:p>
        </w:tc>
        <w:tc>
          <w:tcPr>
            <w:tcW w:w="1994" w:type="dxa"/>
            <w:noWrap w:val="0"/>
            <w:vAlign w:val="center"/>
          </w:tcPr>
          <w:p>
            <w:pPr>
              <w:tabs>
                <w:tab w:val="left" w:pos="1260"/>
                <w:tab w:val="left" w:pos="1620"/>
              </w:tabs>
              <w:adjustRightInd w:val="0"/>
              <w:snapToGrid w:val="0"/>
              <w:jc w:val="center"/>
              <w:textAlignment w:val="baseline"/>
              <w:rPr>
                <w:rFonts w:ascii="宋体" w:hAnsi="宋体"/>
                <w:b/>
                <w:caps/>
                <w:szCs w:val="21"/>
              </w:rPr>
            </w:pPr>
            <w:r>
              <w:rPr>
                <w:rFonts w:hint="eastAsia" w:ascii="宋体" w:hAnsi="宋体"/>
                <w:b/>
                <w:caps/>
                <w:szCs w:val="21"/>
              </w:rPr>
              <w:t>评审项目</w:t>
            </w:r>
          </w:p>
        </w:tc>
        <w:tc>
          <w:tcPr>
            <w:tcW w:w="5091" w:type="dxa"/>
            <w:noWrap w:val="0"/>
            <w:vAlign w:val="center"/>
          </w:tcPr>
          <w:p>
            <w:pPr>
              <w:tabs>
                <w:tab w:val="left" w:pos="1260"/>
                <w:tab w:val="left" w:pos="1620"/>
              </w:tabs>
              <w:adjustRightInd w:val="0"/>
              <w:snapToGrid w:val="0"/>
              <w:jc w:val="center"/>
              <w:textAlignment w:val="baseline"/>
              <w:rPr>
                <w:rFonts w:ascii="宋体" w:hAnsi="宋体"/>
                <w:b/>
                <w:caps/>
                <w:szCs w:val="21"/>
              </w:rPr>
            </w:pPr>
            <w:r>
              <w:rPr>
                <w:rFonts w:hint="eastAsia" w:ascii="宋体" w:hAnsi="宋体"/>
                <w:b/>
                <w:caps/>
                <w:szCs w:val="21"/>
              </w:rPr>
              <w:t>评审标准</w:t>
            </w:r>
          </w:p>
        </w:tc>
        <w:tc>
          <w:tcPr>
            <w:tcW w:w="1275" w:type="dxa"/>
            <w:noWrap w:val="0"/>
            <w:vAlign w:val="center"/>
          </w:tcPr>
          <w:p>
            <w:pPr>
              <w:tabs>
                <w:tab w:val="left" w:pos="1260"/>
                <w:tab w:val="left" w:pos="1620"/>
              </w:tabs>
              <w:adjustRightInd w:val="0"/>
              <w:snapToGrid w:val="0"/>
              <w:jc w:val="center"/>
              <w:textAlignment w:val="baseline"/>
              <w:rPr>
                <w:rFonts w:ascii="宋体" w:hAnsi="宋体"/>
                <w:b/>
                <w:caps/>
                <w:szCs w:val="21"/>
              </w:rPr>
            </w:pPr>
            <w:r>
              <w:rPr>
                <w:rFonts w:ascii="宋体" w:hAnsi="宋体"/>
                <w:b/>
                <w:caps/>
                <w:szCs w:val="21"/>
              </w:rPr>
              <w:t>评审结论</w:t>
            </w:r>
          </w:p>
          <w:p>
            <w:pPr>
              <w:tabs>
                <w:tab w:val="left" w:pos="1260"/>
                <w:tab w:val="left" w:pos="1620"/>
              </w:tabs>
              <w:adjustRightInd w:val="0"/>
              <w:snapToGrid w:val="0"/>
              <w:jc w:val="center"/>
              <w:textAlignment w:val="baseline"/>
              <w:rPr>
                <w:rFonts w:ascii="宋体" w:hAnsi="宋体"/>
                <w:b/>
                <w:caps/>
                <w:szCs w:val="21"/>
              </w:rPr>
            </w:pPr>
            <w:r>
              <w:rPr>
                <w:rFonts w:ascii="宋体" w:hAnsi="宋体"/>
                <w:b/>
                <w:caps/>
                <w:szCs w:val="21"/>
              </w:rPr>
              <w:t>（</w:t>
            </w:r>
            <w:r>
              <w:rPr>
                <w:rFonts w:ascii="Arial" w:hAnsi="Arial" w:eastAsia="MS Mincho" w:cs="Arial"/>
                <w:b/>
                <w:caps/>
                <w:szCs w:val="21"/>
              </w:rPr>
              <w:t>√</w:t>
            </w:r>
            <w:r>
              <w:rPr>
                <w:rFonts w:ascii="宋体" w:hAnsi="宋体"/>
                <w:b/>
                <w:caps/>
                <w:szCs w:val="21"/>
              </w:rPr>
              <w:t>/</w:t>
            </w:r>
            <w:r>
              <w:rPr>
                <w:rFonts w:hint="eastAsia" w:ascii="宋体" w:hAnsi="宋体"/>
                <w:szCs w:val="21"/>
              </w:rPr>
              <w:t>×</w:t>
            </w:r>
            <w:r>
              <w:rPr>
                <w:rFonts w:ascii="宋体" w:hAnsi="宋体"/>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6"/>
              </w:numPr>
              <w:tabs>
                <w:tab w:val="left" w:pos="1260"/>
                <w:tab w:val="left" w:pos="1620"/>
              </w:tabs>
              <w:adjustRightInd w:val="0"/>
              <w:snapToGrid w:val="0"/>
              <w:textAlignment w:val="baseline"/>
              <w:rPr>
                <w:rFonts w:ascii="宋体" w:hAnsi="宋体"/>
                <w:szCs w:val="21"/>
              </w:rPr>
            </w:pPr>
          </w:p>
        </w:tc>
        <w:tc>
          <w:tcPr>
            <w:tcW w:w="1994" w:type="dxa"/>
            <w:noWrap w:val="0"/>
            <w:vAlign w:val="center"/>
          </w:tcPr>
          <w:p>
            <w:pPr>
              <w:tabs>
                <w:tab w:val="left" w:pos="1260"/>
                <w:tab w:val="left" w:pos="1620"/>
              </w:tabs>
              <w:adjustRightInd w:val="0"/>
              <w:snapToGrid w:val="0"/>
              <w:jc w:val="center"/>
              <w:textAlignment w:val="baseline"/>
              <w:rPr>
                <w:rFonts w:ascii="宋体" w:hAnsi="宋体"/>
                <w:szCs w:val="21"/>
              </w:rPr>
            </w:pPr>
            <w:r>
              <w:rPr>
                <w:rFonts w:hint="eastAsia" w:ascii="宋体" w:hAnsi="宋体" w:cs="宋体"/>
                <w:bCs/>
                <w:szCs w:val="21"/>
              </w:rPr>
              <w:t>响应文件签署盖章</w:t>
            </w:r>
          </w:p>
        </w:tc>
        <w:tc>
          <w:tcPr>
            <w:tcW w:w="5091" w:type="dxa"/>
            <w:noWrap w:val="0"/>
            <w:vAlign w:val="center"/>
          </w:tcPr>
          <w:p>
            <w:pPr>
              <w:tabs>
                <w:tab w:val="left" w:pos="1260"/>
                <w:tab w:val="left" w:pos="1620"/>
              </w:tabs>
              <w:adjustRightInd w:val="0"/>
              <w:snapToGrid w:val="0"/>
              <w:jc w:val="left"/>
              <w:textAlignment w:val="baseline"/>
              <w:rPr>
                <w:rFonts w:ascii="宋体" w:hAnsi="宋体"/>
                <w:szCs w:val="21"/>
              </w:rPr>
            </w:pPr>
            <w:r>
              <w:rPr>
                <w:rFonts w:hint="eastAsia" w:ascii="宋体" w:hAnsi="宋体" w:cs="宋体"/>
                <w:bCs/>
                <w:szCs w:val="21"/>
              </w:rPr>
              <w:t>按磋商文件格式要求加盖了投标人公章和（/或）有法定代表人或其授权代表签字或加盖人名章。</w:t>
            </w:r>
          </w:p>
        </w:tc>
        <w:tc>
          <w:tcPr>
            <w:tcW w:w="1275" w:type="dxa"/>
            <w:noWrap w:val="0"/>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6"/>
              </w:numPr>
              <w:tabs>
                <w:tab w:val="left" w:pos="1260"/>
                <w:tab w:val="left" w:pos="1620"/>
              </w:tabs>
              <w:adjustRightInd w:val="0"/>
              <w:snapToGrid w:val="0"/>
              <w:textAlignment w:val="baseline"/>
              <w:rPr>
                <w:rFonts w:ascii="宋体" w:hAnsi="宋体"/>
                <w:szCs w:val="21"/>
              </w:rPr>
            </w:pPr>
          </w:p>
        </w:tc>
        <w:tc>
          <w:tcPr>
            <w:tcW w:w="1994" w:type="dxa"/>
            <w:noWrap w:val="0"/>
            <w:vAlign w:val="center"/>
          </w:tcPr>
          <w:p>
            <w:pPr>
              <w:tabs>
                <w:tab w:val="left" w:pos="1260"/>
                <w:tab w:val="left" w:pos="1620"/>
              </w:tabs>
              <w:adjustRightInd w:val="0"/>
              <w:snapToGrid w:val="0"/>
              <w:jc w:val="center"/>
              <w:textAlignment w:val="baseline"/>
              <w:rPr>
                <w:rFonts w:ascii="宋体" w:hAnsi="宋体"/>
                <w:szCs w:val="21"/>
              </w:rPr>
            </w:pPr>
            <w:r>
              <w:rPr>
                <w:rFonts w:hint="eastAsia" w:ascii="宋体" w:hAnsi="宋体" w:cs="宋体"/>
                <w:bCs/>
                <w:szCs w:val="21"/>
              </w:rPr>
              <w:t>报价</w:t>
            </w:r>
          </w:p>
        </w:tc>
        <w:tc>
          <w:tcPr>
            <w:tcW w:w="5091" w:type="dxa"/>
            <w:noWrap w:val="0"/>
            <w:vAlign w:val="center"/>
          </w:tcPr>
          <w:p>
            <w:pPr>
              <w:tabs>
                <w:tab w:val="left" w:pos="1260"/>
                <w:tab w:val="left" w:pos="1620"/>
              </w:tabs>
              <w:adjustRightInd w:val="0"/>
              <w:snapToGrid w:val="0"/>
              <w:jc w:val="left"/>
              <w:textAlignment w:val="baseline"/>
              <w:rPr>
                <w:rFonts w:ascii="宋体" w:hAnsi="宋体"/>
                <w:szCs w:val="21"/>
              </w:rPr>
            </w:pPr>
            <w:r>
              <w:rPr>
                <w:rFonts w:hint="eastAsia" w:ascii="宋体" w:hAnsi="宋体" w:cs="宋体"/>
                <w:bCs/>
                <w:szCs w:val="21"/>
              </w:rPr>
              <w:t>供应商报价是固定价且未超过预算金额（磋商文件有最高限价的，报价未超过最高限价）；</w:t>
            </w:r>
          </w:p>
        </w:tc>
        <w:tc>
          <w:tcPr>
            <w:tcW w:w="1275" w:type="dxa"/>
            <w:noWrap w:val="0"/>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6"/>
              </w:numPr>
              <w:tabs>
                <w:tab w:val="left" w:pos="1260"/>
                <w:tab w:val="left" w:pos="1620"/>
              </w:tabs>
              <w:adjustRightInd w:val="0"/>
              <w:snapToGrid w:val="0"/>
              <w:textAlignment w:val="baseline"/>
              <w:rPr>
                <w:rFonts w:ascii="宋体" w:hAnsi="宋体"/>
                <w:szCs w:val="21"/>
              </w:rPr>
            </w:pPr>
          </w:p>
        </w:tc>
        <w:tc>
          <w:tcPr>
            <w:tcW w:w="1994" w:type="dxa"/>
            <w:noWrap w:val="0"/>
            <w:vAlign w:val="center"/>
          </w:tcPr>
          <w:p>
            <w:pPr>
              <w:snapToGrid w:val="0"/>
              <w:jc w:val="center"/>
              <w:rPr>
                <w:rFonts w:ascii="宋体" w:hAnsi="宋体"/>
                <w:szCs w:val="21"/>
              </w:rPr>
            </w:pPr>
            <w:r>
              <w:rPr>
                <w:rFonts w:hint="eastAsia" w:ascii="宋体" w:hAnsi="宋体" w:cs="宋体"/>
                <w:bCs/>
                <w:szCs w:val="21"/>
              </w:rPr>
              <w:t>磋商保证金</w:t>
            </w:r>
          </w:p>
        </w:tc>
        <w:tc>
          <w:tcPr>
            <w:tcW w:w="5091" w:type="dxa"/>
            <w:noWrap w:val="0"/>
            <w:vAlign w:val="top"/>
          </w:tcPr>
          <w:p>
            <w:pPr>
              <w:snapToGrid w:val="0"/>
              <w:jc w:val="left"/>
              <w:rPr>
                <w:rFonts w:ascii="宋体" w:hAnsi="宋体"/>
                <w:szCs w:val="21"/>
              </w:rPr>
            </w:pPr>
            <w:r>
              <w:rPr>
                <w:rFonts w:hint="eastAsia" w:ascii="宋体" w:hAnsi="宋体" w:cs="宋体"/>
                <w:bCs/>
                <w:szCs w:val="21"/>
              </w:rPr>
              <w:t>按照磋商文件的规定提交磋商保证金（包括形式及金额）</w:t>
            </w:r>
          </w:p>
        </w:tc>
        <w:tc>
          <w:tcPr>
            <w:tcW w:w="1275" w:type="dxa"/>
            <w:noWrap w:val="0"/>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6"/>
              </w:numPr>
              <w:tabs>
                <w:tab w:val="left" w:pos="1260"/>
                <w:tab w:val="left" w:pos="1620"/>
              </w:tabs>
              <w:adjustRightInd w:val="0"/>
              <w:snapToGrid w:val="0"/>
              <w:textAlignment w:val="baseline"/>
              <w:rPr>
                <w:rFonts w:ascii="宋体" w:hAnsi="宋体"/>
                <w:szCs w:val="21"/>
              </w:rPr>
            </w:pPr>
          </w:p>
        </w:tc>
        <w:tc>
          <w:tcPr>
            <w:tcW w:w="1994" w:type="dxa"/>
            <w:noWrap w:val="0"/>
            <w:vAlign w:val="center"/>
          </w:tcPr>
          <w:p>
            <w:pPr>
              <w:tabs>
                <w:tab w:val="left" w:pos="1260"/>
                <w:tab w:val="left" w:pos="1620"/>
              </w:tabs>
              <w:adjustRightInd w:val="0"/>
              <w:snapToGrid w:val="0"/>
              <w:jc w:val="center"/>
              <w:textAlignment w:val="baseline"/>
              <w:rPr>
                <w:rFonts w:ascii="宋体" w:hAnsi="宋体"/>
                <w:szCs w:val="21"/>
              </w:rPr>
            </w:pPr>
            <w:r>
              <w:rPr>
                <w:rFonts w:hint="eastAsia" w:ascii="宋体" w:hAnsi="宋体" w:cs="宋体"/>
                <w:bCs/>
                <w:szCs w:val="21"/>
              </w:rPr>
              <w:t>附加条件</w:t>
            </w:r>
          </w:p>
        </w:tc>
        <w:tc>
          <w:tcPr>
            <w:tcW w:w="5091" w:type="dxa"/>
            <w:noWrap w:val="0"/>
            <w:vAlign w:val="center"/>
          </w:tcPr>
          <w:p>
            <w:pPr>
              <w:tabs>
                <w:tab w:val="left" w:pos="1260"/>
                <w:tab w:val="left" w:pos="1620"/>
              </w:tabs>
              <w:adjustRightInd w:val="0"/>
              <w:snapToGrid w:val="0"/>
              <w:jc w:val="left"/>
              <w:textAlignment w:val="baseline"/>
              <w:rPr>
                <w:rFonts w:ascii="宋体" w:hAnsi="宋体"/>
                <w:szCs w:val="21"/>
              </w:rPr>
            </w:pPr>
            <w:r>
              <w:rPr>
                <w:rFonts w:hint="eastAsia" w:ascii="宋体" w:hAnsi="宋体" w:cs="宋体"/>
                <w:bCs/>
                <w:szCs w:val="21"/>
              </w:rPr>
              <w:t>响应文件不含有采购人不能接受的附加条件；</w:t>
            </w:r>
          </w:p>
        </w:tc>
        <w:tc>
          <w:tcPr>
            <w:tcW w:w="1275" w:type="dxa"/>
            <w:noWrap w:val="0"/>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6"/>
              </w:numPr>
              <w:tabs>
                <w:tab w:val="left" w:pos="1260"/>
                <w:tab w:val="left" w:pos="1620"/>
              </w:tabs>
              <w:adjustRightInd w:val="0"/>
              <w:snapToGrid w:val="0"/>
              <w:textAlignment w:val="baseline"/>
              <w:rPr>
                <w:rFonts w:ascii="宋体" w:hAnsi="宋体"/>
                <w:szCs w:val="21"/>
              </w:rPr>
            </w:pPr>
          </w:p>
        </w:tc>
        <w:tc>
          <w:tcPr>
            <w:tcW w:w="1994" w:type="dxa"/>
            <w:noWrap w:val="0"/>
            <w:vAlign w:val="center"/>
          </w:tcPr>
          <w:p>
            <w:pPr>
              <w:tabs>
                <w:tab w:val="left" w:pos="1260"/>
                <w:tab w:val="left" w:pos="1620"/>
              </w:tabs>
              <w:adjustRightInd w:val="0"/>
              <w:snapToGrid w:val="0"/>
              <w:jc w:val="center"/>
              <w:textAlignment w:val="baseline"/>
              <w:rPr>
                <w:rFonts w:ascii="宋体" w:hAnsi="宋体"/>
                <w:szCs w:val="21"/>
              </w:rPr>
            </w:pPr>
            <w:r>
              <w:rPr>
                <w:rFonts w:hint="eastAsia" w:ascii="宋体" w:hAnsi="宋体" w:cs="宋体"/>
                <w:bCs/>
                <w:szCs w:val="21"/>
              </w:rPr>
              <w:t>公平竞争</w:t>
            </w:r>
          </w:p>
        </w:tc>
        <w:tc>
          <w:tcPr>
            <w:tcW w:w="5091" w:type="dxa"/>
            <w:noWrap w:val="0"/>
            <w:vAlign w:val="center"/>
          </w:tcPr>
          <w:p>
            <w:pPr>
              <w:tabs>
                <w:tab w:val="left" w:pos="1260"/>
                <w:tab w:val="left" w:pos="1620"/>
              </w:tabs>
              <w:adjustRightInd w:val="0"/>
              <w:snapToGrid w:val="0"/>
              <w:jc w:val="left"/>
              <w:textAlignment w:val="baseline"/>
              <w:rPr>
                <w:rFonts w:hint="eastAsia" w:ascii="宋体" w:hAnsi="宋体" w:cs="宋体"/>
                <w:bCs/>
                <w:szCs w:val="21"/>
              </w:rPr>
            </w:pPr>
            <w:r>
              <w:rPr>
                <w:rFonts w:hint="eastAsia" w:ascii="宋体" w:hAnsi="宋体" w:cs="宋体"/>
                <w:bCs/>
                <w:szCs w:val="21"/>
              </w:rPr>
              <w:t>遵循公平竞争的原则，没有弄虚作假、恶意串通或妨碍其他供应商的竞争行为，损害采购人或者其他供应商的合法权益；</w:t>
            </w:r>
          </w:p>
          <w:p>
            <w:pPr>
              <w:tabs>
                <w:tab w:val="left" w:pos="1260"/>
                <w:tab w:val="left" w:pos="1620"/>
              </w:tabs>
              <w:adjustRightInd w:val="0"/>
              <w:snapToGrid w:val="0"/>
              <w:jc w:val="left"/>
              <w:textAlignment w:val="baseline"/>
              <w:rPr>
                <w:rFonts w:hint="eastAsia" w:ascii="宋体" w:hAnsi="宋体"/>
                <w:szCs w:val="21"/>
              </w:rPr>
            </w:pPr>
            <w:r>
              <w:rPr>
                <w:rFonts w:hint="eastAsia" w:ascii="宋体" w:hAnsi="宋体" w:cs="宋体"/>
                <w:bCs/>
                <w:szCs w:val="21"/>
              </w:rPr>
              <w:t>弄虚作假、相互串通的情形附后</w:t>
            </w:r>
          </w:p>
        </w:tc>
        <w:tc>
          <w:tcPr>
            <w:tcW w:w="1275" w:type="dxa"/>
            <w:noWrap w:val="0"/>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6"/>
              </w:numPr>
              <w:tabs>
                <w:tab w:val="left" w:pos="1260"/>
                <w:tab w:val="left" w:pos="1620"/>
              </w:tabs>
              <w:adjustRightInd w:val="0"/>
              <w:snapToGrid w:val="0"/>
              <w:textAlignment w:val="baseline"/>
              <w:rPr>
                <w:rFonts w:ascii="宋体" w:hAnsi="宋体"/>
                <w:szCs w:val="21"/>
              </w:rPr>
            </w:pPr>
          </w:p>
        </w:tc>
        <w:tc>
          <w:tcPr>
            <w:tcW w:w="1994" w:type="dxa"/>
            <w:noWrap w:val="0"/>
            <w:vAlign w:val="center"/>
          </w:tcPr>
          <w:p>
            <w:pPr>
              <w:snapToGrid w:val="0"/>
              <w:jc w:val="center"/>
              <w:rPr>
                <w:rFonts w:ascii="宋体" w:hAnsi="宋体"/>
                <w:szCs w:val="21"/>
              </w:rPr>
            </w:pPr>
            <w:r>
              <w:rPr>
                <w:rFonts w:hint="eastAsia" w:ascii="宋体" w:hAnsi="宋体" w:cs="宋体"/>
                <w:bCs/>
                <w:szCs w:val="21"/>
              </w:rPr>
              <w:t>投标有效期</w:t>
            </w:r>
          </w:p>
        </w:tc>
        <w:tc>
          <w:tcPr>
            <w:tcW w:w="5091" w:type="dxa"/>
            <w:noWrap w:val="0"/>
            <w:vAlign w:val="center"/>
          </w:tcPr>
          <w:p>
            <w:pPr>
              <w:snapToGrid w:val="0"/>
              <w:rPr>
                <w:rFonts w:ascii="宋体" w:hAnsi="宋体"/>
                <w:szCs w:val="21"/>
              </w:rPr>
            </w:pPr>
            <w:r>
              <w:rPr>
                <w:rFonts w:hint="eastAsia" w:ascii="宋体" w:hAnsi="宋体" w:cs="宋体"/>
                <w:bCs/>
                <w:kern w:val="15"/>
                <w:szCs w:val="21"/>
              </w:rPr>
              <w:t>投标截止之日起90天（日</w:t>
            </w:r>
            <w:r>
              <w:rPr>
                <w:rFonts w:hint="eastAsia" w:ascii="宋体" w:hAnsi="宋体" w:cs="宋体"/>
                <w:bCs/>
                <w:szCs w:val="21"/>
                <w:lang w:val="zh-CN"/>
              </w:rPr>
              <w:t>历天）</w:t>
            </w:r>
          </w:p>
        </w:tc>
        <w:tc>
          <w:tcPr>
            <w:tcW w:w="1275" w:type="dxa"/>
            <w:noWrap w:val="0"/>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6"/>
              </w:numPr>
              <w:tabs>
                <w:tab w:val="left" w:pos="1260"/>
                <w:tab w:val="left" w:pos="1620"/>
              </w:tabs>
              <w:adjustRightInd w:val="0"/>
              <w:snapToGrid w:val="0"/>
              <w:textAlignment w:val="baseline"/>
              <w:rPr>
                <w:rFonts w:ascii="宋体" w:hAnsi="宋体"/>
                <w:szCs w:val="21"/>
              </w:rPr>
            </w:pPr>
          </w:p>
        </w:tc>
        <w:tc>
          <w:tcPr>
            <w:tcW w:w="1994" w:type="dxa"/>
            <w:noWrap w:val="0"/>
            <w:vAlign w:val="center"/>
          </w:tcPr>
          <w:p>
            <w:pPr>
              <w:tabs>
                <w:tab w:val="left" w:pos="1260"/>
                <w:tab w:val="left" w:pos="1620"/>
              </w:tabs>
              <w:adjustRightInd w:val="0"/>
              <w:snapToGrid w:val="0"/>
              <w:jc w:val="center"/>
              <w:textAlignment w:val="baseline"/>
              <w:rPr>
                <w:rFonts w:ascii="宋体" w:hAnsi="宋体"/>
                <w:szCs w:val="21"/>
              </w:rPr>
            </w:pPr>
            <w:r>
              <w:rPr>
                <w:rFonts w:hint="eastAsia" w:ascii="宋体" w:hAnsi="宋体" w:cs="宋体"/>
                <w:bCs/>
                <w:szCs w:val="21"/>
              </w:rPr>
              <w:t>响应文件格式</w:t>
            </w:r>
          </w:p>
        </w:tc>
        <w:tc>
          <w:tcPr>
            <w:tcW w:w="5091" w:type="dxa"/>
            <w:noWrap w:val="0"/>
            <w:vAlign w:val="center"/>
          </w:tcPr>
          <w:p>
            <w:pPr>
              <w:tabs>
                <w:tab w:val="left" w:pos="1260"/>
                <w:tab w:val="left" w:pos="1620"/>
              </w:tabs>
              <w:adjustRightInd w:val="0"/>
              <w:snapToGrid w:val="0"/>
              <w:jc w:val="left"/>
              <w:textAlignment w:val="baseline"/>
              <w:rPr>
                <w:rFonts w:ascii="宋体" w:hAnsi="宋体"/>
                <w:szCs w:val="21"/>
              </w:rPr>
            </w:pPr>
            <w:r>
              <w:rPr>
                <w:rFonts w:hint="eastAsia" w:ascii="宋体" w:hAnsi="宋体" w:cs="宋体"/>
                <w:bCs/>
                <w:szCs w:val="21"/>
              </w:rPr>
              <w:t>响应文件按规定的格式填写，内容完整且关键字迹清晰；</w:t>
            </w:r>
          </w:p>
        </w:tc>
        <w:tc>
          <w:tcPr>
            <w:tcW w:w="1275" w:type="dxa"/>
            <w:noWrap w:val="0"/>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6"/>
              </w:numPr>
              <w:tabs>
                <w:tab w:val="left" w:pos="1260"/>
                <w:tab w:val="left" w:pos="1620"/>
              </w:tabs>
              <w:adjustRightInd w:val="0"/>
              <w:snapToGrid w:val="0"/>
              <w:textAlignment w:val="baseline"/>
              <w:rPr>
                <w:rFonts w:ascii="宋体" w:hAnsi="宋体"/>
                <w:szCs w:val="21"/>
              </w:rPr>
            </w:pPr>
          </w:p>
        </w:tc>
        <w:tc>
          <w:tcPr>
            <w:tcW w:w="1994" w:type="dxa"/>
            <w:noWrap w:val="0"/>
            <w:vAlign w:val="center"/>
          </w:tcPr>
          <w:p>
            <w:pPr>
              <w:tabs>
                <w:tab w:val="left" w:pos="1260"/>
                <w:tab w:val="left" w:pos="1620"/>
              </w:tabs>
              <w:adjustRightInd w:val="0"/>
              <w:snapToGrid w:val="0"/>
              <w:jc w:val="center"/>
              <w:textAlignment w:val="baseline"/>
              <w:rPr>
                <w:rFonts w:ascii="宋体" w:hAnsi="宋体"/>
                <w:szCs w:val="21"/>
              </w:rPr>
            </w:pPr>
            <w:r>
              <w:rPr>
                <w:rFonts w:hint="eastAsia" w:ascii="宋体" w:hAnsi="宋体" w:cs="宋体"/>
                <w:bCs/>
                <w:szCs w:val="21"/>
              </w:rPr>
              <w:t>响应文件内容</w:t>
            </w:r>
          </w:p>
        </w:tc>
        <w:tc>
          <w:tcPr>
            <w:tcW w:w="5091" w:type="dxa"/>
            <w:noWrap w:val="0"/>
            <w:vAlign w:val="center"/>
          </w:tcPr>
          <w:p>
            <w:pPr>
              <w:tabs>
                <w:tab w:val="left" w:pos="1260"/>
                <w:tab w:val="left" w:pos="1620"/>
              </w:tabs>
              <w:adjustRightInd w:val="0"/>
              <w:snapToGrid w:val="0"/>
              <w:jc w:val="left"/>
              <w:textAlignment w:val="baseline"/>
              <w:rPr>
                <w:rFonts w:ascii="宋体" w:hAnsi="宋体"/>
                <w:szCs w:val="21"/>
              </w:rPr>
            </w:pPr>
            <w:r>
              <w:rPr>
                <w:rFonts w:hint="eastAsia" w:ascii="宋体" w:hAnsi="宋体" w:cs="宋体"/>
                <w:bCs/>
                <w:szCs w:val="21"/>
              </w:rPr>
              <w:t>供应商提供的服务无实质性遗漏</w:t>
            </w:r>
          </w:p>
        </w:tc>
        <w:tc>
          <w:tcPr>
            <w:tcW w:w="1275" w:type="dxa"/>
            <w:noWrap w:val="0"/>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6"/>
              </w:numPr>
              <w:tabs>
                <w:tab w:val="left" w:pos="1260"/>
                <w:tab w:val="left" w:pos="1620"/>
              </w:tabs>
              <w:adjustRightInd w:val="0"/>
              <w:snapToGrid w:val="0"/>
              <w:textAlignment w:val="baseline"/>
              <w:rPr>
                <w:rFonts w:ascii="宋体" w:hAnsi="宋体"/>
                <w:szCs w:val="21"/>
              </w:rPr>
            </w:pPr>
          </w:p>
        </w:tc>
        <w:tc>
          <w:tcPr>
            <w:tcW w:w="1994" w:type="dxa"/>
            <w:noWrap w:val="0"/>
            <w:vAlign w:val="center"/>
          </w:tcPr>
          <w:p>
            <w:pPr>
              <w:tabs>
                <w:tab w:val="left" w:pos="1260"/>
                <w:tab w:val="left" w:pos="1620"/>
              </w:tabs>
              <w:adjustRightInd w:val="0"/>
              <w:snapToGrid w:val="0"/>
              <w:jc w:val="center"/>
              <w:textAlignment w:val="baseline"/>
              <w:rPr>
                <w:rFonts w:ascii="宋体" w:hAnsi="宋体"/>
                <w:szCs w:val="21"/>
              </w:rPr>
            </w:pPr>
            <w:r>
              <w:rPr>
                <w:rFonts w:hint="eastAsia" w:ascii="宋体" w:hAnsi="宋体" w:cs="宋体"/>
                <w:bCs/>
                <w:iCs/>
                <w:szCs w:val="21"/>
              </w:rPr>
              <w:t>采购期限</w:t>
            </w:r>
          </w:p>
        </w:tc>
        <w:tc>
          <w:tcPr>
            <w:tcW w:w="5091" w:type="dxa"/>
            <w:noWrap w:val="0"/>
            <w:vAlign w:val="center"/>
          </w:tcPr>
          <w:p>
            <w:pPr>
              <w:tabs>
                <w:tab w:val="left" w:pos="1260"/>
                <w:tab w:val="left" w:pos="1620"/>
              </w:tabs>
              <w:adjustRightInd w:val="0"/>
              <w:snapToGrid w:val="0"/>
              <w:jc w:val="left"/>
              <w:textAlignment w:val="baseline"/>
              <w:rPr>
                <w:rFonts w:ascii="宋体" w:hAnsi="宋体"/>
                <w:szCs w:val="21"/>
              </w:rPr>
            </w:pPr>
            <w:r>
              <w:rPr>
                <w:rFonts w:hint="eastAsia" w:ascii="宋体" w:hAnsi="宋体" w:cs="宋体"/>
                <w:bCs/>
                <w:iCs/>
                <w:szCs w:val="21"/>
              </w:rPr>
              <w:t>满足磋商文件要求；</w:t>
            </w:r>
          </w:p>
        </w:tc>
        <w:tc>
          <w:tcPr>
            <w:tcW w:w="1275" w:type="dxa"/>
            <w:noWrap w:val="0"/>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6"/>
              </w:numPr>
              <w:tabs>
                <w:tab w:val="left" w:pos="1260"/>
                <w:tab w:val="left" w:pos="1620"/>
              </w:tabs>
              <w:adjustRightInd w:val="0"/>
              <w:snapToGrid w:val="0"/>
              <w:textAlignment w:val="baseline"/>
              <w:rPr>
                <w:rFonts w:ascii="宋体" w:hAnsi="宋体"/>
                <w:szCs w:val="21"/>
              </w:rPr>
            </w:pPr>
          </w:p>
        </w:tc>
        <w:tc>
          <w:tcPr>
            <w:tcW w:w="1994" w:type="dxa"/>
            <w:noWrap w:val="0"/>
            <w:vAlign w:val="center"/>
          </w:tcPr>
          <w:p>
            <w:pPr>
              <w:tabs>
                <w:tab w:val="left" w:pos="1260"/>
                <w:tab w:val="left" w:pos="1620"/>
              </w:tabs>
              <w:adjustRightInd w:val="0"/>
              <w:snapToGrid w:val="0"/>
              <w:jc w:val="center"/>
              <w:textAlignment w:val="baseline"/>
              <w:rPr>
                <w:rFonts w:ascii="宋体" w:hAnsi="宋体"/>
                <w:szCs w:val="21"/>
              </w:rPr>
            </w:pPr>
            <w:r>
              <w:rPr>
                <w:rFonts w:hint="eastAsia" w:ascii="宋体" w:hAnsi="宋体" w:cs="宋体"/>
                <w:bCs/>
                <w:szCs w:val="21"/>
              </w:rPr>
              <w:t>备选方案</w:t>
            </w:r>
          </w:p>
        </w:tc>
        <w:tc>
          <w:tcPr>
            <w:tcW w:w="5091" w:type="dxa"/>
            <w:noWrap w:val="0"/>
            <w:vAlign w:val="center"/>
          </w:tcPr>
          <w:p>
            <w:pPr>
              <w:tabs>
                <w:tab w:val="left" w:pos="1260"/>
                <w:tab w:val="left" w:pos="1620"/>
              </w:tabs>
              <w:adjustRightInd w:val="0"/>
              <w:snapToGrid w:val="0"/>
              <w:jc w:val="left"/>
              <w:textAlignment w:val="baseline"/>
              <w:rPr>
                <w:rFonts w:ascii="宋体" w:hAnsi="宋体"/>
                <w:szCs w:val="21"/>
              </w:rPr>
            </w:pPr>
            <w:r>
              <w:rPr>
                <w:rFonts w:hint="eastAsia" w:ascii="宋体" w:hAnsi="宋体" w:cs="宋体"/>
                <w:bCs/>
                <w:szCs w:val="21"/>
              </w:rPr>
              <w:t>供应商不得提交两份或者多份内容不同的响应文件，或者在同一份响应文件中对同一磋商项目有两个或者多个报价；</w:t>
            </w:r>
          </w:p>
        </w:tc>
        <w:tc>
          <w:tcPr>
            <w:tcW w:w="1275" w:type="dxa"/>
            <w:noWrap w:val="0"/>
            <w:vAlign w:val="center"/>
          </w:tcPr>
          <w:p>
            <w:pPr>
              <w:tabs>
                <w:tab w:val="left" w:pos="1260"/>
                <w:tab w:val="left" w:pos="1620"/>
              </w:tabs>
              <w:adjustRightInd w:val="0"/>
              <w:snapToGrid w:val="0"/>
              <w:textAlignment w:val="baseline"/>
              <w:rPr>
                <w:rFonts w:ascii="宋体" w:hAnsi="宋体"/>
                <w:szCs w:val="21"/>
              </w:rPr>
            </w:pPr>
          </w:p>
        </w:tc>
      </w:tr>
    </w:tbl>
    <w:p>
      <w:pPr>
        <w:tabs>
          <w:tab w:val="left" w:pos="1260"/>
          <w:tab w:val="left" w:pos="1620"/>
        </w:tabs>
        <w:adjustRightInd w:val="0"/>
        <w:snapToGrid w:val="0"/>
        <w:spacing w:line="360" w:lineRule="auto"/>
        <w:jc w:val="left"/>
        <w:textAlignment w:val="baseline"/>
        <w:rPr>
          <w:rFonts w:hint="eastAsia" w:ascii="宋体" w:hAnsi="宋体"/>
          <w:bCs/>
          <w:szCs w:val="21"/>
        </w:rPr>
      </w:pPr>
      <w:r>
        <w:rPr>
          <w:rFonts w:hint="eastAsia" w:ascii="宋体" w:hAnsi="宋体"/>
          <w:bCs/>
          <w:szCs w:val="21"/>
        </w:rPr>
        <w:t>注：</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1、符合磋商文件要求用“</w:t>
      </w:r>
      <w:r>
        <w:rPr>
          <w:rFonts w:ascii="Arial" w:hAnsi="Arial" w:eastAsia="MS Mincho" w:cs="Arial"/>
          <w:bCs/>
          <w:szCs w:val="21"/>
        </w:rPr>
        <w:t>√</w:t>
      </w:r>
      <w:r>
        <w:rPr>
          <w:rFonts w:hint="eastAsia" w:ascii="宋体" w:hAnsi="宋体"/>
          <w:bCs/>
          <w:szCs w:val="21"/>
        </w:rPr>
        <w:t>”表示，不符合用“×”表示。有一项不符合要求，结论为不合格。</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2、有下列情形之一的，视为供应商相互串通：</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（1）不同供应商的响应文件由同一单位或者个人编制；</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（2）不同供应商委托同一单位或者个人办理参与磋商事宜；</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（3）不同供应商的响应文件载明的项目管理成员或者联系人员为同一人；</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（4）不同供应商的响应文件异常一致或者报价呈规律性差异；</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（5）不同供应商的响应文件相互混装；</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（6）不同供应商的磋商保证金从同一单位或者个人的账户转出。</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3、有下列情形之一的，属于提供虚假材料谋取成交的行为：</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（1）使用伪造、变造的许可证件；</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（2）提供虚假的财务状况或者业绩；</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（3）提供虚假的项目负责人或者主要技术人员简历、劳动关系证明；</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（4）提供虚假的信用状况；</w:t>
      </w:r>
    </w:p>
    <w:p>
      <w:pPr>
        <w:tabs>
          <w:tab w:val="left" w:pos="1260"/>
          <w:tab w:val="left" w:pos="1620"/>
        </w:tabs>
        <w:adjustRightInd w:val="0"/>
        <w:snapToGrid w:val="0"/>
        <w:spacing w:line="360" w:lineRule="auto"/>
        <w:jc w:val="left"/>
        <w:textAlignment w:val="baseline"/>
        <w:rPr>
          <w:rFonts w:ascii="宋体" w:hAnsi="宋体"/>
          <w:bCs/>
          <w:szCs w:val="21"/>
        </w:rPr>
      </w:pPr>
      <w:r>
        <w:rPr>
          <w:rFonts w:hint="eastAsia" w:ascii="宋体" w:hAnsi="宋体"/>
          <w:bCs/>
          <w:szCs w:val="21"/>
        </w:rPr>
        <w:t>（5）其他弄虚作假的行为。</w:t>
      </w:r>
    </w:p>
    <w:p>
      <w:pPr>
        <w:tabs>
          <w:tab w:val="left" w:pos="1260"/>
          <w:tab w:val="left" w:pos="1620"/>
        </w:tabs>
        <w:adjustRightInd w:val="0"/>
        <w:snapToGrid w:val="0"/>
        <w:spacing w:line="360" w:lineRule="auto"/>
        <w:jc w:val="left"/>
        <w:textAlignment w:val="baseline"/>
        <w:rPr>
          <w:rFonts w:ascii="宋体" w:hAnsi="宋体"/>
          <w:b/>
          <w:szCs w:val="21"/>
        </w:rPr>
      </w:pPr>
    </w:p>
    <w:p>
      <w:pPr>
        <w:tabs>
          <w:tab w:val="left" w:pos="1260"/>
          <w:tab w:val="left" w:pos="1620"/>
        </w:tabs>
        <w:adjustRightInd w:val="0"/>
        <w:snapToGrid w:val="0"/>
        <w:spacing w:line="360" w:lineRule="auto"/>
        <w:jc w:val="left"/>
        <w:textAlignment w:val="baseline"/>
        <w:rPr>
          <w:rFonts w:ascii="宋体" w:hAnsi="宋体"/>
          <w:b/>
          <w:szCs w:val="21"/>
        </w:rPr>
      </w:pPr>
      <w:r>
        <w:rPr>
          <w:rFonts w:ascii="宋体" w:hAnsi="宋体"/>
          <w:b/>
          <w:szCs w:val="21"/>
        </w:rPr>
        <w:br w:type="page"/>
      </w:r>
    </w:p>
    <w:p>
      <w:pPr>
        <w:tabs>
          <w:tab w:val="left" w:pos="-94"/>
          <w:tab w:val="left" w:pos="428"/>
        </w:tabs>
        <w:adjustRightInd w:val="0"/>
        <w:snapToGrid w:val="0"/>
        <w:spacing w:line="360" w:lineRule="auto"/>
        <w:ind w:left="23" w:leftChars="11"/>
        <w:jc w:val="center"/>
        <w:textAlignment w:val="baseline"/>
        <w:outlineLvl w:val="1"/>
        <w:rPr>
          <w:rFonts w:ascii="宋体" w:hAnsi="宋体"/>
          <w:b/>
          <w:szCs w:val="21"/>
        </w:rPr>
      </w:pPr>
      <w:bookmarkStart w:id="43" w:name="_Toc414446034"/>
      <w:bookmarkStart w:id="44" w:name="_Toc410631198"/>
      <w:r>
        <w:rPr>
          <w:rFonts w:ascii="宋体" w:hAnsi="宋体"/>
          <w:b/>
          <w:szCs w:val="21"/>
        </w:rPr>
        <w:t>附表</w:t>
      </w:r>
      <w:r>
        <w:rPr>
          <w:rFonts w:hint="eastAsia" w:ascii="宋体" w:hAnsi="宋体"/>
          <w:b/>
          <w:szCs w:val="21"/>
        </w:rPr>
        <w:t>三 详细评审表</w:t>
      </w:r>
      <w:bookmarkEnd w:id="43"/>
      <w:bookmarkEnd w:id="44"/>
    </w:p>
    <w:tbl>
      <w:tblPr>
        <w:tblStyle w:val="43"/>
        <w:tblW w:w="0" w:type="auto"/>
        <w:tblInd w:w="0" w:type="dxa"/>
        <w:tblLayout w:type="fixed"/>
        <w:tblCellMar>
          <w:top w:w="0" w:type="dxa"/>
          <w:left w:w="108" w:type="dxa"/>
          <w:bottom w:w="0" w:type="dxa"/>
          <w:right w:w="108" w:type="dxa"/>
        </w:tblCellMar>
      </w:tblPr>
      <w:tblGrid>
        <w:gridCol w:w="392"/>
        <w:gridCol w:w="1133"/>
        <w:gridCol w:w="1026"/>
        <w:gridCol w:w="676"/>
        <w:gridCol w:w="784"/>
        <w:gridCol w:w="4987"/>
      </w:tblGrid>
      <w:tr>
        <w:tblPrEx>
          <w:tblCellMar>
            <w:top w:w="0" w:type="dxa"/>
            <w:left w:w="108" w:type="dxa"/>
            <w:bottom w:w="0" w:type="dxa"/>
            <w:right w:w="108" w:type="dxa"/>
          </w:tblCellMar>
        </w:tblPrEx>
        <w:trPr>
          <w:trHeight w:val="91" w:hRule="atLeast"/>
          <w:tblHeader/>
        </w:trPr>
        <w:tc>
          <w:tcPr>
            <w:tcW w:w="3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bCs/>
                <w:szCs w:val="21"/>
              </w:rPr>
            </w:pPr>
            <w:r>
              <w:rPr>
                <w:rFonts w:hint="eastAsia" w:ascii="宋体" w:hAnsi="宋体" w:cs="宋体"/>
                <w:b/>
                <w:bCs/>
                <w:szCs w:val="21"/>
              </w:rPr>
              <w:t>序号</w:t>
            </w:r>
          </w:p>
        </w:tc>
        <w:tc>
          <w:tcPr>
            <w:tcW w:w="1133"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b/>
                <w:bCs/>
                <w:szCs w:val="21"/>
              </w:rPr>
            </w:pPr>
            <w:r>
              <w:rPr>
                <w:rFonts w:hint="eastAsia" w:ascii="宋体" w:hAnsi="宋体" w:cs="宋体"/>
                <w:b/>
                <w:bCs/>
                <w:szCs w:val="21"/>
              </w:rPr>
              <w:t>标准</w:t>
            </w:r>
          </w:p>
          <w:p>
            <w:pPr>
              <w:snapToGrid w:val="0"/>
              <w:jc w:val="center"/>
              <w:rPr>
                <w:rFonts w:hint="eastAsia" w:ascii="宋体" w:hAnsi="宋体" w:cs="宋体"/>
                <w:b/>
                <w:bCs/>
                <w:szCs w:val="21"/>
              </w:rPr>
            </w:pPr>
            <w:r>
              <w:rPr>
                <w:rFonts w:hint="eastAsia" w:ascii="宋体" w:hAnsi="宋体" w:cs="宋体"/>
                <w:b/>
                <w:bCs/>
                <w:szCs w:val="21"/>
              </w:rPr>
              <w:t>项目</w:t>
            </w:r>
          </w:p>
        </w:tc>
        <w:tc>
          <w:tcPr>
            <w:tcW w:w="170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b/>
                <w:bCs/>
                <w:szCs w:val="21"/>
              </w:rPr>
            </w:pPr>
            <w:r>
              <w:rPr>
                <w:rFonts w:hint="eastAsia" w:ascii="宋体" w:hAnsi="宋体" w:cs="宋体"/>
                <w:b/>
                <w:bCs/>
                <w:szCs w:val="21"/>
              </w:rPr>
              <w:t>标准内容</w:t>
            </w:r>
          </w:p>
        </w:tc>
        <w:tc>
          <w:tcPr>
            <w:tcW w:w="78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b/>
                <w:bCs/>
                <w:szCs w:val="21"/>
              </w:rPr>
            </w:pPr>
            <w:r>
              <w:rPr>
                <w:rFonts w:hint="eastAsia" w:ascii="宋体" w:hAnsi="宋体" w:cs="宋体"/>
                <w:b/>
                <w:bCs/>
                <w:szCs w:val="21"/>
              </w:rPr>
              <w:t>基准</w:t>
            </w:r>
          </w:p>
          <w:p>
            <w:pPr>
              <w:snapToGrid w:val="0"/>
              <w:jc w:val="center"/>
              <w:rPr>
                <w:rFonts w:hint="eastAsia" w:ascii="宋体" w:hAnsi="宋体" w:cs="宋体"/>
                <w:b/>
                <w:bCs/>
                <w:szCs w:val="21"/>
              </w:rPr>
            </w:pPr>
            <w:r>
              <w:rPr>
                <w:rFonts w:hint="eastAsia" w:ascii="宋体" w:hAnsi="宋体" w:cs="宋体"/>
                <w:b/>
                <w:bCs/>
                <w:szCs w:val="21"/>
              </w:rPr>
              <w:t>分值</w:t>
            </w:r>
          </w:p>
        </w:tc>
        <w:tc>
          <w:tcPr>
            <w:tcW w:w="498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b/>
                <w:bCs/>
                <w:szCs w:val="21"/>
              </w:rPr>
            </w:pPr>
            <w:r>
              <w:rPr>
                <w:rFonts w:hint="eastAsia" w:ascii="宋体" w:hAnsi="宋体" w:cs="宋体"/>
                <w:b/>
                <w:bCs/>
                <w:szCs w:val="21"/>
              </w:rPr>
              <w:t>评分标准</w:t>
            </w:r>
          </w:p>
        </w:tc>
      </w:tr>
      <w:tr>
        <w:tblPrEx>
          <w:tblCellMar>
            <w:top w:w="0" w:type="dxa"/>
            <w:left w:w="108" w:type="dxa"/>
            <w:bottom w:w="0" w:type="dxa"/>
            <w:right w:w="108" w:type="dxa"/>
          </w:tblCellMar>
        </w:tblPrEx>
        <w:trPr>
          <w:trHeight w:val="90"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w:t>
            </w:r>
          </w:p>
        </w:tc>
        <w:tc>
          <w:tcPr>
            <w:tcW w:w="1133"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报价</w:t>
            </w:r>
          </w:p>
          <w:p>
            <w:pPr>
              <w:snapToGrid w:val="0"/>
              <w:jc w:val="center"/>
              <w:rPr>
                <w:rFonts w:hint="eastAsia" w:ascii="宋体" w:hAnsi="宋体" w:cs="宋体"/>
                <w:szCs w:val="21"/>
              </w:rPr>
            </w:pPr>
            <w:r>
              <w:rPr>
                <w:rFonts w:hint="eastAsia" w:ascii="宋体" w:hAnsi="宋体" w:cs="宋体"/>
                <w:szCs w:val="21"/>
              </w:rPr>
              <w:t>（10分）</w:t>
            </w:r>
          </w:p>
        </w:tc>
        <w:tc>
          <w:tcPr>
            <w:tcW w:w="170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价格分采用低价优先法计算</w:t>
            </w:r>
          </w:p>
        </w:tc>
        <w:tc>
          <w:tcPr>
            <w:tcW w:w="78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10</w:t>
            </w:r>
          </w:p>
        </w:tc>
        <w:tc>
          <w:tcPr>
            <w:tcW w:w="4987" w:type="dxa"/>
            <w:tcBorders>
              <w:top w:val="single" w:color="auto" w:sz="4" w:space="0"/>
              <w:left w:val="nil"/>
              <w:bottom w:val="single" w:color="auto" w:sz="4" w:space="0"/>
              <w:right w:val="single" w:color="auto" w:sz="4" w:space="0"/>
            </w:tcBorders>
            <w:noWrap w:val="0"/>
            <w:vAlign w:val="center"/>
          </w:tcPr>
          <w:p>
            <w:pPr>
              <w:autoSpaceDE w:val="0"/>
              <w:autoSpaceDN w:val="0"/>
              <w:snapToGrid w:val="0"/>
              <w:rPr>
                <w:rFonts w:hint="eastAsia" w:ascii="宋体" w:hAnsi="宋体" w:cs="宋体"/>
                <w:szCs w:val="21"/>
              </w:rPr>
            </w:pPr>
            <w:r>
              <w:rPr>
                <w:rFonts w:hint="eastAsia" w:ascii="宋体" w:hAnsi="宋体" w:cs="宋体"/>
                <w:szCs w:val="21"/>
              </w:rPr>
              <w:t>磋商基准价为所有通过初步评审合格的供应商有效最终磋商报价（二次报价）中的最低报价，得满分10分。</w:t>
            </w:r>
          </w:p>
          <w:p>
            <w:pPr>
              <w:autoSpaceDE w:val="0"/>
              <w:autoSpaceDN w:val="0"/>
              <w:snapToGrid w:val="0"/>
              <w:rPr>
                <w:rFonts w:hint="eastAsia" w:ascii="宋体" w:hAnsi="宋体" w:cs="宋体"/>
                <w:szCs w:val="21"/>
              </w:rPr>
            </w:pPr>
            <w:r>
              <w:rPr>
                <w:rFonts w:hint="eastAsia" w:ascii="宋体" w:hAnsi="宋体" w:cs="宋体"/>
                <w:szCs w:val="21"/>
              </w:rPr>
              <w:t>投标报价得分=（磋商基准价/最终磋商报价）×价格权值（10%）×100</w:t>
            </w:r>
          </w:p>
          <w:p>
            <w:pPr>
              <w:autoSpaceDE w:val="0"/>
              <w:autoSpaceDN w:val="0"/>
              <w:snapToGrid w:val="0"/>
              <w:rPr>
                <w:rFonts w:hint="eastAsia" w:ascii="宋体" w:hAnsi="宋体" w:cs="宋体"/>
                <w:szCs w:val="21"/>
              </w:rPr>
            </w:pPr>
            <w:r>
              <w:rPr>
                <w:rFonts w:hint="eastAsia" w:ascii="宋体" w:hAnsi="宋体" w:cs="宋体"/>
                <w:szCs w:val="21"/>
              </w:rPr>
              <w:t>报价得分精确到小数点后二位；</w:t>
            </w:r>
          </w:p>
          <w:p>
            <w:pPr>
              <w:snapToGrid w:val="0"/>
              <w:rPr>
                <w:rFonts w:hint="eastAsia" w:ascii="宋体" w:hAnsi="宋体" w:cs="宋体"/>
                <w:szCs w:val="21"/>
              </w:rPr>
            </w:pPr>
            <w:r>
              <w:rPr>
                <w:rFonts w:hint="eastAsia" w:ascii="宋体" w:hAnsi="宋体" w:cs="宋体"/>
                <w:szCs w:val="21"/>
              </w:rPr>
              <w:t>投标人应确保产品质量，不能蓄意低价投标。</w:t>
            </w:r>
          </w:p>
        </w:tc>
      </w:tr>
      <w:tr>
        <w:tblPrEx>
          <w:tblCellMar>
            <w:top w:w="0" w:type="dxa"/>
            <w:left w:w="108" w:type="dxa"/>
            <w:bottom w:w="0" w:type="dxa"/>
            <w:right w:w="108" w:type="dxa"/>
          </w:tblCellMar>
        </w:tblPrEx>
        <w:trPr>
          <w:trHeight w:val="90" w:hRule="atLeast"/>
        </w:trPr>
        <w:tc>
          <w:tcPr>
            <w:tcW w:w="392" w:type="dxa"/>
            <w:vMerge w:val="restart"/>
            <w:tcBorders>
              <w:top w:val="nil"/>
              <w:left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2</w:t>
            </w:r>
          </w:p>
        </w:tc>
        <w:tc>
          <w:tcPr>
            <w:tcW w:w="1133" w:type="dxa"/>
            <w:vMerge w:val="restart"/>
            <w:tcBorders>
              <w:top w:val="nil"/>
              <w:left w:val="nil"/>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商务</w:t>
            </w:r>
          </w:p>
          <w:p>
            <w:pPr>
              <w:snapToGrid w:val="0"/>
              <w:jc w:val="center"/>
              <w:rPr>
                <w:rFonts w:hint="eastAsia" w:ascii="宋体" w:hAnsi="宋体" w:cs="宋体"/>
                <w:szCs w:val="21"/>
              </w:rPr>
            </w:pPr>
            <w:r>
              <w:rPr>
                <w:rFonts w:hint="eastAsia" w:ascii="宋体" w:hAnsi="宋体" w:cs="宋体"/>
                <w:szCs w:val="21"/>
              </w:rPr>
              <w:t>部分</w:t>
            </w:r>
          </w:p>
          <w:p>
            <w:pPr>
              <w:snapToGrid w:val="0"/>
              <w:jc w:val="center"/>
              <w:rPr>
                <w:rFonts w:hint="eastAsia" w:ascii="宋体" w:hAnsi="宋体" w:cs="宋体"/>
                <w:szCs w:val="21"/>
              </w:rPr>
            </w:pPr>
            <w:r>
              <w:rPr>
                <w:rFonts w:hint="eastAsia" w:ascii="宋体" w:hAnsi="宋体" w:cs="宋体"/>
                <w:szCs w:val="21"/>
              </w:rPr>
              <w:t>(20分）</w:t>
            </w:r>
          </w:p>
        </w:tc>
        <w:tc>
          <w:tcPr>
            <w:tcW w:w="170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bCs/>
                <w:szCs w:val="21"/>
              </w:rPr>
              <w:t>近三年类似业绩</w:t>
            </w:r>
          </w:p>
        </w:tc>
        <w:tc>
          <w:tcPr>
            <w:tcW w:w="78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8</w:t>
            </w:r>
          </w:p>
        </w:tc>
        <w:tc>
          <w:tcPr>
            <w:tcW w:w="4987" w:type="dxa"/>
            <w:tcBorders>
              <w:top w:val="single" w:color="auto" w:sz="4" w:space="0"/>
              <w:left w:val="nil"/>
              <w:bottom w:val="single" w:color="auto" w:sz="4" w:space="0"/>
              <w:right w:val="single" w:color="auto" w:sz="4" w:space="0"/>
            </w:tcBorders>
            <w:noWrap w:val="0"/>
            <w:vAlign w:val="center"/>
          </w:tcPr>
          <w:p>
            <w:pPr>
              <w:pStyle w:val="21"/>
              <w:snapToGrid w:val="0"/>
              <w:rPr>
                <w:rFonts w:hint="eastAsia" w:hAnsi="宋体" w:cs="宋体"/>
              </w:rPr>
            </w:pPr>
            <w:r>
              <w:rPr>
                <w:rFonts w:hint="eastAsia" w:hAnsi="宋体" w:cs="宋体"/>
              </w:rPr>
              <w:t>提供2017年1月至今</w:t>
            </w:r>
            <w:r>
              <w:rPr>
                <w:rFonts w:hint="eastAsia" w:hAnsi="宋体" w:cs="宋体"/>
                <w:lang w:val="zh-CN"/>
              </w:rPr>
              <w:t>供应商的类似业绩证明材料</w:t>
            </w:r>
            <w:r>
              <w:rPr>
                <w:rFonts w:hint="eastAsia" w:hAnsi="宋体" w:cs="宋体"/>
              </w:rPr>
              <w:t>，每提供1份得2分，提供4份及以上得8分；未提供不得分。</w:t>
            </w:r>
          </w:p>
          <w:p>
            <w:pPr>
              <w:pStyle w:val="21"/>
              <w:snapToGrid w:val="0"/>
              <w:rPr>
                <w:rFonts w:hint="eastAsia" w:hAnsi="宋体" w:cs="宋体"/>
              </w:rPr>
            </w:pPr>
            <w:r>
              <w:rPr>
                <w:rFonts w:hint="eastAsia" w:hAnsi="宋体" w:cs="宋体"/>
                <w:shd w:val="clear" w:color="auto" w:fill="FFFFFF"/>
                <w:lang w:val="zh-CN"/>
              </w:rPr>
              <w:t>【</w:t>
            </w:r>
            <w:r>
              <w:rPr>
                <w:rFonts w:hint="eastAsia" w:hAnsi="宋体" w:cs="宋体"/>
                <w:shd w:val="clear" w:color="auto" w:fill="FFFFFF"/>
              </w:rPr>
              <w:t>标书内附</w:t>
            </w:r>
            <w:r>
              <w:rPr>
                <w:rFonts w:hint="eastAsia" w:hAnsi="宋体" w:cs="宋体"/>
                <w:bCs/>
              </w:rPr>
              <w:t>：</w:t>
            </w:r>
            <w:r>
              <w:rPr>
                <w:rFonts w:hint="eastAsia" w:hAnsi="宋体" w:cs="宋体"/>
                <w:bCs/>
                <w:lang w:val="zh-CN"/>
              </w:rPr>
              <w:t>包含合同首页、标的及金额所在页、合同签字盖章页</w:t>
            </w:r>
            <w:r>
              <w:rPr>
                <w:rFonts w:hint="eastAsia" w:hAnsi="宋体" w:cs="宋体"/>
              </w:rPr>
              <w:t>所有扫描件并加盖公章鲜章。</w:t>
            </w:r>
            <w:r>
              <w:rPr>
                <w:rFonts w:hint="eastAsia" w:hAnsi="宋体" w:cs="宋体"/>
                <w:bCs/>
              </w:rPr>
              <w:t>否则不计分</w:t>
            </w:r>
            <w:r>
              <w:rPr>
                <w:rFonts w:hint="eastAsia" w:hAnsi="宋体" w:cs="宋体"/>
                <w:shd w:val="clear" w:color="auto" w:fill="FFFFFF"/>
                <w:lang w:val="zh-CN"/>
              </w:rPr>
              <w:t>】</w:t>
            </w:r>
          </w:p>
        </w:tc>
      </w:tr>
      <w:tr>
        <w:tblPrEx>
          <w:tblCellMar>
            <w:top w:w="0" w:type="dxa"/>
            <w:left w:w="108" w:type="dxa"/>
            <w:bottom w:w="0" w:type="dxa"/>
            <w:right w:w="108" w:type="dxa"/>
          </w:tblCellMar>
        </w:tblPrEx>
        <w:trPr>
          <w:trHeight w:val="3057" w:hRule="atLeast"/>
        </w:trPr>
        <w:tc>
          <w:tcPr>
            <w:tcW w:w="392" w:type="dxa"/>
            <w:vMerge w:val="continue"/>
            <w:tcBorders>
              <w:left w:val="single" w:color="auto" w:sz="4" w:space="0"/>
              <w:right w:val="single" w:color="auto" w:sz="4" w:space="0"/>
            </w:tcBorders>
            <w:noWrap w:val="0"/>
            <w:vAlign w:val="center"/>
          </w:tcPr>
          <w:p>
            <w:pPr>
              <w:widowControl/>
              <w:snapToGrid w:val="0"/>
              <w:jc w:val="center"/>
              <w:rPr>
                <w:rFonts w:hint="eastAsia" w:ascii="宋体" w:hAnsi="宋体" w:cs="宋体"/>
                <w:szCs w:val="21"/>
              </w:rPr>
            </w:pPr>
          </w:p>
        </w:tc>
        <w:tc>
          <w:tcPr>
            <w:tcW w:w="1133" w:type="dxa"/>
            <w:vMerge w:val="continue"/>
            <w:tcBorders>
              <w:left w:val="nil"/>
              <w:right w:val="single" w:color="auto" w:sz="4" w:space="0"/>
            </w:tcBorders>
            <w:noWrap w:val="0"/>
            <w:vAlign w:val="center"/>
          </w:tcPr>
          <w:p>
            <w:pPr>
              <w:widowControl/>
              <w:snapToGrid w:val="0"/>
              <w:jc w:val="center"/>
              <w:rPr>
                <w:rFonts w:hint="eastAsia" w:ascii="宋体" w:hAnsi="宋体" w:cs="宋体"/>
                <w:szCs w:val="21"/>
              </w:rPr>
            </w:pPr>
          </w:p>
        </w:tc>
        <w:tc>
          <w:tcPr>
            <w:tcW w:w="1702" w:type="dxa"/>
            <w:gridSpan w:val="2"/>
            <w:tcBorders>
              <w:top w:val="single" w:color="auto" w:sz="4" w:space="0"/>
              <w:left w:val="nil"/>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bCs/>
                <w:szCs w:val="21"/>
              </w:rPr>
              <w:t>产品实力</w:t>
            </w:r>
          </w:p>
        </w:tc>
        <w:tc>
          <w:tcPr>
            <w:tcW w:w="784" w:type="dxa"/>
            <w:tcBorders>
              <w:top w:val="single" w:color="auto" w:sz="4" w:space="0"/>
              <w:left w:val="nil"/>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12</w:t>
            </w:r>
          </w:p>
        </w:tc>
        <w:tc>
          <w:tcPr>
            <w:tcW w:w="4987" w:type="dxa"/>
            <w:tcBorders>
              <w:top w:val="single" w:color="auto" w:sz="4" w:space="0"/>
              <w:left w:val="nil"/>
              <w:right w:val="single" w:color="auto" w:sz="4" w:space="0"/>
            </w:tcBorders>
            <w:noWrap w:val="0"/>
            <w:vAlign w:val="center"/>
          </w:tcPr>
          <w:p>
            <w:pPr>
              <w:pStyle w:val="21"/>
              <w:snapToGrid w:val="0"/>
              <w:rPr>
                <w:rFonts w:hint="eastAsia" w:hAnsi="宋体" w:cs="宋体"/>
              </w:rPr>
            </w:pPr>
            <w:r>
              <w:rPr>
                <w:rFonts w:hint="eastAsia" w:hAnsi="宋体" w:cs="宋体"/>
              </w:rPr>
              <w:t>（1）提供投标产品原厂CMMI产品成熟度认证，4级以上得3分，低于4级得1分，不提供得0分</w:t>
            </w:r>
          </w:p>
          <w:p>
            <w:pPr>
              <w:pStyle w:val="21"/>
              <w:snapToGrid w:val="0"/>
              <w:rPr>
                <w:rFonts w:hint="eastAsia" w:hAnsi="宋体" w:cs="宋体"/>
              </w:rPr>
            </w:pPr>
            <w:r>
              <w:rPr>
                <w:rFonts w:hint="eastAsia" w:hAnsi="宋体" w:cs="宋体"/>
              </w:rPr>
              <w:t>（2）提供投标产品原厂ISO-27001认证，提供得3分，不提供得0分</w:t>
            </w:r>
          </w:p>
          <w:p>
            <w:pPr>
              <w:pStyle w:val="21"/>
              <w:snapToGrid w:val="0"/>
              <w:rPr>
                <w:rFonts w:hint="eastAsia" w:hAnsi="宋体" w:cs="宋体"/>
              </w:rPr>
            </w:pPr>
            <w:r>
              <w:rPr>
                <w:rFonts w:hint="eastAsia" w:hAnsi="宋体" w:cs="宋体"/>
              </w:rPr>
              <w:t>（3）提供投标产品中间件的等级保密资格证书，提供得3分，不提供得0分</w:t>
            </w:r>
          </w:p>
          <w:p>
            <w:pPr>
              <w:pStyle w:val="21"/>
              <w:snapToGrid w:val="0"/>
              <w:rPr>
                <w:rFonts w:hint="eastAsia" w:hAnsi="宋体" w:cs="宋体"/>
              </w:rPr>
            </w:pPr>
            <w:r>
              <w:rPr>
                <w:rFonts w:hint="eastAsia" w:hAnsi="宋体" w:cs="宋体"/>
              </w:rPr>
              <w:t>（4）供应商或供应商代理产品具备在有效期内的人事管理系统软件产品著作权证书，提供得3分，不提供得0分</w:t>
            </w:r>
          </w:p>
          <w:p>
            <w:pPr>
              <w:pStyle w:val="21"/>
              <w:snapToGrid w:val="0"/>
              <w:rPr>
                <w:rFonts w:hint="eastAsia" w:hAnsi="宋体" w:cs="宋体"/>
                <w:b/>
              </w:rPr>
            </w:pPr>
            <w:r>
              <w:rPr>
                <w:rFonts w:hint="eastAsia" w:hAnsi="宋体" w:cs="宋体"/>
                <w:shd w:val="clear" w:color="auto" w:fill="FFFFFF"/>
                <w:lang w:val="zh-CN"/>
              </w:rPr>
              <w:t>【</w:t>
            </w:r>
            <w:r>
              <w:rPr>
                <w:rFonts w:hint="eastAsia" w:hAnsi="宋体" w:cs="宋体"/>
                <w:shd w:val="clear" w:color="auto" w:fill="FFFFFF"/>
              </w:rPr>
              <w:t>标书内附</w:t>
            </w:r>
            <w:r>
              <w:rPr>
                <w:rFonts w:hint="eastAsia" w:hAnsi="宋体" w:cs="宋体"/>
                <w:bCs/>
              </w:rPr>
              <w:t>相关证书的</w:t>
            </w:r>
            <w:r>
              <w:rPr>
                <w:rFonts w:hint="eastAsia" w:hAnsi="宋体" w:cs="宋体"/>
              </w:rPr>
              <w:t>扫描件并加盖公章鲜章。</w:t>
            </w:r>
            <w:r>
              <w:rPr>
                <w:rFonts w:hint="eastAsia" w:hAnsi="宋体" w:cs="宋体"/>
                <w:bCs/>
              </w:rPr>
              <w:t>否则不计分</w:t>
            </w:r>
            <w:r>
              <w:rPr>
                <w:rFonts w:hint="eastAsia" w:hAnsi="宋体" w:cs="宋体"/>
                <w:shd w:val="clear" w:color="auto" w:fill="FFFFFF"/>
                <w:lang w:val="zh-CN"/>
              </w:rPr>
              <w:t>】</w:t>
            </w:r>
          </w:p>
        </w:tc>
      </w:tr>
      <w:tr>
        <w:tblPrEx>
          <w:tblCellMar>
            <w:top w:w="0" w:type="dxa"/>
            <w:left w:w="108" w:type="dxa"/>
            <w:bottom w:w="0" w:type="dxa"/>
            <w:right w:w="108" w:type="dxa"/>
          </w:tblCellMar>
        </w:tblPrEx>
        <w:trPr>
          <w:trHeight w:val="90" w:hRule="atLeast"/>
        </w:trPr>
        <w:tc>
          <w:tcPr>
            <w:tcW w:w="392"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3</w:t>
            </w:r>
          </w:p>
        </w:tc>
        <w:tc>
          <w:tcPr>
            <w:tcW w:w="1133" w:type="dxa"/>
            <w:vMerge w:val="restart"/>
            <w:tcBorders>
              <w:top w:val="single" w:color="auto" w:sz="4" w:space="0"/>
              <w:left w:val="nil"/>
              <w:right w:val="single" w:color="auto" w:sz="4" w:space="0"/>
            </w:tcBorders>
            <w:noWrap w:val="0"/>
            <w:vAlign w:val="center"/>
          </w:tcPr>
          <w:p>
            <w:pPr>
              <w:snapToGrid w:val="0"/>
              <w:jc w:val="center"/>
              <w:rPr>
                <w:rFonts w:hint="eastAsia" w:ascii="宋体" w:hAnsi="宋体" w:cs="宋体"/>
                <w:szCs w:val="21"/>
              </w:rPr>
            </w:pPr>
          </w:p>
        </w:tc>
        <w:tc>
          <w:tcPr>
            <w:tcW w:w="1702"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设计方案</w:t>
            </w:r>
          </w:p>
          <w:p>
            <w:pPr>
              <w:autoSpaceDE w:val="0"/>
              <w:autoSpaceDN w:val="0"/>
              <w:snapToGrid w:val="0"/>
              <w:rPr>
                <w:rFonts w:hint="eastAsia" w:ascii="宋体" w:hAnsi="宋体" w:cs="宋体"/>
                <w:szCs w:val="21"/>
              </w:rPr>
            </w:pPr>
          </w:p>
        </w:tc>
        <w:tc>
          <w:tcPr>
            <w:tcW w:w="784" w:type="dxa"/>
            <w:tcBorders>
              <w:top w:val="single" w:color="auto" w:sz="4" w:space="0"/>
              <w:left w:val="nil"/>
              <w:bottom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25</w:t>
            </w:r>
          </w:p>
        </w:tc>
        <w:tc>
          <w:tcPr>
            <w:tcW w:w="4987" w:type="dxa"/>
            <w:tcBorders>
              <w:top w:val="single" w:color="auto" w:sz="4" w:space="0"/>
              <w:left w:val="nil"/>
              <w:bottom w:val="single" w:color="auto" w:sz="4" w:space="0"/>
              <w:right w:val="single" w:color="auto" w:sz="4" w:space="0"/>
            </w:tcBorders>
            <w:noWrap w:val="0"/>
            <w:vAlign w:val="center"/>
          </w:tcPr>
          <w:p>
            <w:pPr>
              <w:pStyle w:val="21"/>
              <w:snapToGrid w:val="0"/>
              <w:rPr>
                <w:rFonts w:hint="eastAsia" w:hAnsi="宋体" w:cs="宋体"/>
                <w:bCs/>
              </w:rPr>
            </w:pPr>
            <w:r>
              <w:rPr>
                <w:rFonts w:hint="eastAsia" w:hAnsi="宋体" w:cs="宋体"/>
              </w:rPr>
              <w:t>根据系统总体框架的设计方案、系统运行方案、系统的安全规划方案、关键技术解决、技术服务方案等比较后打分</w:t>
            </w:r>
            <w:r>
              <w:rPr>
                <w:rFonts w:hint="eastAsia" w:hAnsi="宋体" w:cs="宋体"/>
                <w:bCs/>
              </w:rPr>
              <w:t>：</w:t>
            </w:r>
          </w:p>
          <w:p>
            <w:pPr>
              <w:pStyle w:val="21"/>
              <w:snapToGrid w:val="0"/>
              <w:rPr>
                <w:rFonts w:hint="eastAsia" w:hAnsi="宋体" w:cs="宋体"/>
                <w:bCs/>
              </w:rPr>
            </w:pPr>
            <w:r>
              <w:rPr>
                <w:rFonts w:hint="eastAsia" w:hAnsi="宋体" w:cs="宋体"/>
                <w:bCs/>
              </w:rPr>
              <w:t>优计19-25分，</w:t>
            </w:r>
          </w:p>
          <w:p>
            <w:pPr>
              <w:pStyle w:val="21"/>
              <w:snapToGrid w:val="0"/>
              <w:rPr>
                <w:rFonts w:hint="eastAsia" w:hAnsi="宋体" w:cs="宋体"/>
                <w:bCs/>
              </w:rPr>
            </w:pPr>
            <w:r>
              <w:rPr>
                <w:rFonts w:hint="eastAsia" w:hAnsi="宋体" w:cs="宋体"/>
                <w:bCs/>
              </w:rPr>
              <w:t>良计10-18分，</w:t>
            </w:r>
          </w:p>
          <w:p>
            <w:pPr>
              <w:pStyle w:val="21"/>
              <w:snapToGrid w:val="0"/>
              <w:rPr>
                <w:rFonts w:hint="eastAsia" w:hAnsi="宋体" w:cs="宋体"/>
              </w:rPr>
            </w:pPr>
            <w:r>
              <w:rPr>
                <w:rFonts w:hint="eastAsia" w:hAnsi="宋体" w:cs="宋体"/>
                <w:bCs/>
              </w:rPr>
              <w:t>一般计1-9分。</w:t>
            </w:r>
          </w:p>
        </w:tc>
      </w:tr>
      <w:tr>
        <w:tblPrEx>
          <w:tblCellMar>
            <w:top w:w="0" w:type="dxa"/>
            <w:left w:w="108" w:type="dxa"/>
            <w:bottom w:w="0" w:type="dxa"/>
            <w:right w:w="108" w:type="dxa"/>
          </w:tblCellMar>
        </w:tblPrEx>
        <w:trPr>
          <w:trHeight w:val="1349" w:hRule="atLeast"/>
        </w:trPr>
        <w:tc>
          <w:tcPr>
            <w:tcW w:w="392"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133" w:type="dxa"/>
            <w:vMerge w:val="continue"/>
            <w:tcBorders>
              <w:left w:val="nil"/>
              <w:right w:val="single" w:color="auto" w:sz="4" w:space="0"/>
            </w:tcBorders>
            <w:noWrap w:val="0"/>
            <w:vAlign w:val="center"/>
          </w:tcPr>
          <w:p>
            <w:pPr>
              <w:snapToGrid w:val="0"/>
              <w:jc w:val="center"/>
              <w:rPr>
                <w:rFonts w:hint="eastAsia" w:ascii="宋体" w:hAnsi="宋体" w:cs="宋体"/>
                <w:szCs w:val="21"/>
              </w:rPr>
            </w:pPr>
          </w:p>
        </w:tc>
        <w:tc>
          <w:tcPr>
            <w:tcW w:w="1702" w:type="dxa"/>
            <w:gridSpan w:val="2"/>
            <w:tcBorders>
              <w:top w:val="single" w:color="auto" w:sz="4" w:space="0"/>
              <w:left w:val="nil"/>
              <w:right w:val="single" w:color="auto" w:sz="4" w:space="0"/>
            </w:tcBorders>
            <w:noWrap w:val="0"/>
            <w:vAlign w:val="center"/>
          </w:tcPr>
          <w:p>
            <w:pPr>
              <w:autoSpaceDE w:val="0"/>
              <w:autoSpaceDN w:val="0"/>
              <w:snapToGrid w:val="0"/>
              <w:jc w:val="center"/>
              <w:rPr>
                <w:rFonts w:hint="eastAsia" w:ascii="宋体" w:hAnsi="宋体" w:cs="宋体"/>
                <w:szCs w:val="21"/>
              </w:rPr>
            </w:pPr>
            <w:r>
              <w:rPr>
                <w:rFonts w:hint="eastAsia" w:ascii="宋体" w:hAnsi="宋体" w:cs="宋体"/>
                <w:szCs w:val="21"/>
              </w:rPr>
              <w:t>售后服务</w:t>
            </w:r>
          </w:p>
        </w:tc>
        <w:tc>
          <w:tcPr>
            <w:tcW w:w="784" w:type="dxa"/>
            <w:tcBorders>
              <w:top w:val="single" w:color="auto" w:sz="4" w:space="0"/>
              <w:left w:val="nil"/>
              <w:right w:val="single" w:color="auto" w:sz="4" w:space="0"/>
            </w:tcBorders>
            <w:noWrap w:val="0"/>
            <w:vAlign w:val="center"/>
          </w:tcPr>
          <w:p>
            <w:pPr>
              <w:snapToGrid w:val="0"/>
              <w:rPr>
                <w:rFonts w:hint="eastAsia" w:ascii="宋体" w:hAnsi="宋体" w:cs="宋体"/>
                <w:szCs w:val="21"/>
              </w:rPr>
            </w:pPr>
          </w:p>
          <w:p>
            <w:pPr>
              <w:snapToGrid w:val="0"/>
              <w:jc w:val="center"/>
              <w:rPr>
                <w:rFonts w:hint="eastAsia" w:ascii="宋体" w:hAnsi="宋体" w:cs="宋体"/>
                <w:szCs w:val="21"/>
              </w:rPr>
            </w:pPr>
            <w:r>
              <w:rPr>
                <w:rFonts w:hint="eastAsia" w:ascii="宋体" w:hAnsi="宋体" w:cs="宋体"/>
                <w:bCs/>
                <w:szCs w:val="21"/>
              </w:rPr>
              <w:t>5</w:t>
            </w:r>
          </w:p>
        </w:tc>
        <w:tc>
          <w:tcPr>
            <w:tcW w:w="4987" w:type="dxa"/>
            <w:tcBorders>
              <w:top w:val="single" w:color="auto" w:sz="4" w:space="0"/>
              <w:left w:val="nil"/>
              <w:bottom w:val="single" w:color="auto" w:sz="4" w:space="0"/>
              <w:right w:val="single" w:color="auto" w:sz="4" w:space="0"/>
            </w:tcBorders>
            <w:noWrap w:val="0"/>
            <w:vAlign w:val="center"/>
          </w:tcPr>
          <w:p>
            <w:pPr>
              <w:pStyle w:val="21"/>
              <w:snapToGrid w:val="0"/>
              <w:rPr>
                <w:rFonts w:hint="eastAsia" w:hAnsi="宋体" w:cs="宋体"/>
              </w:rPr>
            </w:pPr>
            <w:r>
              <w:rPr>
                <w:rFonts w:hint="eastAsia" w:hAnsi="宋体" w:cs="宋体"/>
              </w:rPr>
              <w:t>包括但不限于（1）项目实施规划；（2）产品部署规划 ；（3）培训计划：</w:t>
            </w:r>
          </w:p>
          <w:p>
            <w:pPr>
              <w:pStyle w:val="21"/>
              <w:snapToGrid w:val="0"/>
              <w:rPr>
                <w:rFonts w:hint="eastAsia" w:hAnsi="宋体" w:cs="宋体"/>
                <w:bCs/>
              </w:rPr>
            </w:pPr>
            <w:r>
              <w:rPr>
                <w:rFonts w:hint="eastAsia" w:hAnsi="宋体" w:cs="宋体"/>
                <w:bCs/>
              </w:rPr>
              <w:t>优计4-5分，</w:t>
            </w:r>
          </w:p>
          <w:p>
            <w:pPr>
              <w:pStyle w:val="21"/>
              <w:snapToGrid w:val="0"/>
              <w:rPr>
                <w:rFonts w:hint="eastAsia" w:hAnsi="宋体" w:cs="宋体"/>
                <w:bCs/>
              </w:rPr>
            </w:pPr>
            <w:r>
              <w:rPr>
                <w:rFonts w:hint="eastAsia" w:hAnsi="宋体" w:cs="宋体"/>
                <w:bCs/>
              </w:rPr>
              <w:t>良计2-3分，</w:t>
            </w:r>
          </w:p>
          <w:p>
            <w:pPr>
              <w:pStyle w:val="21"/>
              <w:snapToGrid w:val="0"/>
              <w:rPr>
                <w:rFonts w:hint="eastAsia" w:hAnsi="宋体" w:cs="宋体"/>
              </w:rPr>
            </w:pPr>
            <w:r>
              <w:rPr>
                <w:rFonts w:hint="eastAsia" w:hAnsi="宋体" w:cs="宋体"/>
                <w:bCs/>
              </w:rPr>
              <w:t>一般计1分。</w:t>
            </w:r>
          </w:p>
        </w:tc>
      </w:tr>
      <w:tr>
        <w:tblPrEx>
          <w:tblCellMar>
            <w:top w:w="0" w:type="dxa"/>
            <w:left w:w="108" w:type="dxa"/>
            <w:bottom w:w="0" w:type="dxa"/>
            <w:right w:w="108" w:type="dxa"/>
          </w:tblCellMar>
        </w:tblPrEx>
        <w:trPr>
          <w:trHeight w:val="693" w:hRule="atLeast"/>
        </w:trPr>
        <w:tc>
          <w:tcPr>
            <w:tcW w:w="392"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133" w:type="dxa"/>
            <w:vMerge w:val="continue"/>
            <w:tcBorders>
              <w:left w:val="nil"/>
              <w:right w:val="single" w:color="auto" w:sz="4" w:space="0"/>
            </w:tcBorders>
            <w:noWrap w:val="0"/>
            <w:vAlign w:val="center"/>
          </w:tcPr>
          <w:p>
            <w:pPr>
              <w:snapToGrid w:val="0"/>
              <w:jc w:val="center"/>
              <w:rPr>
                <w:rFonts w:hint="eastAsia" w:ascii="宋体" w:hAnsi="宋体" w:cs="宋体"/>
                <w:szCs w:val="21"/>
              </w:rPr>
            </w:pPr>
          </w:p>
        </w:tc>
        <w:tc>
          <w:tcPr>
            <w:tcW w:w="1702" w:type="dxa"/>
            <w:gridSpan w:val="2"/>
            <w:tcBorders>
              <w:top w:val="single" w:color="auto" w:sz="4" w:space="0"/>
              <w:left w:val="nil"/>
              <w:right w:val="single" w:color="auto" w:sz="4" w:space="0"/>
            </w:tcBorders>
            <w:noWrap w:val="0"/>
            <w:vAlign w:val="center"/>
          </w:tcPr>
          <w:p>
            <w:pPr>
              <w:autoSpaceDE w:val="0"/>
              <w:autoSpaceDN w:val="0"/>
              <w:snapToGrid w:val="0"/>
              <w:rPr>
                <w:rFonts w:hint="eastAsia" w:ascii="宋体" w:hAnsi="宋体" w:cs="宋体"/>
                <w:szCs w:val="21"/>
              </w:rPr>
            </w:pPr>
            <w:r>
              <w:rPr>
                <w:rFonts w:hint="eastAsia" w:ascii="宋体" w:hAnsi="宋体" w:cs="宋体"/>
                <w:szCs w:val="21"/>
              </w:rPr>
              <w:t>对投标人免费服务期限能力的评价</w:t>
            </w:r>
          </w:p>
        </w:tc>
        <w:tc>
          <w:tcPr>
            <w:tcW w:w="784" w:type="dxa"/>
            <w:tcBorders>
              <w:top w:val="single" w:color="auto" w:sz="4" w:space="0"/>
              <w:left w:val="nil"/>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2</w:t>
            </w:r>
          </w:p>
        </w:tc>
        <w:tc>
          <w:tcPr>
            <w:tcW w:w="4987"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宋体" w:hAnsi="宋体" w:cs="宋体"/>
                <w:szCs w:val="21"/>
              </w:rPr>
            </w:pPr>
            <w:r>
              <w:rPr>
                <w:rFonts w:hint="eastAsia" w:ascii="宋体" w:hAnsi="宋体" w:cs="宋体"/>
                <w:szCs w:val="21"/>
              </w:rPr>
              <w:t>免费服务期限满足合同要求得2分，</w:t>
            </w:r>
          </w:p>
          <w:p>
            <w:pPr>
              <w:snapToGrid w:val="0"/>
              <w:jc w:val="left"/>
              <w:rPr>
                <w:rFonts w:hint="eastAsia" w:ascii="宋体" w:hAnsi="宋体" w:cs="宋体"/>
                <w:szCs w:val="21"/>
              </w:rPr>
            </w:pPr>
            <w:r>
              <w:rPr>
                <w:rFonts w:hint="eastAsia" w:ascii="宋体" w:hAnsi="宋体" w:cs="宋体"/>
                <w:szCs w:val="21"/>
              </w:rPr>
              <w:t>不满足合同要求得0分；</w:t>
            </w:r>
          </w:p>
        </w:tc>
      </w:tr>
      <w:tr>
        <w:tblPrEx>
          <w:tblCellMar>
            <w:top w:w="0" w:type="dxa"/>
            <w:left w:w="108" w:type="dxa"/>
            <w:bottom w:w="0" w:type="dxa"/>
            <w:right w:w="108" w:type="dxa"/>
          </w:tblCellMar>
        </w:tblPrEx>
        <w:trPr>
          <w:trHeight w:val="907" w:hRule="atLeast"/>
        </w:trPr>
        <w:tc>
          <w:tcPr>
            <w:tcW w:w="392"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133" w:type="dxa"/>
            <w:vMerge w:val="continue"/>
            <w:tcBorders>
              <w:left w:val="nil"/>
              <w:right w:val="single" w:color="auto" w:sz="4" w:space="0"/>
            </w:tcBorders>
            <w:noWrap w:val="0"/>
            <w:vAlign w:val="center"/>
          </w:tcPr>
          <w:p>
            <w:pPr>
              <w:snapToGrid w:val="0"/>
              <w:jc w:val="center"/>
              <w:rPr>
                <w:rFonts w:hint="eastAsia" w:ascii="宋体" w:hAnsi="宋体" w:cs="宋体"/>
                <w:szCs w:val="21"/>
              </w:rPr>
            </w:pPr>
          </w:p>
        </w:tc>
        <w:tc>
          <w:tcPr>
            <w:tcW w:w="1026" w:type="dxa"/>
            <w:vMerge w:val="restart"/>
            <w:tcBorders>
              <w:top w:val="single" w:color="auto" w:sz="4" w:space="0"/>
              <w:left w:val="nil"/>
              <w:right w:val="single" w:color="auto" w:sz="4" w:space="0"/>
            </w:tcBorders>
            <w:noWrap w:val="0"/>
            <w:vAlign w:val="center"/>
          </w:tcPr>
          <w:p>
            <w:pPr>
              <w:autoSpaceDE w:val="0"/>
              <w:autoSpaceDN w:val="0"/>
              <w:snapToGrid w:val="0"/>
              <w:rPr>
                <w:rFonts w:hint="eastAsia" w:ascii="宋体" w:hAnsi="宋体" w:cs="宋体"/>
                <w:szCs w:val="21"/>
              </w:rPr>
            </w:pPr>
            <w:r>
              <w:rPr>
                <w:rFonts w:hint="eastAsia" w:ascii="宋体" w:hAnsi="宋体" w:cs="宋体"/>
                <w:bCs/>
                <w:szCs w:val="21"/>
              </w:rPr>
              <w:t>功能演示视频材料（38分）</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rPr>
                <w:rFonts w:hint="eastAsia" w:ascii="宋体" w:hAnsi="宋体" w:cs="宋体"/>
                <w:b/>
                <w:szCs w:val="21"/>
              </w:rPr>
            </w:pPr>
            <w:r>
              <w:rPr>
                <w:rFonts w:hint="eastAsia" w:ascii="宋体" w:hAnsi="宋体" w:cs="宋体"/>
                <w:szCs w:val="21"/>
              </w:rPr>
              <w:t>基础功能演示</w:t>
            </w:r>
          </w:p>
        </w:tc>
        <w:tc>
          <w:tcPr>
            <w:tcW w:w="78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6</w:t>
            </w:r>
          </w:p>
        </w:tc>
        <w:tc>
          <w:tcPr>
            <w:tcW w:w="4987"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宋体" w:hAnsi="宋体" w:cs="宋体"/>
                <w:bCs/>
                <w:szCs w:val="21"/>
              </w:rPr>
            </w:pPr>
            <w:r>
              <w:rPr>
                <w:rFonts w:hint="eastAsia" w:ascii="宋体" w:hAnsi="宋体" w:cs="宋体"/>
                <w:bCs/>
                <w:szCs w:val="21"/>
              </w:rPr>
              <w:t>（1）演示集团化组织架构支持</w:t>
            </w:r>
          </w:p>
          <w:p>
            <w:pPr>
              <w:snapToGrid w:val="0"/>
              <w:jc w:val="left"/>
              <w:rPr>
                <w:rFonts w:hint="eastAsia" w:ascii="宋体" w:hAnsi="宋体" w:cs="宋体"/>
                <w:bCs/>
                <w:szCs w:val="21"/>
              </w:rPr>
            </w:pPr>
            <w:r>
              <w:rPr>
                <w:rFonts w:hint="eastAsia" w:ascii="宋体" w:hAnsi="宋体" w:cs="宋体"/>
                <w:bCs/>
                <w:szCs w:val="21"/>
              </w:rPr>
              <w:t>（2）演示审批流程图形化配置过程</w:t>
            </w:r>
          </w:p>
          <w:p>
            <w:pPr>
              <w:snapToGrid w:val="0"/>
              <w:jc w:val="left"/>
              <w:rPr>
                <w:rFonts w:hint="eastAsia" w:ascii="宋体" w:hAnsi="宋体" w:cs="宋体"/>
                <w:szCs w:val="21"/>
              </w:rPr>
            </w:pPr>
            <w:r>
              <w:rPr>
                <w:rFonts w:hint="eastAsia" w:ascii="宋体" w:hAnsi="宋体" w:cs="宋体"/>
                <w:bCs/>
                <w:szCs w:val="21"/>
              </w:rPr>
              <w:t>（3）员工异动业务处理演示</w:t>
            </w:r>
          </w:p>
        </w:tc>
      </w:tr>
      <w:tr>
        <w:tblPrEx>
          <w:tblCellMar>
            <w:top w:w="0" w:type="dxa"/>
            <w:left w:w="108" w:type="dxa"/>
            <w:bottom w:w="0" w:type="dxa"/>
            <w:right w:w="108" w:type="dxa"/>
          </w:tblCellMar>
        </w:tblPrEx>
        <w:trPr>
          <w:trHeight w:val="907" w:hRule="atLeast"/>
        </w:trPr>
        <w:tc>
          <w:tcPr>
            <w:tcW w:w="392"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133" w:type="dxa"/>
            <w:vMerge w:val="continue"/>
            <w:tcBorders>
              <w:left w:val="nil"/>
              <w:right w:val="single" w:color="auto" w:sz="4" w:space="0"/>
            </w:tcBorders>
            <w:noWrap w:val="0"/>
            <w:vAlign w:val="center"/>
          </w:tcPr>
          <w:p>
            <w:pPr>
              <w:snapToGrid w:val="0"/>
              <w:jc w:val="center"/>
              <w:rPr>
                <w:rFonts w:hint="eastAsia" w:ascii="宋体" w:hAnsi="宋体" w:cs="宋体"/>
                <w:szCs w:val="21"/>
              </w:rPr>
            </w:pPr>
          </w:p>
        </w:tc>
        <w:tc>
          <w:tcPr>
            <w:tcW w:w="1026" w:type="dxa"/>
            <w:vMerge w:val="continue"/>
            <w:tcBorders>
              <w:left w:val="nil"/>
              <w:bottom w:val="nil"/>
              <w:right w:val="single" w:color="auto" w:sz="4" w:space="0"/>
            </w:tcBorders>
            <w:noWrap w:val="0"/>
            <w:vAlign w:val="center"/>
          </w:tcPr>
          <w:p>
            <w:pPr>
              <w:autoSpaceDE w:val="0"/>
              <w:autoSpaceDN w:val="0"/>
              <w:snapToGrid w:val="0"/>
              <w:rPr>
                <w:rFonts w:hint="eastAsia" w:ascii="宋体" w:hAnsi="宋体" w:cs="宋体"/>
                <w:szCs w:val="21"/>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rPr>
                <w:rFonts w:hint="eastAsia" w:ascii="宋体" w:hAnsi="宋体" w:cs="宋体"/>
                <w:szCs w:val="21"/>
              </w:rPr>
            </w:pPr>
            <w:r>
              <w:rPr>
                <w:rFonts w:hint="eastAsia" w:ascii="宋体" w:hAnsi="宋体" w:cs="宋体"/>
                <w:szCs w:val="21"/>
              </w:rPr>
              <w:t>薪酬演示</w:t>
            </w:r>
          </w:p>
        </w:tc>
        <w:tc>
          <w:tcPr>
            <w:tcW w:w="78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14</w:t>
            </w:r>
          </w:p>
        </w:tc>
        <w:tc>
          <w:tcPr>
            <w:tcW w:w="4987"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宋体" w:hAnsi="宋体" w:cs="宋体"/>
                <w:bCs/>
                <w:szCs w:val="21"/>
              </w:rPr>
            </w:pPr>
            <w:r>
              <w:rPr>
                <w:rFonts w:hint="eastAsia" w:ascii="宋体" w:hAnsi="宋体" w:cs="宋体"/>
                <w:bCs/>
                <w:szCs w:val="21"/>
              </w:rPr>
              <w:t>（1）提供中文公式和函数，使得具备一定计算机基础知识的用户都可以方便自如地定义各种复杂的计算公式。</w:t>
            </w:r>
          </w:p>
          <w:p>
            <w:pPr>
              <w:snapToGrid w:val="0"/>
              <w:jc w:val="left"/>
              <w:rPr>
                <w:rFonts w:hint="eastAsia" w:ascii="宋体" w:hAnsi="宋体" w:cs="宋体"/>
                <w:bCs/>
                <w:szCs w:val="21"/>
              </w:rPr>
            </w:pPr>
            <w:r>
              <w:rPr>
                <w:rFonts w:hint="eastAsia" w:ascii="宋体" w:hAnsi="宋体" w:cs="宋体"/>
                <w:bCs/>
                <w:szCs w:val="21"/>
              </w:rPr>
              <w:t>（2）能基于上月数据进行下月工资计算，只需对变化部分进行调整，支持一月多次发放。</w:t>
            </w:r>
          </w:p>
          <w:p>
            <w:pPr>
              <w:snapToGrid w:val="0"/>
              <w:jc w:val="left"/>
              <w:rPr>
                <w:rFonts w:hint="eastAsia" w:ascii="宋体" w:hAnsi="宋体" w:cs="宋体"/>
                <w:bCs/>
                <w:szCs w:val="21"/>
              </w:rPr>
            </w:pPr>
            <w:r>
              <w:rPr>
                <w:rFonts w:hint="eastAsia" w:ascii="宋体" w:hAnsi="宋体" w:cs="宋体"/>
                <w:bCs/>
                <w:szCs w:val="21"/>
              </w:rPr>
              <w:t>（3）要求能够展示导入税务局扣缴客户端导入功能界面</w:t>
            </w:r>
          </w:p>
          <w:p>
            <w:pPr>
              <w:snapToGrid w:val="0"/>
              <w:jc w:val="left"/>
              <w:rPr>
                <w:rFonts w:hint="eastAsia" w:ascii="宋体" w:hAnsi="宋体" w:cs="宋体"/>
                <w:bCs/>
                <w:szCs w:val="21"/>
              </w:rPr>
            </w:pPr>
            <w:r>
              <w:rPr>
                <w:rFonts w:hint="eastAsia" w:ascii="宋体" w:hAnsi="宋体" w:cs="宋体"/>
                <w:bCs/>
                <w:szCs w:val="21"/>
              </w:rPr>
              <w:t>（4）提供报表展示，重点展示生成图形化分析报表功能。</w:t>
            </w:r>
          </w:p>
          <w:p>
            <w:pPr>
              <w:snapToGrid w:val="0"/>
              <w:jc w:val="left"/>
              <w:rPr>
                <w:rFonts w:hint="eastAsia" w:ascii="宋体" w:hAnsi="宋体" w:cs="宋体"/>
                <w:bCs/>
                <w:szCs w:val="21"/>
              </w:rPr>
            </w:pPr>
            <w:r>
              <w:rPr>
                <w:rFonts w:hint="eastAsia" w:ascii="宋体" w:hAnsi="宋体" w:cs="宋体"/>
                <w:bCs/>
                <w:szCs w:val="21"/>
              </w:rPr>
              <w:t>（5）展示薪酬计算过程，要求提供简洁明了的计算过程指导界面</w:t>
            </w:r>
          </w:p>
          <w:p>
            <w:pPr>
              <w:snapToGrid w:val="0"/>
              <w:jc w:val="left"/>
              <w:rPr>
                <w:rFonts w:hint="eastAsia" w:ascii="宋体" w:hAnsi="宋体" w:cs="宋体"/>
                <w:bCs/>
                <w:szCs w:val="21"/>
              </w:rPr>
            </w:pPr>
            <w:r>
              <w:rPr>
                <w:rFonts w:hint="eastAsia" w:ascii="宋体" w:hAnsi="宋体" w:cs="宋体"/>
                <w:bCs/>
                <w:szCs w:val="21"/>
              </w:rPr>
              <w:t>（6）要求演示手机自助界面，展示自助的各项功能，包含请假、审批、绩效考核、工资条、领导自助报表分析等。</w:t>
            </w:r>
          </w:p>
          <w:p>
            <w:pPr>
              <w:snapToGrid w:val="0"/>
              <w:jc w:val="left"/>
              <w:rPr>
                <w:rFonts w:hint="eastAsia" w:ascii="宋体" w:hAnsi="宋体" w:cs="宋体"/>
                <w:szCs w:val="21"/>
              </w:rPr>
            </w:pPr>
            <w:r>
              <w:rPr>
                <w:rFonts w:hint="eastAsia" w:ascii="宋体" w:hAnsi="宋体" w:cs="宋体"/>
                <w:bCs/>
                <w:szCs w:val="21"/>
              </w:rPr>
              <w:t>（7）工资审批按部门汇总审批，也支持按明细审批。</w:t>
            </w:r>
          </w:p>
        </w:tc>
      </w:tr>
      <w:tr>
        <w:tblPrEx>
          <w:tblCellMar>
            <w:top w:w="0" w:type="dxa"/>
            <w:left w:w="108" w:type="dxa"/>
            <w:bottom w:w="0" w:type="dxa"/>
            <w:right w:w="108" w:type="dxa"/>
          </w:tblCellMar>
        </w:tblPrEx>
        <w:trPr>
          <w:trHeight w:val="907" w:hRule="atLeast"/>
        </w:trPr>
        <w:tc>
          <w:tcPr>
            <w:tcW w:w="392"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133" w:type="dxa"/>
            <w:vMerge w:val="continue"/>
            <w:tcBorders>
              <w:left w:val="nil"/>
              <w:bottom w:val="nil"/>
              <w:right w:val="single" w:color="auto" w:sz="4" w:space="0"/>
            </w:tcBorders>
            <w:noWrap w:val="0"/>
            <w:vAlign w:val="center"/>
          </w:tcPr>
          <w:p>
            <w:pPr>
              <w:snapToGrid w:val="0"/>
              <w:jc w:val="center"/>
              <w:rPr>
                <w:rFonts w:hint="eastAsia" w:ascii="宋体" w:hAnsi="宋体" w:cs="宋体"/>
                <w:szCs w:val="21"/>
              </w:rPr>
            </w:pPr>
          </w:p>
        </w:tc>
        <w:tc>
          <w:tcPr>
            <w:tcW w:w="1026" w:type="dxa"/>
            <w:vMerge w:val="restart"/>
            <w:tcBorders>
              <w:top w:val="nil"/>
              <w:left w:val="nil"/>
              <w:right w:val="single" w:color="auto" w:sz="4" w:space="0"/>
            </w:tcBorders>
            <w:noWrap w:val="0"/>
            <w:vAlign w:val="top"/>
          </w:tcPr>
          <w:p>
            <w:pPr>
              <w:autoSpaceDE w:val="0"/>
              <w:autoSpaceDN w:val="0"/>
              <w:snapToGrid w:val="0"/>
              <w:jc w:val="center"/>
              <w:rPr>
                <w:rFonts w:hint="eastAsia" w:ascii="宋体" w:hAnsi="宋体" w:cs="宋体"/>
                <w:bCs/>
                <w:szCs w:val="21"/>
              </w:rPr>
            </w:pPr>
          </w:p>
          <w:p>
            <w:pPr>
              <w:autoSpaceDE w:val="0"/>
              <w:autoSpaceDN w:val="0"/>
              <w:snapToGrid w:val="0"/>
              <w:jc w:val="center"/>
              <w:rPr>
                <w:rFonts w:hint="eastAsia" w:ascii="宋体" w:hAnsi="宋体" w:cs="宋体"/>
                <w:bCs/>
                <w:szCs w:val="21"/>
              </w:rPr>
            </w:pPr>
          </w:p>
          <w:p>
            <w:pPr>
              <w:autoSpaceDE w:val="0"/>
              <w:autoSpaceDN w:val="0"/>
              <w:snapToGrid w:val="0"/>
              <w:jc w:val="center"/>
              <w:rPr>
                <w:rFonts w:hint="eastAsia" w:ascii="宋体" w:hAnsi="宋体" w:cs="宋体"/>
                <w:bCs/>
                <w:szCs w:val="21"/>
              </w:rPr>
            </w:pPr>
          </w:p>
          <w:p>
            <w:pPr>
              <w:autoSpaceDE w:val="0"/>
              <w:autoSpaceDN w:val="0"/>
              <w:snapToGrid w:val="0"/>
              <w:jc w:val="center"/>
              <w:rPr>
                <w:rFonts w:hint="eastAsia" w:ascii="宋体" w:hAnsi="宋体" w:cs="宋体"/>
                <w:bCs/>
                <w:szCs w:val="21"/>
              </w:rPr>
            </w:pPr>
          </w:p>
          <w:p>
            <w:pPr>
              <w:autoSpaceDE w:val="0"/>
              <w:autoSpaceDN w:val="0"/>
              <w:snapToGrid w:val="0"/>
              <w:jc w:val="center"/>
              <w:rPr>
                <w:rFonts w:hint="eastAsia" w:ascii="宋体" w:hAnsi="宋体" w:cs="宋体"/>
                <w:bCs/>
                <w:szCs w:val="21"/>
              </w:rPr>
            </w:pPr>
          </w:p>
          <w:p>
            <w:pPr>
              <w:autoSpaceDE w:val="0"/>
              <w:autoSpaceDN w:val="0"/>
              <w:snapToGrid w:val="0"/>
              <w:jc w:val="center"/>
              <w:rPr>
                <w:rFonts w:hint="eastAsia" w:ascii="宋体" w:hAnsi="宋体" w:cs="宋体"/>
                <w:bCs/>
                <w:szCs w:val="21"/>
              </w:rPr>
            </w:pPr>
          </w:p>
          <w:p>
            <w:pPr>
              <w:autoSpaceDE w:val="0"/>
              <w:autoSpaceDN w:val="0"/>
              <w:snapToGrid w:val="0"/>
              <w:jc w:val="center"/>
              <w:rPr>
                <w:rFonts w:hint="eastAsia" w:ascii="宋体" w:hAnsi="宋体" w:cs="宋体"/>
                <w:bCs/>
                <w:szCs w:val="21"/>
              </w:rPr>
            </w:pPr>
          </w:p>
          <w:p>
            <w:pPr>
              <w:autoSpaceDE w:val="0"/>
              <w:autoSpaceDN w:val="0"/>
              <w:snapToGrid w:val="0"/>
              <w:jc w:val="center"/>
              <w:rPr>
                <w:rFonts w:hint="eastAsia" w:ascii="宋体" w:hAnsi="宋体" w:cs="宋体"/>
                <w:bCs/>
                <w:szCs w:val="21"/>
              </w:rPr>
            </w:pPr>
          </w:p>
          <w:p>
            <w:pPr>
              <w:autoSpaceDE w:val="0"/>
              <w:autoSpaceDN w:val="0"/>
              <w:snapToGrid w:val="0"/>
              <w:jc w:val="center"/>
              <w:rPr>
                <w:rFonts w:hint="eastAsia" w:ascii="宋体" w:hAnsi="宋体" w:cs="宋体"/>
                <w:bCs/>
                <w:szCs w:val="21"/>
              </w:rPr>
            </w:pPr>
          </w:p>
          <w:p>
            <w:pPr>
              <w:autoSpaceDE w:val="0"/>
              <w:autoSpaceDN w:val="0"/>
              <w:snapToGrid w:val="0"/>
              <w:jc w:val="center"/>
              <w:rPr>
                <w:rFonts w:hint="eastAsia" w:ascii="宋体" w:hAnsi="宋体" w:cs="宋体"/>
                <w:szCs w:val="21"/>
              </w:rPr>
            </w:pPr>
            <w:r>
              <w:rPr>
                <w:rFonts w:hint="eastAsia" w:ascii="宋体" w:hAnsi="宋体" w:cs="宋体"/>
                <w:bCs/>
                <w:szCs w:val="21"/>
              </w:rPr>
              <w:t>功能演示视频材料（38分）</w:t>
            </w:r>
          </w:p>
        </w:tc>
        <w:tc>
          <w:tcPr>
            <w:tcW w:w="6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rPr>
                <w:rFonts w:hint="eastAsia" w:ascii="宋体" w:hAnsi="宋体" w:cs="宋体"/>
                <w:szCs w:val="21"/>
              </w:rPr>
            </w:pPr>
            <w:r>
              <w:rPr>
                <w:rFonts w:hint="eastAsia" w:ascii="宋体" w:hAnsi="宋体" w:cs="宋体"/>
                <w:szCs w:val="21"/>
              </w:rPr>
              <w:t>报表管理模块</w:t>
            </w:r>
          </w:p>
        </w:tc>
        <w:tc>
          <w:tcPr>
            <w:tcW w:w="78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8</w:t>
            </w:r>
          </w:p>
        </w:tc>
        <w:tc>
          <w:tcPr>
            <w:tcW w:w="4987"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cs="宋体"/>
                <w:szCs w:val="21"/>
              </w:rPr>
            </w:pPr>
            <w:r>
              <w:rPr>
                <w:rFonts w:hint="eastAsia" w:ascii="宋体" w:hAnsi="宋体" w:cs="宋体"/>
                <w:szCs w:val="21"/>
              </w:rPr>
              <w:t>（1）系统应预置多种统计报表，用户可以自定义本单位报表。</w:t>
            </w:r>
          </w:p>
          <w:p>
            <w:pPr>
              <w:adjustRightInd w:val="0"/>
              <w:snapToGrid w:val="0"/>
              <w:jc w:val="left"/>
              <w:rPr>
                <w:rFonts w:hint="eastAsia" w:ascii="宋体" w:hAnsi="宋体" w:cs="宋体"/>
                <w:szCs w:val="21"/>
              </w:rPr>
            </w:pPr>
            <w:r>
              <w:rPr>
                <w:rFonts w:hint="eastAsia" w:ascii="宋体" w:hAnsi="宋体" w:cs="宋体"/>
                <w:szCs w:val="21"/>
              </w:rPr>
              <w:t>（2）系统应提供简单易学的报表绘制工具，报表格式发生变动，集团业务人员能够灵活修改、新增各种统计报表，同时支持多维度报表分析功能。</w:t>
            </w:r>
          </w:p>
          <w:p>
            <w:pPr>
              <w:adjustRightInd w:val="0"/>
              <w:snapToGrid w:val="0"/>
              <w:jc w:val="left"/>
              <w:rPr>
                <w:rFonts w:hint="eastAsia" w:ascii="宋体" w:hAnsi="宋体" w:cs="宋体"/>
                <w:szCs w:val="21"/>
              </w:rPr>
            </w:pPr>
            <w:r>
              <w:rPr>
                <w:rFonts w:hint="eastAsia" w:ascii="宋体" w:hAnsi="宋体" w:cs="宋体"/>
                <w:szCs w:val="21"/>
              </w:rPr>
              <w:t>（3）提供薪酬同期对比分析功能</w:t>
            </w:r>
          </w:p>
          <w:p>
            <w:pPr>
              <w:snapToGrid w:val="0"/>
              <w:jc w:val="left"/>
              <w:rPr>
                <w:rFonts w:hint="eastAsia" w:ascii="宋体" w:hAnsi="宋体" w:cs="宋体"/>
                <w:szCs w:val="21"/>
              </w:rPr>
            </w:pPr>
            <w:r>
              <w:rPr>
                <w:rFonts w:hint="eastAsia" w:ascii="宋体" w:hAnsi="宋体" w:cs="宋体"/>
                <w:szCs w:val="21"/>
              </w:rPr>
              <w:t>（4）提供模型分析功能，在领导自助界面动态展示数据，便于领导分析决策，实现组织健康度、结构分析。</w:t>
            </w:r>
          </w:p>
        </w:tc>
      </w:tr>
      <w:tr>
        <w:tblPrEx>
          <w:tblCellMar>
            <w:top w:w="0" w:type="dxa"/>
            <w:left w:w="108" w:type="dxa"/>
            <w:bottom w:w="0" w:type="dxa"/>
            <w:right w:w="108" w:type="dxa"/>
          </w:tblCellMar>
        </w:tblPrEx>
        <w:trPr>
          <w:trHeight w:val="907" w:hRule="atLeast"/>
        </w:trPr>
        <w:tc>
          <w:tcPr>
            <w:tcW w:w="392" w:type="dxa"/>
            <w:tcBorders>
              <w:left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3</w:t>
            </w:r>
          </w:p>
        </w:tc>
        <w:tc>
          <w:tcPr>
            <w:tcW w:w="1133" w:type="dxa"/>
            <w:tcBorders>
              <w:top w:val="nil"/>
              <w:left w:val="nil"/>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技术</w:t>
            </w:r>
          </w:p>
          <w:p>
            <w:pPr>
              <w:snapToGrid w:val="0"/>
              <w:jc w:val="center"/>
              <w:rPr>
                <w:rFonts w:hint="eastAsia" w:ascii="宋体" w:hAnsi="宋体" w:cs="宋体"/>
                <w:szCs w:val="21"/>
              </w:rPr>
            </w:pPr>
            <w:r>
              <w:rPr>
                <w:rFonts w:hint="eastAsia" w:ascii="宋体" w:hAnsi="宋体" w:cs="宋体"/>
                <w:szCs w:val="21"/>
              </w:rPr>
              <w:t>部分</w:t>
            </w:r>
          </w:p>
          <w:p>
            <w:pPr>
              <w:snapToGrid w:val="0"/>
              <w:jc w:val="center"/>
              <w:rPr>
                <w:rFonts w:hint="eastAsia" w:ascii="宋体" w:hAnsi="宋体" w:cs="宋体"/>
                <w:szCs w:val="21"/>
              </w:rPr>
            </w:pPr>
            <w:r>
              <w:rPr>
                <w:rFonts w:hint="eastAsia" w:ascii="宋体" w:hAnsi="宋体" w:cs="宋体"/>
                <w:szCs w:val="21"/>
              </w:rPr>
              <w:t>(70分）</w:t>
            </w:r>
          </w:p>
        </w:tc>
        <w:tc>
          <w:tcPr>
            <w:tcW w:w="1026" w:type="dxa"/>
            <w:vMerge w:val="continue"/>
            <w:tcBorders>
              <w:left w:val="nil"/>
              <w:right w:val="single" w:color="auto" w:sz="4" w:space="0"/>
            </w:tcBorders>
            <w:noWrap w:val="0"/>
            <w:vAlign w:val="center"/>
          </w:tcPr>
          <w:p>
            <w:pPr>
              <w:autoSpaceDE w:val="0"/>
              <w:autoSpaceDN w:val="0"/>
              <w:snapToGrid w:val="0"/>
              <w:rPr>
                <w:rFonts w:hint="eastAsia" w:ascii="宋体" w:hAnsi="宋体" w:cs="宋体"/>
                <w:szCs w:val="21"/>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rPr>
                <w:rFonts w:hint="eastAsia" w:ascii="宋体" w:hAnsi="宋体" w:cs="宋体"/>
                <w:szCs w:val="21"/>
              </w:rPr>
            </w:pPr>
            <w:r>
              <w:rPr>
                <w:rFonts w:hint="eastAsia" w:ascii="宋体" w:hAnsi="宋体" w:cs="宋体"/>
                <w:szCs w:val="21"/>
              </w:rPr>
              <w:t>招聘管理</w:t>
            </w:r>
          </w:p>
        </w:tc>
        <w:tc>
          <w:tcPr>
            <w:tcW w:w="78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3</w:t>
            </w:r>
          </w:p>
        </w:tc>
        <w:tc>
          <w:tcPr>
            <w:tcW w:w="4987" w:type="dxa"/>
            <w:tcBorders>
              <w:top w:val="single" w:color="auto" w:sz="4" w:space="0"/>
              <w:left w:val="nil"/>
              <w:bottom w:val="single" w:color="auto" w:sz="4" w:space="0"/>
              <w:right w:val="single" w:color="auto" w:sz="4" w:space="0"/>
            </w:tcBorders>
            <w:noWrap w:val="0"/>
            <w:vAlign w:val="center"/>
          </w:tcPr>
          <w:p>
            <w:pPr>
              <w:pStyle w:val="16"/>
              <w:numPr>
                <w:ilvl w:val="0"/>
                <w:numId w:val="7"/>
              </w:numPr>
              <w:snapToGrid w:val="0"/>
              <w:jc w:val="both"/>
              <w:rPr>
                <w:rFonts w:hint="eastAsia" w:ascii="宋体" w:hAnsi="宋体" w:cs="宋体"/>
                <w:bCs/>
                <w:szCs w:val="21"/>
              </w:rPr>
            </w:pPr>
            <w:r>
              <w:rPr>
                <w:rFonts w:hint="eastAsia" w:ascii="宋体" w:hAnsi="宋体" w:cs="宋体"/>
                <w:bCs/>
                <w:szCs w:val="21"/>
              </w:rPr>
              <w:t>展示招聘简历导入识别功能</w:t>
            </w:r>
          </w:p>
          <w:p>
            <w:pPr>
              <w:pStyle w:val="16"/>
              <w:numPr>
                <w:ilvl w:val="0"/>
                <w:numId w:val="7"/>
              </w:numPr>
              <w:snapToGrid w:val="0"/>
              <w:jc w:val="both"/>
              <w:rPr>
                <w:rFonts w:hint="eastAsia" w:ascii="宋体" w:hAnsi="宋体" w:cs="宋体"/>
                <w:bCs/>
                <w:szCs w:val="21"/>
              </w:rPr>
            </w:pPr>
            <w:r>
              <w:rPr>
                <w:rFonts w:hint="eastAsia" w:ascii="宋体" w:hAnsi="宋体" w:cs="宋体"/>
                <w:bCs/>
                <w:szCs w:val="21"/>
              </w:rPr>
              <w:t>展示招聘一览表工作台界面和功能</w:t>
            </w:r>
          </w:p>
          <w:p>
            <w:pPr>
              <w:pStyle w:val="16"/>
              <w:numPr>
                <w:ilvl w:val="0"/>
                <w:numId w:val="7"/>
              </w:numPr>
              <w:snapToGrid w:val="0"/>
              <w:jc w:val="both"/>
              <w:rPr>
                <w:rFonts w:hint="eastAsia" w:ascii="宋体" w:hAnsi="宋体" w:cs="宋体"/>
                <w:szCs w:val="21"/>
              </w:rPr>
            </w:pPr>
            <w:r>
              <w:rPr>
                <w:rFonts w:hint="eastAsia" w:ascii="宋体" w:hAnsi="宋体" w:cs="宋体"/>
                <w:bCs/>
                <w:szCs w:val="21"/>
              </w:rPr>
              <w:t>展示招聘录用转入·职单流程</w:t>
            </w:r>
          </w:p>
        </w:tc>
      </w:tr>
      <w:tr>
        <w:tblPrEx>
          <w:tblCellMar>
            <w:top w:w="0" w:type="dxa"/>
            <w:left w:w="108" w:type="dxa"/>
            <w:bottom w:w="0" w:type="dxa"/>
            <w:right w:w="108" w:type="dxa"/>
          </w:tblCellMar>
        </w:tblPrEx>
        <w:trPr>
          <w:trHeight w:val="907" w:hRule="atLeast"/>
        </w:trPr>
        <w:tc>
          <w:tcPr>
            <w:tcW w:w="392" w:type="dxa"/>
            <w:tcBorders>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133" w:type="dxa"/>
            <w:tcBorders>
              <w:left w:val="nil"/>
              <w:bottom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026" w:type="dxa"/>
            <w:vMerge w:val="continue"/>
            <w:tcBorders>
              <w:left w:val="nil"/>
              <w:bottom w:val="single" w:color="auto" w:sz="4" w:space="0"/>
              <w:right w:val="single" w:color="auto" w:sz="4" w:space="0"/>
            </w:tcBorders>
            <w:noWrap w:val="0"/>
            <w:vAlign w:val="center"/>
          </w:tcPr>
          <w:p>
            <w:pPr>
              <w:autoSpaceDE w:val="0"/>
              <w:autoSpaceDN w:val="0"/>
              <w:snapToGrid w:val="0"/>
              <w:rPr>
                <w:rFonts w:hint="eastAsia" w:ascii="宋体" w:hAnsi="宋体" w:cs="宋体"/>
                <w:szCs w:val="21"/>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rPr>
                <w:rFonts w:hint="eastAsia" w:ascii="宋体" w:hAnsi="宋体" w:cs="宋体"/>
                <w:szCs w:val="21"/>
              </w:rPr>
            </w:pPr>
            <w:r>
              <w:rPr>
                <w:rFonts w:hint="eastAsia" w:ascii="宋体" w:hAnsi="宋体" w:cs="宋体"/>
                <w:szCs w:val="21"/>
              </w:rPr>
              <w:t>绩效管理</w:t>
            </w:r>
          </w:p>
        </w:tc>
        <w:tc>
          <w:tcPr>
            <w:tcW w:w="78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7</w:t>
            </w:r>
          </w:p>
        </w:tc>
        <w:tc>
          <w:tcPr>
            <w:tcW w:w="4987" w:type="dxa"/>
            <w:tcBorders>
              <w:top w:val="single" w:color="auto" w:sz="4" w:space="0"/>
              <w:left w:val="nil"/>
              <w:bottom w:val="single" w:color="auto" w:sz="4" w:space="0"/>
              <w:right w:val="single" w:color="auto" w:sz="4" w:space="0"/>
            </w:tcBorders>
            <w:noWrap w:val="0"/>
            <w:vAlign w:val="center"/>
          </w:tcPr>
          <w:p>
            <w:pPr>
              <w:pStyle w:val="16"/>
              <w:snapToGrid w:val="0"/>
              <w:jc w:val="both"/>
              <w:rPr>
                <w:rFonts w:hint="eastAsia" w:ascii="宋体" w:hAnsi="宋体" w:cs="宋体"/>
                <w:bCs/>
                <w:szCs w:val="21"/>
              </w:rPr>
            </w:pPr>
            <w:r>
              <w:rPr>
                <w:rFonts w:hint="eastAsia" w:ascii="宋体" w:hAnsi="宋体" w:cs="宋体"/>
                <w:bCs/>
                <w:szCs w:val="21"/>
              </w:rPr>
              <w:t>（1）友好简洁的用户界面，通过统一的图形化门户界面实现所有功能，将复杂的业务逻辑封装在系统内部，操作者只需门户上的执行待办事项即可完成几乎所有日常工作、通过可视化图、表展现当前以及历史情况。</w:t>
            </w:r>
          </w:p>
          <w:p>
            <w:pPr>
              <w:pStyle w:val="16"/>
              <w:snapToGrid w:val="0"/>
              <w:jc w:val="both"/>
              <w:rPr>
                <w:rFonts w:hint="eastAsia" w:ascii="宋体" w:hAnsi="宋体" w:cs="宋体"/>
                <w:bCs/>
                <w:szCs w:val="21"/>
              </w:rPr>
            </w:pPr>
            <w:r>
              <w:rPr>
                <w:rFonts w:hint="eastAsia" w:ascii="宋体" w:hAnsi="宋体" w:cs="宋体"/>
                <w:bCs/>
                <w:szCs w:val="21"/>
              </w:rPr>
              <w:t xml:space="preserve">（2）灵活的指标体系，系统内嵌有集团最新的绩效指标，同时支持集团部门、所属企业进一步扩展本单位的各类个性化绩效指标。 </w:t>
            </w:r>
          </w:p>
          <w:p>
            <w:pPr>
              <w:pStyle w:val="16"/>
              <w:snapToGrid w:val="0"/>
              <w:jc w:val="both"/>
              <w:rPr>
                <w:rFonts w:hint="eastAsia" w:ascii="宋体" w:hAnsi="宋体" w:cs="宋体"/>
                <w:bCs/>
                <w:szCs w:val="21"/>
              </w:rPr>
            </w:pPr>
            <w:r>
              <w:rPr>
                <w:rFonts w:hint="eastAsia" w:ascii="宋体" w:hAnsi="宋体" w:cs="宋体"/>
                <w:bCs/>
                <w:szCs w:val="21"/>
              </w:rPr>
              <w:t>（3）实用完备的绩效考评，以灵活强大的工作流建立完整的闭环绩效管理体系；既满足集团集中考评，也支持各企业二级考评；考评周期支持月度考评、季度考评、半年度考评和年度考评。</w:t>
            </w:r>
          </w:p>
          <w:p>
            <w:pPr>
              <w:pStyle w:val="16"/>
              <w:snapToGrid w:val="0"/>
              <w:jc w:val="both"/>
              <w:rPr>
                <w:rFonts w:hint="eastAsia" w:ascii="宋体" w:hAnsi="宋体" w:cs="宋体"/>
                <w:bCs/>
                <w:szCs w:val="21"/>
              </w:rPr>
            </w:pPr>
            <w:r>
              <w:rPr>
                <w:rFonts w:hint="eastAsia" w:ascii="宋体" w:hAnsi="宋体" w:cs="宋体"/>
                <w:bCs/>
                <w:szCs w:val="21"/>
              </w:rPr>
              <w:t>（4）完整覆盖的考评范畴，包含组织绩效、个人绩效。</w:t>
            </w:r>
          </w:p>
          <w:p>
            <w:pPr>
              <w:pStyle w:val="16"/>
              <w:snapToGrid w:val="0"/>
              <w:jc w:val="both"/>
              <w:rPr>
                <w:rFonts w:hint="eastAsia" w:ascii="宋体" w:hAnsi="宋体" w:cs="宋体"/>
                <w:bCs/>
                <w:szCs w:val="21"/>
              </w:rPr>
            </w:pPr>
            <w:r>
              <w:rPr>
                <w:rFonts w:hint="eastAsia" w:ascii="宋体" w:hAnsi="宋体" w:cs="宋体"/>
                <w:bCs/>
                <w:szCs w:val="21"/>
              </w:rPr>
              <w:t>（5）支持多种评分方式，包括智能评分即按照规则自动形成评分，主观评分由考核责任人确定得分，并到期提醒，智能化归集得分，对不同事项、不同周期、不周考评主体进行智能化归集形成最终得分。</w:t>
            </w:r>
          </w:p>
          <w:p>
            <w:pPr>
              <w:pStyle w:val="16"/>
              <w:snapToGrid w:val="0"/>
              <w:jc w:val="both"/>
              <w:rPr>
                <w:rFonts w:hint="eastAsia" w:ascii="宋体" w:hAnsi="宋体" w:cs="宋体"/>
                <w:bCs/>
                <w:szCs w:val="21"/>
              </w:rPr>
            </w:pPr>
            <w:r>
              <w:rPr>
                <w:rFonts w:hint="eastAsia" w:ascii="宋体" w:hAnsi="宋体" w:cs="宋体"/>
                <w:bCs/>
                <w:szCs w:val="21"/>
              </w:rPr>
              <w:t>（6）每个绩效指标附加监控要求，实施过程中实现移动端自动推送办理提醒和考评提醒。</w:t>
            </w:r>
          </w:p>
          <w:p>
            <w:pPr>
              <w:pStyle w:val="16"/>
              <w:snapToGrid w:val="0"/>
              <w:jc w:val="both"/>
              <w:rPr>
                <w:rFonts w:hint="eastAsia" w:ascii="宋体" w:hAnsi="宋体" w:cs="宋体"/>
                <w:szCs w:val="21"/>
              </w:rPr>
            </w:pPr>
            <w:r>
              <w:rPr>
                <w:rFonts w:hint="eastAsia" w:ascii="宋体" w:hAnsi="宋体" w:cs="宋体"/>
                <w:bCs/>
                <w:szCs w:val="21"/>
              </w:rPr>
              <w:t xml:space="preserve">（7）直观清晰的结果应用，以图表方式直观展现绩效考评结果，并可追溯到具体明细。 </w:t>
            </w:r>
          </w:p>
        </w:tc>
      </w:tr>
    </w:tbl>
    <w:p>
      <w:pPr>
        <w:widowControl/>
        <w:snapToGrid w:val="0"/>
        <w:spacing w:line="360" w:lineRule="auto"/>
        <w:jc w:val="left"/>
        <w:rPr>
          <w:rFonts w:ascii="宋体" w:hAnsi="宋体" w:cs="宋体"/>
          <w:kern w:val="0"/>
          <w:szCs w:val="21"/>
        </w:rPr>
      </w:pPr>
    </w:p>
    <w:p>
      <w:pPr>
        <w:tabs>
          <w:tab w:val="left" w:pos="1260"/>
          <w:tab w:val="left" w:pos="1620"/>
        </w:tabs>
        <w:adjustRightInd w:val="0"/>
        <w:spacing w:line="360" w:lineRule="auto"/>
        <w:jc w:val="left"/>
        <w:textAlignment w:val="baseline"/>
        <w:rPr>
          <w:rFonts w:hint="eastAsia" w:ascii="宋体" w:hAnsi="宋体"/>
          <w:bCs/>
          <w:kern w:val="44"/>
          <w:szCs w:val="21"/>
        </w:rPr>
      </w:pPr>
      <w:r>
        <w:rPr>
          <w:rFonts w:hint="eastAsia" w:ascii="宋体" w:hAnsi="宋体" w:cs="黑体"/>
          <w:kern w:val="0"/>
          <w:szCs w:val="21"/>
        </w:rPr>
        <w:br w:type="page"/>
      </w:r>
      <w:r>
        <w:rPr>
          <w:rFonts w:hint="eastAsia" w:ascii="宋体" w:hAnsi="宋体"/>
          <w:bCs/>
          <w:kern w:val="44"/>
          <w:szCs w:val="21"/>
        </w:rPr>
        <w:t>七</w:t>
      </w:r>
      <w:r>
        <w:rPr>
          <w:rFonts w:ascii="宋体" w:hAnsi="宋体"/>
          <w:bCs/>
          <w:kern w:val="44"/>
          <w:szCs w:val="21"/>
        </w:rPr>
        <w:t>.</w:t>
      </w:r>
      <w:r>
        <w:rPr>
          <w:rFonts w:hint="eastAsia" w:ascii="宋体" w:hAnsi="宋体"/>
          <w:szCs w:val="21"/>
        </w:rPr>
        <w:t xml:space="preserve"> </w:t>
      </w:r>
      <w:r>
        <w:rPr>
          <w:rFonts w:hint="eastAsia" w:ascii="宋体" w:hAnsi="宋体"/>
          <w:bCs/>
          <w:kern w:val="44"/>
          <w:szCs w:val="21"/>
        </w:rPr>
        <w:t>公开时间</w:t>
      </w:r>
    </w:p>
    <w:p>
      <w:pPr>
        <w:keepNext/>
        <w:keepLines/>
        <w:tabs>
          <w:tab w:val="left" w:pos="426"/>
        </w:tabs>
        <w:spacing w:line="360" w:lineRule="exact"/>
        <w:jc w:val="left"/>
        <w:outlineLvl w:val="2"/>
        <w:rPr>
          <w:rFonts w:ascii="宋体" w:hAnsi="宋体"/>
          <w:szCs w:val="21"/>
        </w:rPr>
      </w:pPr>
      <w:r>
        <w:rPr>
          <w:rFonts w:hint="eastAsia" w:ascii="宋体" w:hAnsi="宋体"/>
          <w:bCs/>
          <w:kern w:val="44"/>
          <w:szCs w:val="21"/>
        </w:rPr>
        <w:t>本次磋商文件关键内容信息公开时间至2020年4月17日24时00分结束</w:t>
      </w:r>
    </w:p>
    <w:p>
      <w:pPr>
        <w:keepNext/>
        <w:keepLines/>
        <w:tabs>
          <w:tab w:val="left" w:pos="426"/>
        </w:tabs>
        <w:spacing w:line="360" w:lineRule="exact"/>
        <w:jc w:val="left"/>
        <w:outlineLvl w:val="2"/>
        <w:rPr>
          <w:rFonts w:ascii="宋体" w:hAnsi="宋体"/>
          <w:kern w:val="44"/>
          <w:szCs w:val="21"/>
        </w:rPr>
      </w:pPr>
      <w:r>
        <w:rPr>
          <w:rFonts w:hint="eastAsia" w:ascii="宋体" w:hAnsi="宋体"/>
          <w:kern w:val="44"/>
          <w:szCs w:val="21"/>
        </w:rPr>
        <w:t>八</w:t>
      </w:r>
      <w:r>
        <w:rPr>
          <w:rFonts w:ascii="宋体" w:hAnsi="宋体"/>
          <w:kern w:val="44"/>
          <w:szCs w:val="21"/>
        </w:rPr>
        <w:t>.</w:t>
      </w:r>
      <w:r>
        <w:rPr>
          <w:rFonts w:hint="eastAsia" w:ascii="宋体" w:hAnsi="宋体"/>
          <w:kern w:val="44"/>
          <w:szCs w:val="21"/>
        </w:rPr>
        <w:t>联系方式</w:t>
      </w:r>
    </w:p>
    <w:tbl>
      <w:tblPr>
        <w:tblStyle w:val="43"/>
        <w:tblW w:w="0" w:type="auto"/>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028"/>
        <w:gridCol w:w="294"/>
      </w:tblGrid>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rPr>
          <w:wBefore w:w="0" w:type="auto"/>
        </w:trPr>
        <w:tc>
          <w:tcPr>
            <w:tcW w:w="9028" w:type="dxa"/>
            <w:noWrap w:val="0"/>
            <w:vAlign w:val="top"/>
          </w:tcPr>
          <w:p>
            <w:pPr>
              <w:pStyle w:val="38"/>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招标人：吉林省高速公路集团有限公司</w:t>
            </w:r>
          </w:p>
          <w:p>
            <w:pPr>
              <w:pStyle w:val="38"/>
              <w:shd w:val="clear" w:color="auto" w:fill="FFFFFF"/>
              <w:snapToGrid w:val="0"/>
              <w:spacing w:before="0" w:beforeAutospacing="0" w:after="0" w:afterAutospacing="0" w:line="360" w:lineRule="exact"/>
              <w:rPr>
                <w:rFonts w:cs="宋体"/>
                <w:sz w:val="21"/>
                <w:szCs w:val="21"/>
                <w:shd w:val="clear" w:color="auto" w:fill="FFFFFF"/>
              </w:rPr>
            </w:pPr>
            <w:r>
              <w:rPr>
                <w:rFonts w:hint="eastAsia" w:cs="宋体"/>
                <w:sz w:val="21"/>
                <w:szCs w:val="21"/>
                <w:shd w:val="clear" w:color="auto" w:fill="FFFFFF"/>
              </w:rPr>
              <w:t>地址：吉林省长春市人民大街11511号</w:t>
            </w:r>
          </w:p>
          <w:p>
            <w:pPr>
              <w:pStyle w:val="38"/>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邮政编码：130033</w:t>
            </w:r>
          </w:p>
          <w:p>
            <w:pPr>
              <w:pStyle w:val="38"/>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联系人：</w:t>
            </w:r>
            <w:r>
              <w:rPr>
                <w:rFonts w:hint="eastAsia" w:cs="黑体"/>
                <w:sz w:val="21"/>
                <w:szCs w:val="21"/>
              </w:rPr>
              <w:t>张先生</w:t>
            </w:r>
          </w:p>
          <w:p>
            <w:pPr>
              <w:pStyle w:val="38"/>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电话：0431-85254020</w:t>
            </w:r>
          </w:p>
          <w:p>
            <w:pPr>
              <w:pStyle w:val="38"/>
              <w:shd w:val="clear" w:color="auto" w:fill="FFFFFF"/>
              <w:snapToGrid w:val="0"/>
              <w:spacing w:before="0" w:beforeAutospacing="0" w:after="0" w:afterAutospacing="0" w:line="360" w:lineRule="exact"/>
              <w:rPr>
                <w:rFonts w:cs="宋体"/>
                <w:sz w:val="21"/>
                <w:szCs w:val="21"/>
                <w:shd w:val="clear" w:color="auto" w:fill="FFFFFF"/>
              </w:rPr>
            </w:pPr>
            <w:r>
              <w:rPr>
                <w:rFonts w:hint="eastAsia" w:cs="宋体"/>
                <w:sz w:val="21"/>
                <w:szCs w:val="21"/>
                <w:shd w:val="clear" w:color="auto" w:fill="FFFFFF"/>
              </w:rPr>
              <w:t>传真：0431-85254020</w:t>
            </w:r>
          </w:p>
          <w:p>
            <w:pPr>
              <w:pStyle w:val="38"/>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招标代理机构：国信招标集团股份有限公司</w:t>
            </w:r>
          </w:p>
          <w:p>
            <w:pPr>
              <w:pStyle w:val="38"/>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执行机构：国信招标集团股份有限公司吉林省分公司</w:t>
            </w:r>
          </w:p>
          <w:p>
            <w:pPr>
              <w:pStyle w:val="38"/>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地址：长春市净月旅游开发区生态大街3777号明宇广场A4栋32层招标部</w:t>
            </w:r>
          </w:p>
          <w:p>
            <w:pPr>
              <w:pStyle w:val="38"/>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联系人：张娉婷、王建</w:t>
            </w:r>
          </w:p>
          <w:p>
            <w:pPr>
              <w:pStyle w:val="38"/>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电话：0431-81852896</w:t>
            </w:r>
          </w:p>
          <w:p>
            <w:pPr>
              <w:spacing w:line="360" w:lineRule="exact"/>
            </w:pPr>
            <w:r>
              <w:rPr>
                <w:rFonts w:hint="eastAsia" w:cs="宋体"/>
                <w:szCs w:val="21"/>
                <w:shd w:val="clear" w:color="auto" w:fill="FFFFFF"/>
              </w:rPr>
              <w:t>邮箱：</w:t>
            </w:r>
            <w:r>
              <w:rPr>
                <w:rFonts w:hint="eastAsia" w:ascii="宋体" w:hAnsi="宋体" w:cs="宋体"/>
                <w:szCs w:val="21"/>
                <w:shd w:val="clear" w:color="auto" w:fill="FFFFFF"/>
              </w:rPr>
              <w:t>zhangpingting@gxzbjl.com</w:t>
            </w:r>
          </w:p>
          <w:p>
            <w:pPr>
              <w:spacing w:line="360" w:lineRule="exact"/>
              <w:rPr>
                <w:rFonts w:ascii="宋体" w:hAnsi="宋体"/>
                <w:szCs w:val="21"/>
              </w:rPr>
            </w:pPr>
          </w:p>
        </w:tc>
        <w:tc>
          <w:tcPr>
            <w:tcW w:w="294" w:type="dxa"/>
            <w:noWrap w:val="0"/>
            <w:vAlign w:val="top"/>
          </w:tcPr>
          <w:p>
            <w:pPr>
              <w:autoSpaceDE w:val="0"/>
              <w:autoSpaceDN w:val="0"/>
              <w:adjustRightInd w:val="0"/>
              <w:spacing w:line="360" w:lineRule="exact"/>
              <w:rPr>
                <w:rFonts w:ascii="宋体" w:hAnsi="宋体"/>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rPr>
          <w:wBefore w:w="0" w:type="auto"/>
        </w:trPr>
        <w:tc>
          <w:tcPr>
            <w:tcW w:w="9028" w:type="dxa"/>
            <w:noWrap w:val="0"/>
            <w:vAlign w:val="top"/>
          </w:tcPr>
          <w:p>
            <w:pPr>
              <w:spacing w:line="360" w:lineRule="atLeast"/>
              <w:rPr>
                <w:rFonts w:ascii="宋体" w:hAnsi="宋体"/>
                <w:szCs w:val="21"/>
              </w:rPr>
            </w:pPr>
          </w:p>
        </w:tc>
        <w:tc>
          <w:tcPr>
            <w:tcW w:w="294" w:type="dxa"/>
            <w:noWrap w:val="0"/>
            <w:vAlign w:val="top"/>
          </w:tcPr>
          <w:p>
            <w:pPr>
              <w:autoSpaceDE w:val="0"/>
              <w:autoSpaceDN w:val="0"/>
              <w:adjustRightInd w:val="0"/>
              <w:spacing w:line="360" w:lineRule="atLeast"/>
              <w:rPr>
                <w:rFonts w:ascii="宋体" w:hAnsi="宋体"/>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rPr>
          <w:wBefore w:w="0" w:type="auto"/>
        </w:trPr>
        <w:tc>
          <w:tcPr>
            <w:tcW w:w="9028" w:type="dxa"/>
            <w:noWrap w:val="0"/>
            <w:vAlign w:val="top"/>
          </w:tcPr>
          <w:p>
            <w:pPr>
              <w:spacing w:line="360" w:lineRule="atLeast"/>
              <w:rPr>
                <w:rFonts w:ascii="宋体" w:hAnsi="宋体"/>
                <w:szCs w:val="21"/>
              </w:rPr>
            </w:pPr>
          </w:p>
        </w:tc>
        <w:tc>
          <w:tcPr>
            <w:tcW w:w="294" w:type="dxa"/>
            <w:noWrap w:val="0"/>
            <w:vAlign w:val="top"/>
          </w:tcPr>
          <w:p>
            <w:pPr>
              <w:autoSpaceDE w:val="0"/>
              <w:autoSpaceDN w:val="0"/>
              <w:adjustRightInd w:val="0"/>
              <w:spacing w:line="360" w:lineRule="atLeast"/>
              <w:rPr>
                <w:rFonts w:ascii="宋体" w:hAnsi="宋体"/>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rPr>
          <w:wBefore w:w="0" w:type="auto"/>
        </w:trPr>
        <w:tc>
          <w:tcPr>
            <w:tcW w:w="9028" w:type="dxa"/>
            <w:noWrap w:val="0"/>
            <w:vAlign w:val="top"/>
          </w:tcPr>
          <w:p>
            <w:pPr>
              <w:spacing w:line="360" w:lineRule="atLeast"/>
              <w:rPr>
                <w:rFonts w:ascii="宋体" w:hAnsi="宋体"/>
                <w:szCs w:val="21"/>
              </w:rPr>
            </w:pPr>
          </w:p>
        </w:tc>
        <w:tc>
          <w:tcPr>
            <w:tcW w:w="294" w:type="dxa"/>
            <w:noWrap w:val="0"/>
            <w:vAlign w:val="top"/>
          </w:tcPr>
          <w:p>
            <w:pPr>
              <w:autoSpaceDE w:val="0"/>
              <w:autoSpaceDN w:val="0"/>
              <w:adjustRightInd w:val="0"/>
              <w:spacing w:line="360" w:lineRule="atLeast"/>
              <w:rPr>
                <w:rFonts w:ascii="宋体" w:hAnsi="宋体"/>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rPr>
          <w:wBefore w:w="0" w:type="auto"/>
        </w:trPr>
        <w:tc>
          <w:tcPr>
            <w:tcW w:w="9028" w:type="dxa"/>
            <w:noWrap w:val="0"/>
            <w:vAlign w:val="top"/>
          </w:tcPr>
          <w:p>
            <w:pPr>
              <w:spacing w:line="360" w:lineRule="atLeast"/>
              <w:rPr>
                <w:rFonts w:ascii="宋体" w:hAnsi="宋体"/>
                <w:szCs w:val="21"/>
              </w:rPr>
            </w:pPr>
          </w:p>
        </w:tc>
        <w:tc>
          <w:tcPr>
            <w:tcW w:w="294" w:type="dxa"/>
            <w:noWrap w:val="0"/>
            <w:vAlign w:val="top"/>
          </w:tcPr>
          <w:p>
            <w:pPr>
              <w:autoSpaceDE w:val="0"/>
              <w:autoSpaceDN w:val="0"/>
              <w:adjustRightInd w:val="0"/>
              <w:spacing w:line="360" w:lineRule="atLeast"/>
              <w:rPr>
                <w:rFonts w:ascii="宋体" w:hAnsi="宋体"/>
                <w:szCs w:val="21"/>
              </w:rPr>
            </w:pPr>
          </w:p>
        </w:tc>
      </w:tr>
      <w:bookmarkEnd w:id="30"/>
      <w:bookmarkEnd w:id="31"/>
      <w:bookmarkEnd w:id="32"/>
      <w:bookmarkEnd w:id="33"/>
      <w:bookmarkEnd w:id="34"/>
    </w:tbl>
    <w:p>
      <w:pPr>
        <w:spacing w:line="360" w:lineRule="atLeast"/>
        <w:ind w:firstLine="435"/>
        <w:jc w:val="right"/>
        <w:rPr>
          <w:rFonts w:hint="eastAsia" w:ascii="宋体" w:hAnsi="宋体"/>
          <w:szCs w:val="21"/>
        </w:rPr>
      </w:pPr>
    </w:p>
    <w:sectPr>
      <w:footnotePr>
        <w:numFmt w:val="decimalEnclosedCircleChinese"/>
        <w:numRestart w:val="eachPage"/>
      </w:footnotePr>
      <w:pgSz w:w="11907" w:h="16840"/>
      <w:pgMar w:top="1418" w:right="1134" w:bottom="1134" w:left="1418" w:header="680" w:footer="90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MS Mincho">
    <w:altName w:val="Yu Gothic UI"/>
    <w:panose1 w:val="02020609040205080304"/>
    <w:charset w:val="80"/>
    <w:family w:val="modern"/>
    <w:pitch w:val="default"/>
    <w:sig w:usb0="E00002FF" w:usb1="6AC7FDFB" w:usb2="08000012" w:usb3="00000000" w:csb0="0002009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B4A6D1"/>
    <w:multiLevelType w:val="singleLevel"/>
    <w:tmpl w:val="CDB4A6D1"/>
    <w:lvl w:ilvl="0" w:tentative="0">
      <w:start w:val="6"/>
      <w:numFmt w:val="chineseCounting"/>
      <w:suff w:val="space"/>
      <w:lvlText w:val="%1、"/>
      <w:lvlJc w:val="left"/>
      <w:rPr>
        <w:rFonts w:hint="eastAsia"/>
      </w:rPr>
    </w:lvl>
  </w:abstractNum>
  <w:abstractNum w:abstractNumId="1">
    <w:nsid w:val="082E0BCF"/>
    <w:multiLevelType w:val="multilevel"/>
    <w:tmpl w:val="082E0BC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AB017D"/>
    <w:multiLevelType w:val="singleLevel"/>
    <w:tmpl w:val="19AB017D"/>
    <w:lvl w:ilvl="0" w:tentative="0">
      <w:start w:val="1"/>
      <w:numFmt w:val="decimal"/>
      <w:lvlText w:val="%1."/>
      <w:lvlJc w:val="left"/>
      <w:pPr>
        <w:tabs>
          <w:tab w:val="left" w:pos="312"/>
        </w:tabs>
      </w:pPr>
    </w:lvl>
  </w:abstractNum>
  <w:abstractNum w:abstractNumId="3">
    <w:nsid w:val="3B19751C"/>
    <w:multiLevelType w:val="multilevel"/>
    <w:tmpl w:val="3B19751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B1105C"/>
    <w:multiLevelType w:val="singleLevel"/>
    <w:tmpl w:val="53B1105C"/>
    <w:lvl w:ilvl="0" w:tentative="0">
      <w:start w:val="1"/>
      <w:numFmt w:val="decimal"/>
      <w:suff w:val="nothing"/>
      <w:lvlText w:val="（%1）"/>
      <w:lvlJc w:val="left"/>
    </w:lvl>
  </w:abstractNum>
  <w:abstractNum w:abstractNumId="5">
    <w:nsid w:val="5AAB3475"/>
    <w:multiLevelType w:val="singleLevel"/>
    <w:tmpl w:val="5AAB3475"/>
    <w:lvl w:ilvl="0" w:tentative="0">
      <w:start w:val="1"/>
      <w:numFmt w:val="decimal"/>
      <w:lvlText w:val="%1."/>
      <w:lvlJc w:val="left"/>
      <w:pPr>
        <w:ind w:left="425" w:hanging="425"/>
      </w:pPr>
      <w:rPr>
        <w:rFonts w:hint="default"/>
      </w:rPr>
    </w:lvl>
  </w:abstractNum>
  <w:abstractNum w:abstractNumId="6">
    <w:nsid w:val="72A16D51"/>
    <w:multiLevelType w:val="multilevel"/>
    <w:tmpl w:val="72A16D51"/>
    <w:lvl w:ilvl="0" w:tentative="0">
      <w:start w:val="1"/>
      <w:numFmt w:val="decimal"/>
      <w:pStyle w:val="7"/>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9"/>
      <w:suff w:val="space"/>
      <w:lvlText w:val="%1.%2.%3"/>
      <w:lvlJc w:val="left"/>
      <w:pPr>
        <w:ind w:left="143" w:firstLine="425"/>
      </w:pPr>
      <w:rPr>
        <w:rFonts w:hint="eastAsia"/>
      </w:rPr>
    </w:lvl>
    <w:lvl w:ilvl="3" w:tentative="0">
      <w:start w:val="1"/>
      <w:numFmt w:val="decimal"/>
      <w:lvlText w:val="%1.%2.%3.%4"/>
      <w:lvlJc w:val="left"/>
      <w:pPr>
        <w:ind w:left="0" w:firstLine="851"/>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num>
  <w:num w:numId="2">
    <w:abstractNumId w:val="3"/>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5"/>
  <w:drawingGridVerticalSpacing w:val="120"/>
  <w:displayHorizontalDrawingGridEvery w:val="0"/>
  <w:displayVerticalDrawingGridEvery w:val="3"/>
  <w:doNotShadeFormData w:val="1"/>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55"/>
    <w:rsid w:val="00000B9B"/>
    <w:rsid w:val="0000164E"/>
    <w:rsid w:val="00001854"/>
    <w:rsid w:val="00001EB2"/>
    <w:rsid w:val="0000200A"/>
    <w:rsid w:val="00002670"/>
    <w:rsid w:val="00002B75"/>
    <w:rsid w:val="00002CF2"/>
    <w:rsid w:val="00003556"/>
    <w:rsid w:val="000055C5"/>
    <w:rsid w:val="00005739"/>
    <w:rsid w:val="00005846"/>
    <w:rsid w:val="000058E7"/>
    <w:rsid w:val="000068D5"/>
    <w:rsid w:val="0001062E"/>
    <w:rsid w:val="000111B0"/>
    <w:rsid w:val="0001261F"/>
    <w:rsid w:val="00012D41"/>
    <w:rsid w:val="00015328"/>
    <w:rsid w:val="0001651E"/>
    <w:rsid w:val="0001762B"/>
    <w:rsid w:val="00017D1F"/>
    <w:rsid w:val="000207BA"/>
    <w:rsid w:val="0002185E"/>
    <w:rsid w:val="00022437"/>
    <w:rsid w:val="0002244B"/>
    <w:rsid w:val="00022C84"/>
    <w:rsid w:val="00023F1C"/>
    <w:rsid w:val="000240A3"/>
    <w:rsid w:val="000246DD"/>
    <w:rsid w:val="00024C32"/>
    <w:rsid w:val="00024CAF"/>
    <w:rsid w:val="00025358"/>
    <w:rsid w:val="00025D97"/>
    <w:rsid w:val="0002642A"/>
    <w:rsid w:val="0002665C"/>
    <w:rsid w:val="00026758"/>
    <w:rsid w:val="00027250"/>
    <w:rsid w:val="000276C7"/>
    <w:rsid w:val="00027CFB"/>
    <w:rsid w:val="00030B33"/>
    <w:rsid w:val="00030C58"/>
    <w:rsid w:val="00030CA0"/>
    <w:rsid w:val="00030DCE"/>
    <w:rsid w:val="0003216C"/>
    <w:rsid w:val="00033262"/>
    <w:rsid w:val="00033D43"/>
    <w:rsid w:val="000340F4"/>
    <w:rsid w:val="00034D28"/>
    <w:rsid w:val="0003563D"/>
    <w:rsid w:val="00035B0E"/>
    <w:rsid w:val="00036DE6"/>
    <w:rsid w:val="00036FDC"/>
    <w:rsid w:val="0003787D"/>
    <w:rsid w:val="0003793F"/>
    <w:rsid w:val="0004083E"/>
    <w:rsid w:val="000414C3"/>
    <w:rsid w:val="00042733"/>
    <w:rsid w:val="00044116"/>
    <w:rsid w:val="000443B5"/>
    <w:rsid w:val="00045885"/>
    <w:rsid w:val="00045D64"/>
    <w:rsid w:val="000466E5"/>
    <w:rsid w:val="00046751"/>
    <w:rsid w:val="000468EA"/>
    <w:rsid w:val="00046D60"/>
    <w:rsid w:val="00047021"/>
    <w:rsid w:val="00047858"/>
    <w:rsid w:val="00047B78"/>
    <w:rsid w:val="0005070F"/>
    <w:rsid w:val="000516FE"/>
    <w:rsid w:val="0005207B"/>
    <w:rsid w:val="0005262D"/>
    <w:rsid w:val="00052D21"/>
    <w:rsid w:val="000533F6"/>
    <w:rsid w:val="00053CBB"/>
    <w:rsid w:val="0005680E"/>
    <w:rsid w:val="000574B5"/>
    <w:rsid w:val="0006081B"/>
    <w:rsid w:val="00060AAD"/>
    <w:rsid w:val="0006119D"/>
    <w:rsid w:val="000613C2"/>
    <w:rsid w:val="000615E0"/>
    <w:rsid w:val="00061C5F"/>
    <w:rsid w:val="0006313A"/>
    <w:rsid w:val="0006347D"/>
    <w:rsid w:val="000639E1"/>
    <w:rsid w:val="00063C68"/>
    <w:rsid w:val="00064203"/>
    <w:rsid w:val="000653DF"/>
    <w:rsid w:val="000655D9"/>
    <w:rsid w:val="00065A86"/>
    <w:rsid w:val="00065D5D"/>
    <w:rsid w:val="00065F01"/>
    <w:rsid w:val="000670FF"/>
    <w:rsid w:val="00070427"/>
    <w:rsid w:val="00070FC5"/>
    <w:rsid w:val="00072755"/>
    <w:rsid w:val="000727F1"/>
    <w:rsid w:val="00073055"/>
    <w:rsid w:val="0007315A"/>
    <w:rsid w:val="00073795"/>
    <w:rsid w:val="00074B6C"/>
    <w:rsid w:val="00075463"/>
    <w:rsid w:val="0007556A"/>
    <w:rsid w:val="00075810"/>
    <w:rsid w:val="000762F0"/>
    <w:rsid w:val="00076C84"/>
    <w:rsid w:val="00076CEA"/>
    <w:rsid w:val="000771CE"/>
    <w:rsid w:val="00077776"/>
    <w:rsid w:val="00077902"/>
    <w:rsid w:val="00077922"/>
    <w:rsid w:val="00080185"/>
    <w:rsid w:val="000817BB"/>
    <w:rsid w:val="00081911"/>
    <w:rsid w:val="00081AB7"/>
    <w:rsid w:val="00081D98"/>
    <w:rsid w:val="00081FA9"/>
    <w:rsid w:val="000823F5"/>
    <w:rsid w:val="00082E7C"/>
    <w:rsid w:val="000832A9"/>
    <w:rsid w:val="0008332C"/>
    <w:rsid w:val="000838E6"/>
    <w:rsid w:val="000846AF"/>
    <w:rsid w:val="00084825"/>
    <w:rsid w:val="00084A3F"/>
    <w:rsid w:val="0008625F"/>
    <w:rsid w:val="00086D4E"/>
    <w:rsid w:val="0008707D"/>
    <w:rsid w:val="0008788F"/>
    <w:rsid w:val="00087CBE"/>
    <w:rsid w:val="00090609"/>
    <w:rsid w:val="000911C9"/>
    <w:rsid w:val="000915FA"/>
    <w:rsid w:val="00091EC3"/>
    <w:rsid w:val="000925E2"/>
    <w:rsid w:val="00092FA6"/>
    <w:rsid w:val="0009309D"/>
    <w:rsid w:val="0009360A"/>
    <w:rsid w:val="00094763"/>
    <w:rsid w:val="00094FE3"/>
    <w:rsid w:val="00095B77"/>
    <w:rsid w:val="000963F7"/>
    <w:rsid w:val="00096448"/>
    <w:rsid w:val="00096A6E"/>
    <w:rsid w:val="00096D0D"/>
    <w:rsid w:val="00097046"/>
    <w:rsid w:val="0009787A"/>
    <w:rsid w:val="000979C9"/>
    <w:rsid w:val="00097ABD"/>
    <w:rsid w:val="00097B8B"/>
    <w:rsid w:val="000A02EE"/>
    <w:rsid w:val="000A04D7"/>
    <w:rsid w:val="000A0D58"/>
    <w:rsid w:val="000A0EED"/>
    <w:rsid w:val="000A12A7"/>
    <w:rsid w:val="000A133F"/>
    <w:rsid w:val="000A1952"/>
    <w:rsid w:val="000A1F24"/>
    <w:rsid w:val="000A2B29"/>
    <w:rsid w:val="000A2E29"/>
    <w:rsid w:val="000A3325"/>
    <w:rsid w:val="000A3487"/>
    <w:rsid w:val="000A39C9"/>
    <w:rsid w:val="000A3A37"/>
    <w:rsid w:val="000A62C4"/>
    <w:rsid w:val="000A66CE"/>
    <w:rsid w:val="000A6C8B"/>
    <w:rsid w:val="000A6FA4"/>
    <w:rsid w:val="000A7BC8"/>
    <w:rsid w:val="000B0042"/>
    <w:rsid w:val="000B00FD"/>
    <w:rsid w:val="000B1499"/>
    <w:rsid w:val="000B1F3B"/>
    <w:rsid w:val="000B2598"/>
    <w:rsid w:val="000B2C45"/>
    <w:rsid w:val="000B31D3"/>
    <w:rsid w:val="000B38B2"/>
    <w:rsid w:val="000B38B4"/>
    <w:rsid w:val="000B3BA7"/>
    <w:rsid w:val="000B43C1"/>
    <w:rsid w:val="000B5A25"/>
    <w:rsid w:val="000B69B8"/>
    <w:rsid w:val="000B6E85"/>
    <w:rsid w:val="000B7483"/>
    <w:rsid w:val="000B7AA8"/>
    <w:rsid w:val="000C01B4"/>
    <w:rsid w:val="000C03AA"/>
    <w:rsid w:val="000C115A"/>
    <w:rsid w:val="000C177A"/>
    <w:rsid w:val="000C1828"/>
    <w:rsid w:val="000C201D"/>
    <w:rsid w:val="000C2087"/>
    <w:rsid w:val="000C2657"/>
    <w:rsid w:val="000C26D3"/>
    <w:rsid w:val="000C3501"/>
    <w:rsid w:val="000C3A43"/>
    <w:rsid w:val="000C3C4E"/>
    <w:rsid w:val="000C46D8"/>
    <w:rsid w:val="000C46EE"/>
    <w:rsid w:val="000C4CD7"/>
    <w:rsid w:val="000C53F3"/>
    <w:rsid w:val="000C5F63"/>
    <w:rsid w:val="000C6ED6"/>
    <w:rsid w:val="000C73F5"/>
    <w:rsid w:val="000C782E"/>
    <w:rsid w:val="000C7EA2"/>
    <w:rsid w:val="000D05FA"/>
    <w:rsid w:val="000D1A97"/>
    <w:rsid w:val="000D28D1"/>
    <w:rsid w:val="000D2F97"/>
    <w:rsid w:val="000D36FB"/>
    <w:rsid w:val="000D39B3"/>
    <w:rsid w:val="000D3A22"/>
    <w:rsid w:val="000D4386"/>
    <w:rsid w:val="000D46BA"/>
    <w:rsid w:val="000D4724"/>
    <w:rsid w:val="000D49A6"/>
    <w:rsid w:val="000D4BFA"/>
    <w:rsid w:val="000D4D2D"/>
    <w:rsid w:val="000D504E"/>
    <w:rsid w:val="000D525A"/>
    <w:rsid w:val="000D563E"/>
    <w:rsid w:val="000D5D86"/>
    <w:rsid w:val="000D600E"/>
    <w:rsid w:val="000D68BD"/>
    <w:rsid w:val="000D6A87"/>
    <w:rsid w:val="000D6DCF"/>
    <w:rsid w:val="000D6F16"/>
    <w:rsid w:val="000D74D3"/>
    <w:rsid w:val="000D7B4C"/>
    <w:rsid w:val="000D7F1F"/>
    <w:rsid w:val="000E100D"/>
    <w:rsid w:val="000E181B"/>
    <w:rsid w:val="000E2019"/>
    <w:rsid w:val="000E244B"/>
    <w:rsid w:val="000E264B"/>
    <w:rsid w:val="000E32C4"/>
    <w:rsid w:val="000E384C"/>
    <w:rsid w:val="000E4BCB"/>
    <w:rsid w:val="000E5520"/>
    <w:rsid w:val="000E61B1"/>
    <w:rsid w:val="000E6370"/>
    <w:rsid w:val="000E64A8"/>
    <w:rsid w:val="000E6B45"/>
    <w:rsid w:val="000E7547"/>
    <w:rsid w:val="000F1B64"/>
    <w:rsid w:val="000F2922"/>
    <w:rsid w:val="000F2EB9"/>
    <w:rsid w:val="000F37E4"/>
    <w:rsid w:val="000F426B"/>
    <w:rsid w:val="000F4514"/>
    <w:rsid w:val="000F550F"/>
    <w:rsid w:val="000F5D10"/>
    <w:rsid w:val="000F66CF"/>
    <w:rsid w:val="000F68AF"/>
    <w:rsid w:val="000F6DAF"/>
    <w:rsid w:val="000F7647"/>
    <w:rsid w:val="000F7ACF"/>
    <w:rsid w:val="000F7F19"/>
    <w:rsid w:val="00104A3C"/>
    <w:rsid w:val="00104BF4"/>
    <w:rsid w:val="001058DB"/>
    <w:rsid w:val="00105DEA"/>
    <w:rsid w:val="00106D4E"/>
    <w:rsid w:val="001077E7"/>
    <w:rsid w:val="0011028D"/>
    <w:rsid w:val="001105B9"/>
    <w:rsid w:val="00110690"/>
    <w:rsid w:val="00111887"/>
    <w:rsid w:val="00111951"/>
    <w:rsid w:val="00111AB9"/>
    <w:rsid w:val="00111C2D"/>
    <w:rsid w:val="001125F6"/>
    <w:rsid w:val="001129BB"/>
    <w:rsid w:val="00112E86"/>
    <w:rsid w:val="00113FE3"/>
    <w:rsid w:val="00114197"/>
    <w:rsid w:val="00114B1E"/>
    <w:rsid w:val="00114D8A"/>
    <w:rsid w:val="00115699"/>
    <w:rsid w:val="001167B7"/>
    <w:rsid w:val="00116A43"/>
    <w:rsid w:val="00117180"/>
    <w:rsid w:val="0011753E"/>
    <w:rsid w:val="00120AD6"/>
    <w:rsid w:val="00120FBA"/>
    <w:rsid w:val="00121319"/>
    <w:rsid w:val="001215FC"/>
    <w:rsid w:val="001219AE"/>
    <w:rsid w:val="00121A12"/>
    <w:rsid w:val="00121BC5"/>
    <w:rsid w:val="00122492"/>
    <w:rsid w:val="0012370F"/>
    <w:rsid w:val="00123DBA"/>
    <w:rsid w:val="00123E43"/>
    <w:rsid w:val="00125C69"/>
    <w:rsid w:val="00125DBD"/>
    <w:rsid w:val="001269F9"/>
    <w:rsid w:val="00127235"/>
    <w:rsid w:val="00130528"/>
    <w:rsid w:val="00131013"/>
    <w:rsid w:val="001310F7"/>
    <w:rsid w:val="0013179E"/>
    <w:rsid w:val="00131BA0"/>
    <w:rsid w:val="001321AF"/>
    <w:rsid w:val="001324BD"/>
    <w:rsid w:val="001336DC"/>
    <w:rsid w:val="00133DD3"/>
    <w:rsid w:val="00134416"/>
    <w:rsid w:val="00134439"/>
    <w:rsid w:val="00134A78"/>
    <w:rsid w:val="00134C98"/>
    <w:rsid w:val="001361FD"/>
    <w:rsid w:val="00137298"/>
    <w:rsid w:val="0013732B"/>
    <w:rsid w:val="00137624"/>
    <w:rsid w:val="00137660"/>
    <w:rsid w:val="00137768"/>
    <w:rsid w:val="001377C2"/>
    <w:rsid w:val="00137BD9"/>
    <w:rsid w:val="00140273"/>
    <w:rsid w:val="00141C93"/>
    <w:rsid w:val="0014218B"/>
    <w:rsid w:val="00142912"/>
    <w:rsid w:val="00142965"/>
    <w:rsid w:val="001431B8"/>
    <w:rsid w:val="00143A83"/>
    <w:rsid w:val="00143D28"/>
    <w:rsid w:val="0014423A"/>
    <w:rsid w:val="001442B2"/>
    <w:rsid w:val="001449BD"/>
    <w:rsid w:val="00145084"/>
    <w:rsid w:val="00145B5E"/>
    <w:rsid w:val="00145D0B"/>
    <w:rsid w:val="001466A5"/>
    <w:rsid w:val="001466FB"/>
    <w:rsid w:val="001476B0"/>
    <w:rsid w:val="00151444"/>
    <w:rsid w:val="001515FC"/>
    <w:rsid w:val="00152C7C"/>
    <w:rsid w:val="00153224"/>
    <w:rsid w:val="00153CBB"/>
    <w:rsid w:val="00154D17"/>
    <w:rsid w:val="00154F92"/>
    <w:rsid w:val="001550A7"/>
    <w:rsid w:val="0015685F"/>
    <w:rsid w:val="00157007"/>
    <w:rsid w:val="0015791D"/>
    <w:rsid w:val="00157AA1"/>
    <w:rsid w:val="001601AF"/>
    <w:rsid w:val="0016068D"/>
    <w:rsid w:val="00160EA8"/>
    <w:rsid w:val="00162114"/>
    <w:rsid w:val="001628D0"/>
    <w:rsid w:val="00162A31"/>
    <w:rsid w:val="00162B87"/>
    <w:rsid w:val="00162C3C"/>
    <w:rsid w:val="00162D6A"/>
    <w:rsid w:val="00163435"/>
    <w:rsid w:val="0016506F"/>
    <w:rsid w:val="001650E5"/>
    <w:rsid w:val="001660B3"/>
    <w:rsid w:val="00170562"/>
    <w:rsid w:val="00170F05"/>
    <w:rsid w:val="00171834"/>
    <w:rsid w:val="00171C31"/>
    <w:rsid w:val="00172277"/>
    <w:rsid w:val="001740C2"/>
    <w:rsid w:val="001743D5"/>
    <w:rsid w:val="001747C2"/>
    <w:rsid w:val="00174836"/>
    <w:rsid w:val="00174BF4"/>
    <w:rsid w:val="00174E52"/>
    <w:rsid w:val="00174EAA"/>
    <w:rsid w:val="001760A8"/>
    <w:rsid w:val="00176472"/>
    <w:rsid w:val="001777F9"/>
    <w:rsid w:val="00177814"/>
    <w:rsid w:val="001779C9"/>
    <w:rsid w:val="00180709"/>
    <w:rsid w:val="001820F2"/>
    <w:rsid w:val="001821AB"/>
    <w:rsid w:val="00182251"/>
    <w:rsid w:val="001823E8"/>
    <w:rsid w:val="00182CDB"/>
    <w:rsid w:val="00183839"/>
    <w:rsid w:val="00183B51"/>
    <w:rsid w:val="0018405C"/>
    <w:rsid w:val="001840AD"/>
    <w:rsid w:val="001845E7"/>
    <w:rsid w:val="00185023"/>
    <w:rsid w:val="0018579A"/>
    <w:rsid w:val="00186119"/>
    <w:rsid w:val="00186581"/>
    <w:rsid w:val="001869C7"/>
    <w:rsid w:val="00186D76"/>
    <w:rsid w:val="0018728D"/>
    <w:rsid w:val="0018754D"/>
    <w:rsid w:val="00190D26"/>
    <w:rsid w:val="00190DA9"/>
    <w:rsid w:val="00191F94"/>
    <w:rsid w:val="001922FD"/>
    <w:rsid w:val="001926BD"/>
    <w:rsid w:val="0019346D"/>
    <w:rsid w:val="00193CFF"/>
    <w:rsid w:val="00194185"/>
    <w:rsid w:val="0019477D"/>
    <w:rsid w:val="00195160"/>
    <w:rsid w:val="0019700F"/>
    <w:rsid w:val="00197035"/>
    <w:rsid w:val="0019746E"/>
    <w:rsid w:val="001A0099"/>
    <w:rsid w:val="001A0345"/>
    <w:rsid w:val="001A10D9"/>
    <w:rsid w:val="001A130E"/>
    <w:rsid w:val="001A1B30"/>
    <w:rsid w:val="001A1E86"/>
    <w:rsid w:val="001A2006"/>
    <w:rsid w:val="001A28E6"/>
    <w:rsid w:val="001A3AB3"/>
    <w:rsid w:val="001A3DD6"/>
    <w:rsid w:val="001A7CB6"/>
    <w:rsid w:val="001B0F91"/>
    <w:rsid w:val="001B1CF2"/>
    <w:rsid w:val="001B24CA"/>
    <w:rsid w:val="001B2820"/>
    <w:rsid w:val="001B2D59"/>
    <w:rsid w:val="001B2DAC"/>
    <w:rsid w:val="001B30ED"/>
    <w:rsid w:val="001B37A6"/>
    <w:rsid w:val="001B4686"/>
    <w:rsid w:val="001B5036"/>
    <w:rsid w:val="001B5BCB"/>
    <w:rsid w:val="001B6098"/>
    <w:rsid w:val="001B77CD"/>
    <w:rsid w:val="001C12A4"/>
    <w:rsid w:val="001C1586"/>
    <w:rsid w:val="001C1766"/>
    <w:rsid w:val="001C3423"/>
    <w:rsid w:val="001C39F2"/>
    <w:rsid w:val="001C3DB3"/>
    <w:rsid w:val="001C5832"/>
    <w:rsid w:val="001C6164"/>
    <w:rsid w:val="001C6FE6"/>
    <w:rsid w:val="001C7902"/>
    <w:rsid w:val="001D0C95"/>
    <w:rsid w:val="001D0E1D"/>
    <w:rsid w:val="001D1530"/>
    <w:rsid w:val="001D19B2"/>
    <w:rsid w:val="001D2BDA"/>
    <w:rsid w:val="001D2D75"/>
    <w:rsid w:val="001D2DE1"/>
    <w:rsid w:val="001D39DF"/>
    <w:rsid w:val="001D3C63"/>
    <w:rsid w:val="001D46F6"/>
    <w:rsid w:val="001D5A27"/>
    <w:rsid w:val="001D60DA"/>
    <w:rsid w:val="001D635C"/>
    <w:rsid w:val="001E07D6"/>
    <w:rsid w:val="001E0A8A"/>
    <w:rsid w:val="001E16F3"/>
    <w:rsid w:val="001E18CC"/>
    <w:rsid w:val="001E19C3"/>
    <w:rsid w:val="001E1B16"/>
    <w:rsid w:val="001E1CBC"/>
    <w:rsid w:val="001E2B69"/>
    <w:rsid w:val="001E2C0C"/>
    <w:rsid w:val="001E3C4B"/>
    <w:rsid w:val="001E3FBF"/>
    <w:rsid w:val="001E4ABF"/>
    <w:rsid w:val="001E54E1"/>
    <w:rsid w:val="001E6722"/>
    <w:rsid w:val="001E69D9"/>
    <w:rsid w:val="001E6AAD"/>
    <w:rsid w:val="001E7855"/>
    <w:rsid w:val="001E787C"/>
    <w:rsid w:val="001E79E4"/>
    <w:rsid w:val="001F0038"/>
    <w:rsid w:val="001F0353"/>
    <w:rsid w:val="001F1991"/>
    <w:rsid w:val="001F1DF4"/>
    <w:rsid w:val="001F23B3"/>
    <w:rsid w:val="001F2A8E"/>
    <w:rsid w:val="001F2F75"/>
    <w:rsid w:val="001F30DD"/>
    <w:rsid w:val="001F38FE"/>
    <w:rsid w:val="001F41B7"/>
    <w:rsid w:val="001F4284"/>
    <w:rsid w:val="001F4534"/>
    <w:rsid w:val="001F4C4A"/>
    <w:rsid w:val="001F5777"/>
    <w:rsid w:val="001F5833"/>
    <w:rsid w:val="001F5BB3"/>
    <w:rsid w:val="001F5CCC"/>
    <w:rsid w:val="001F6594"/>
    <w:rsid w:val="001F668B"/>
    <w:rsid w:val="001F673A"/>
    <w:rsid w:val="001F7046"/>
    <w:rsid w:val="001F7602"/>
    <w:rsid w:val="002000D5"/>
    <w:rsid w:val="00200B2E"/>
    <w:rsid w:val="002012C4"/>
    <w:rsid w:val="0020161E"/>
    <w:rsid w:val="00202553"/>
    <w:rsid w:val="00202692"/>
    <w:rsid w:val="002035F5"/>
    <w:rsid w:val="00203D40"/>
    <w:rsid w:val="002041B7"/>
    <w:rsid w:val="00205313"/>
    <w:rsid w:val="00205530"/>
    <w:rsid w:val="0020571C"/>
    <w:rsid w:val="002058E0"/>
    <w:rsid w:val="00205B1B"/>
    <w:rsid w:val="00205F48"/>
    <w:rsid w:val="00205F9E"/>
    <w:rsid w:val="0020685F"/>
    <w:rsid w:val="00206863"/>
    <w:rsid w:val="00206867"/>
    <w:rsid w:val="00206EE4"/>
    <w:rsid w:val="00206FD2"/>
    <w:rsid w:val="0020737F"/>
    <w:rsid w:val="00210D35"/>
    <w:rsid w:val="00210FA2"/>
    <w:rsid w:val="00211279"/>
    <w:rsid w:val="00211EE3"/>
    <w:rsid w:val="00212DA1"/>
    <w:rsid w:val="002130B8"/>
    <w:rsid w:val="00214209"/>
    <w:rsid w:val="00214436"/>
    <w:rsid w:val="002148E3"/>
    <w:rsid w:val="00214B03"/>
    <w:rsid w:val="0021531F"/>
    <w:rsid w:val="00216879"/>
    <w:rsid w:val="00216930"/>
    <w:rsid w:val="0022000C"/>
    <w:rsid w:val="00220279"/>
    <w:rsid w:val="00220C36"/>
    <w:rsid w:val="00222624"/>
    <w:rsid w:val="00222F70"/>
    <w:rsid w:val="002250AF"/>
    <w:rsid w:val="00226E28"/>
    <w:rsid w:val="002271EA"/>
    <w:rsid w:val="002276EA"/>
    <w:rsid w:val="00230027"/>
    <w:rsid w:val="00230CDA"/>
    <w:rsid w:val="00230DCC"/>
    <w:rsid w:val="00231276"/>
    <w:rsid w:val="00231EA0"/>
    <w:rsid w:val="002327EC"/>
    <w:rsid w:val="00233701"/>
    <w:rsid w:val="00233BBA"/>
    <w:rsid w:val="002350F7"/>
    <w:rsid w:val="002359CB"/>
    <w:rsid w:val="00236025"/>
    <w:rsid w:val="002360F9"/>
    <w:rsid w:val="002362E3"/>
    <w:rsid w:val="002371CF"/>
    <w:rsid w:val="00241B43"/>
    <w:rsid w:val="002425D0"/>
    <w:rsid w:val="0024271A"/>
    <w:rsid w:val="00242C82"/>
    <w:rsid w:val="00243146"/>
    <w:rsid w:val="002443A6"/>
    <w:rsid w:val="00244756"/>
    <w:rsid w:val="002457EA"/>
    <w:rsid w:val="002458B3"/>
    <w:rsid w:val="002460B5"/>
    <w:rsid w:val="00247186"/>
    <w:rsid w:val="00247838"/>
    <w:rsid w:val="00247B1A"/>
    <w:rsid w:val="00247D45"/>
    <w:rsid w:val="00250196"/>
    <w:rsid w:val="0025082A"/>
    <w:rsid w:val="002512A7"/>
    <w:rsid w:val="0025130B"/>
    <w:rsid w:val="0025266D"/>
    <w:rsid w:val="002528E1"/>
    <w:rsid w:val="00252F4E"/>
    <w:rsid w:val="00253499"/>
    <w:rsid w:val="00254D2F"/>
    <w:rsid w:val="002560F7"/>
    <w:rsid w:val="00257583"/>
    <w:rsid w:val="00257688"/>
    <w:rsid w:val="00257D05"/>
    <w:rsid w:val="00257D90"/>
    <w:rsid w:val="002603FA"/>
    <w:rsid w:val="00261698"/>
    <w:rsid w:val="00262A6D"/>
    <w:rsid w:val="002636AA"/>
    <w:rsid w:val="00263D2C"/>
    <w:rsid w:val="002646D2"/>
    <w:rsid w:val="002649DB"/>
    <w:rsid w:val="00265C9D"/>
    <w:rsid w:val="00265DA6"/>
    <w:rsid w:val="002662CC"/>
    <w:rsid w:val="002674ED"/>
    <w:rsid w:val="00267734"/>
    <w:rsid w:val="00267BDC"/>
    <w:rsid w:val="0027011F"/>
    <w:rsid w:val="00270E17"/>
    <w:rsid w:val="00270E46"/>
    <w:rsid w:val="002714D2"/>
    <w:rsid w:val="002722D6"/>
    <w:rsid w:val="00272C0D"/>
    <w:rsid w:val="002735CA"/>
    <w:rsid w:val="00273860"/>
    <w:rsid w:val="00273D88"/>
    <w:rsid w:val="0027493E"/>
    <w:rsid w:val="002759D7"/>
    <w:rsid w:val="00275BDF"/>
    <w:rsid w:val="002762A6"/>
    <w:rsid w:val="00276502"/>
    <w:rsid w:val="002767CA"/>
    <w:rsid w:val="002770BB"/>
    <w:rsid w:val="00277165"/>
    <w:rsid w:val="00277F34"/>
    <w:rsid w:val="00277FAB"/>
    <w:rsid w:val="002800DE"/>
    <w:rsid w:val="0028033B"/>
    <w:rsid w:val="00280C5F"/>
    <w:rsid w:val="00280FD0"/>
    <w:rsid w:val="002822F4"/>
    <w:rsid w:val="00282362"/>
    <w:rsid w:val="002830DB"/>
    <w:rsid w:val="0028507F"/>
    <w:rsid w:val="002858C9"/>
    <w:rsid w:val="00285AAA"/>
    <w:rsid w:val="0028671D"/>
    <w:rsid w:val="00286DB9"/>
    <w:rsid w:val="00286DC2"/>
    <w:rsid w:val="00290AEF"/>
    <w:rsid w:val="00290CA1"/>
    <w:rsid w:val="00291ED5"/>
    <w:rsid w:val="002925DE"/>
    <w:rsid w:val="00292DE5"/>
    <w:rsid w:val="0029301A"/>
    <w:rsid w:val="00293687"/>
    <w:rsid w:val="0029454A"/>
    <w:rsid w:val="002950CE"/>
    <w:rsid w:val="0029527C"/>
    <w:rsid w:val="00295988"/>
    <w:rsid w:val="00295CD6"/>
    <w:rsid w:val="002965C2"/>
    <w:rsid w:val="002967E7"/>
    <w:rsid w:val="00297229"/>
    <w:rsid w:val="002973D8"/>
    <w:rsid w:val="00297695"/>
    <w:rsid w:val="00297945"/>
    <w:rsid w:val="002A03FA"/>
    <w:rsid w:val="002A1B42"/>
    <w:rsid w:val="002A1C5E"/>
    <w:rsid w:val="002A215E"/>
    <w:rsid w:val="002A2888"/>
    <w:rsid w:val="002A2D44"/>
    <w:rsid w:val="002A337E"/>
    <w:rsid w:val="002A3D7B"/>
    <w:rsid w:val="002A4F7A"/>
    <w:rsid w:val="002A5562"/>
    <w:rsid w:val="002A5BE7"/>
    <w:rsid w:val="002A5C50"/>
    <w:rsid w:val="002A6B8B"/>
    <w:rsid w:val="002A7CFD"/>
    <w:rsid w:val="002B12C3"/>
    <w:rsid w:val="002B1CFB"/>
    <w:rsid w:val="002B1EB8"/>
    <w:rsid w:val="002B246E"/>
    <w:rsid w:val="002B2A63"/>
    <w:rsid w:val="002B2C46"/>
    <w:rsid w:val="002B31D2"/>
    <w:rsid w:val="002B31D9"/>
    <w:rsid w:val="002B3323"/>
    <w:rsid w:val="002B3B9D"/>
    <w:rsid w:val="002B4298"/>
    <w:rsid w:val="002B6ADC"/>
    <w:rsid w:val="002B6AEA"/>
    <w:rsid w:val="002B6C9A"/>
    <w:rsid w:val="002B756A"/>
    <w:rsid w:val="002B78A8"/>
    <w:rsid w:val="002C15F0"/>
    <w:rsid w:val="002C1BC5"/>
    <w:rsid w:val="002C1BEF"/>
    <w:rsid w:val="002C1D91"/>
    <w:rsid w:val="002C251E"/>
    <w:rsid w:val="002C3754"/>
    <w:rsid w:val="002C387F"/>
    <w:rsid w:val="002C4648"/>
    <w:rsid w:val="002C5225"/>
    <w:rsid w:val="002C555A"/>
    <w:rsid w:val="002C5CD1"/>
    <w:rsid w:val="002C5FAC"/>
    <w:rsid w:val="002C6386"/>
    <w:rsid w:val="002C65FA"/>
    <w:rsid w:val="002C6AF9"/>
    <w:rsid w:val="002C6B8C"/>
    <w:rsid w:val="002C6F26"/>
    <w:rsid w:val="002C7869"/>
    <w:rsid w:val="002D05E1"/>
    <w:rsid w:val="002D2ED2"/>
    <w:rsid w:val="002D33EE"/>
    <w:rsid w:val="002D3C49"/>
    <w:rsid w:val="002D410E"/>
    <w:rsid w:val="002D5233"/>
    <w:rsid w:val="002D5A2A"/>
    <w:rsid w:val="002D66C2"/>
    <w:rsid w:val="002D7450"/>
    <w:rsid w:val="002E0899"/>
    <w:rsid w:val="002E0F9D"/>
    <w:rsid w:val="002E1B89"/>
    <w:rsid w:val="002E20D5"/>
    <w:rsid w:val="002E29A1"/>
    <w:rsid w:val="002E4A40"/>
    <w:rsid w:val="002E6127"/>
    <w:rsid w:val="002E66CF"/>
    <w:rsid w:val="002E6E59"/>
    <w:rsid w:val="002E76DF"/>
    <w:rsid w:val="002F03D9"/>
    <w:rsid w:val="002F0CCD"/>
    <w:rsid w:val="002F0F99"/>
    <w:rsid w:val="002F14E0"/>
    <w:rsid w:val="002F2006"/>
    <w:rsid w:val="002F2738"/>
    <w:rsid w:val="002F2A4D"/>
    <w:rsid w:val="002F3565"/>
    <w:rsid w:val="002F441F"/>
    <w:rsid w:val="002F4686"/>
    <w:rsid w:val="002F55A4"/>
    <w:rsid w:val="002F6285"/>
    <w:rsid w:val="002F6357"/>
    <w:rsid w:val="002F645A"/>
    <w:rsid w:val="002F6D47"/>
    <w:rsid w:val="002F6D96"/>
    <w:rsid w:val="002F7134"/>
    <w:rsid w:val="002F71EE"/>
    <w:rsid w:val="002F7274"/>
    <w:rsid w:val="002F729E"/>
    <w:rsid w:val="002F7422"/>
    <w:rsid w:val="00300BC3"/>
    <w:rsid w:val="00301387"/>
    <w:rsid w:val="00301394"/>
    <w:rsid w:val="003019DD"/>
    <w:rsid w:val="00302080"/>
    <w:rsid w:val="00302133"/>
    <w:rsid w:val="00302257"/>
    <w:rsid w:val="00302440"/>
    <w:rsid w:val="00302A81"/>
    <w:rsid w:val="0030340C"/>
    <w:rsid w:val="00303B2D"/>
    <w:rsid w:val="00303C6F"/>
    <w:rsid w:val="00304CF2"/>
    <w:rsid w:val="00306A23"/>
    <w:rsid w:val="00307512"/>
    <w:rsid w:val="003101C2"/>
    <w:rsid w:val="003108AF"/>
    <w:rsid w:val="00310BA1"/>
    <w:rsid w:val="00311C6A"/>
    <w:rsid w:val="003123E4"/>
    <w:rsid w:val="003126C9"/>
    <w:rsid w:val="00312E43"/>
    <w:rsid w:val="00313E1F"/>
    <w:rsid w:val="003143BD"/>
    <w:rsid w:val="00315BED"/>
    <w:rsid w:val="00315F05"/>
    <w:rsid w:val="00316615"/>
    <w:rsid w:val="0031692A"/>
    <w:rsid w:val="00317793"/>
    <w:rsid w:val="00317866"/>
    <w:rsid w:val="00321084"/>
    <w:rsid w:val="00321E0E"/>
    <w:rsid w:val="0032207D"/>
    <w:rsid w:val="00322ED0"/>
    <w:rsid w:val="0032377E"/>
    <w:rsid w:val="00323E3F"/>
    <w:rsid w:val="00324333"/>
    <w:rsid w:val="00325825"/>
    <w:rsid w:val="0033001E"/>
    <w:rsid w:val="003313FF"/>
    <w:rsid w:val="003323EE"/>
    <w:rsid w:val="00332E7F"/>
    <w:rsid w:val="00335CCF"/>
    <w:rsid w:val="00336119"/>
    <w:rsid w:val="00336371"/>
    <w:rsid w:val="003365CF"/>
    <w:rsid w:val="00336F8D"/>
    <w:rsid w:val="003371EE"/>
    <w:rsid w:val="00337C93"/>
    <w:rsid w:val="00340BD5"/>
    <w:rsid w:val="00341764"/>
    <w:rsid w:val="003420A5"/>
    <w:rsid w:val="00342566"/>
    <w:rsid w:val="00344CAB"/>
    <w:rsid w:val="003450BE"/>
    <w:rsid w:val="00345BB7"/>
    <w:rsid w:val="003460C9"/>
    <w:rsid w:val="0034644B"/>
    <w:rsid w:val="00346F13"/>
    <w:rsid w:val="00347367"/>
    <w:rsid w:val="00347514"/>
    <w:rsid w:val="00347637"/>
    <w:rsid w:val="00347903"/>
    <w:rsid w:val="00347AC2"/>
    <w:rsid w:val="00347E0F"/>
    <w:rsid w:val="00350BC4"/>
    <w:rsid w:val="003510EE"/>
    <w:rsid w:val="00352910"/>
    <w:rsid w:val="00353175"/>
    <w:rsid w:val="00353962"/>
    <w:rsid w:val="00353E60"/>
    <w:rsid w:val="0035483B"/>
    <w:rsid w:val="00355AF0"/>
    <w:rsid w:val="003565D6"/>
    <w:rsid w:val="0035669F"/>
    <w:rsid w:val="0035690B"/>
    <w:rsid w:val="00356C27"/>
    <w:rsid w:val="0035791F"/>
    <w:rsid w:val="00357B61"/>
    <w:rsid w:val="00360358"/>
    <w:rsid w:val="00360643"/>
    <w:rsid w:val="003609D2"/>
    <w:rsid w:val="0036252F"/>
    <w:rsid w:val="00363370"/>
    <w:rsid w:val="00363847"/>
    <w:rsid w:val="00363F14"/>
    <w:rsid w:val="003647C0"/>
    <w:rsid w:val="00364E03"/>
    <w:rsid w:val="003655C7"/>
    <w:rsid w:val="00365758"/>
    <w:rsid w:val="00365844"/>
    <w:rsid w:val="00365885"/>
    <w:rsid w:val="00365891"/>
    <w:rsid w:val="00365A1E"/>
    <w:rsid w:val="00366C48"/>
    <w:rsid w:val="00370027"/>
    <w:rsid w:val="00370527"/>
    <w:rsid w:val="00371047"/>
    <w:rsid w:val="003715AF"/>
    <w:rsid w:val="003717FD"/>
    <w:rsid w:val="00372C45"/>
    <w:rsid w:val="0037305D"/>
    <w:rsid w:val="003733A9"/>
    <w:rsid w:val="0037371B"/>
    <w:rsid w:val="00373991"/>
    <w:rsid w:val="00374324"/>
    <w:rsid w:val="00375AA7"/>
    <w:rsid w:val="00375F8A"/>
    <w:rsid w:val="00376B4B"/>
    <w:rsid w:val="00376F67"/>
    <w:rsid w:val="003770C8"/>
    <w:rsid w:val="003807AC"/>
    <w:rsid w:val="00380B8C"/>
    <w:rsid w:val="00380ECF"/>
    <w:rsid w:val="003815EF"/>
    <w:rsid w:val="0038164C"/>
    <w:rsid w:val="003819BA"/>
    <w:rsid w:val="00381DFD"/>
    <w:rsid w:val="00382053"/>
    <w:rsid w:val="0038240A"/>
    <w:rsid w:val="0038296F"/>
    <w:rsid w:val="003829E4"/>
    <w:rsid w:val="00382F2A"/>
    <w:rsid w:val="0038315A"/>
    <w:rsid w:val="003838B5"/>
    <w:rsid w:val="003843F1"/>
    <w:rsid w:val="0038556E"/>
    <w:rsid w:val="00386E8B"/>
    <w:rsid w:val="00387E58"/>
    <w:rsid w:val="00390FA3"/>
    <w:rsid w:val="00391545"/>
    <w:rsid w:val="00391E80"/>
    <w:rsid w:val="00392276"/>
    <w:rsid w:val="0039347E"/>
    <w:rsid w:val="0039358E"/>
    <w:rsid w:val="00393C5A"/>
    <w:rsid w:val="003940DB"/>
    <w:rsid w:val="00395314"/>
    <w:rsid w:val="0039553D"/>
    <w:rsid w:val="00396841"/>
    <w:rsid w:val="00396ABE"/>
    <w:rsid w:val="003976A3"/>
    <w:rsid w:val="00397802"/>
    <w:rsid w:val="003A08FB"/>
    <w:rsid w:val="003A0D0A"/>
    <w:rsid w:val="003A11E7"/>
    <w:rsid w:val="003A14CA"/>
    <w:rsid w:val="003A1A7B"/>
    <w:rsid w:val="003A1A8F"/>
    <w:rsid w:val="003A2240"/>
    <w:rsid w:val="003A3B6D"/>
    <w:rsid w:val="003A3CF3"/>
    <w:rsid w:val="003A3E56"/>
    <w:rsid w:val="003A407C"/>
    <w:rsid w:val="003A40D0"/>
    <w:rsid w:val="003A4273"/>
    <w:rsid w:val="003A4712"/>
    <w:rsid w:val="003A6721"/>
    <w:rsid w:val="003A6AB1"/>
    <w:rsid w:val="003A71CD"/>
    <w:rsid w:val="003A759F"/>
    <w:rsid w:val="003B2C42"/>
    <w:rsid w:val="003B3662"/>
    <w:rsid w:val="003B39B6"/>
    <w:rsid w:val="003B5AAD"/>
    <w:rsid w:val="003B5B96"/>
    <w:rsid w:val="003B5EE0"/>
    <w:rsid w:val="003B63F1"/>
    <w:rsid w:val="003B774C"/>
    <w:rsid w:val="003B7CA7"/>
    <w:rsid w:val="003C00DF"/>
    <w:rsid w:val="003C0396"/>
    <w:rsid w:val="003C0420"/>
    <w:rsid w:val="003C0A79"/>
    <w:rsid w:val="003C0A87"/>
    <w:rsid w:val="003C16BD"/>
    <w:rsid w:val="003C1DBE"/>
    <w:rsid w:val="003C2CB2"/>
    <w:rsid w:val="003C2EE2"/>
    <w:rsid w:val="003C38BC"/>
    <w:rsid w:val="003C3FF4"/>
    <w:rsid w:val="003C4799"/>
    <w:rsid w:val="003C4BA9"/>
    <w:rsid w:val="003C559C"/>
    <w:rsid w:val="003C5C83"/>
    <w:rsid w:val="003C6197"/>
    <w:rsid w:val="003C69A7"/>
    <w:rsid w:val="003D02CC"/>
    <w:rsid w:val="003D04F3"/>
    <w:rsid w:val="003D0509"/>
    <w:rsid w:val="003D0A3F"/>
    <w:rsid w:val="003D15E8"/>
    <w:rsid w:val="003D16D0"/>
    <w:rsid w:val="003D1A95"/>
    <w:rsid w:val="003D1DE1"/>
    <w:rsid w:val="003D2778"/>
    <w:rsid w:val="003D27DA"/>
    <w:rsid w:val="003D2890"/>
    <w:rsid w:val="003D298E"/>
    <w:rsid w:val="003D3798"/>
    <w:rsid w:val="003D440F"/>
    <w:rsid w:val="003D5F36"/>
    <w:rsid w:val="003D6285"/>
    <w:rsid w:val="003D6C05"/>
    <w:rsid w:val="003E0A32"/>
    <w:rsid w:val="003E0F91"/>
    <w:rsid w:val="003E0FEB"/>
    <w:rsid w:val="003E1027"/>
    <w:rsid w:val="003E1895"/>
    <w:rsid w:val="003E222D"/>
    <w:rsid w:val="003E236E"/>
    <w:rsid w:val="003E24CA"/>
    <w:rsid w:val="003E32A6"/>
    <w:rsid w:val="003E3CFE"/>
    <w:rsid w:val="003E48F5"/>
    <w:rsid w:val="003E4C78"/>
    <w:rsid w:val="003E5B67"/>
    <w:rsid w:val="003E658F"/>
    <w:rsid w:val="003E6664"/>
    <w:rsid w:val="003E74C1"/>
    <w:rsid w:val="003E7851"/>
    <w:rsid w:val="003F0983"/>
    <w:rsid w:val="003F1139"/>
    <w:rsid w:val="003F2737"/>
    <w:rsid w:val="003F2DE3"/>
    <w:rsid w:val="003F3213"/>
    <w:rsid w:val="003F3960"/>
    <w:rsid w:val="003F3CCF"/>
    <w:rsid w:val="003F4057"/>
    <w:rsid w:val="003F40CF"/>
    <w:rsid w:val="003F44B1"/>
    <w:rsid w:val="003F44C6"/>
    <w:rsid w:val="003F488E"/>
    <w:rsid w:val="003F4D81"/>
    <w:rsid w:val="003F4EA0"/>
    <w:rsid w:val="003F5232"/>
    <w:rsid w:val="003F5406"/>
    <w:rsid w:val="003F61F7"/>
    <w:rsid w:val="003F663A"/>
    <w:rsid w:val="003F679D"/>
    <w:rsid w:val="003F6A28"/>
    <w:rsid w:val="003F6BF2"/>
    <w:rsid w:val="003F6E78"/>
    <w:rsid w:val="003F6ECB"/>
    <w:rsid w:val="003F7118"/>
    <w:rsid w:val="003F71F3"/>
    <w:rsid w:val="00400637"/>
    <w:rsid w:val="004015A1"/>
    <w:rsid w:val="00402B1A"/>
    <w:rsid w:val="00404CA3"/>
    <w:rsid w:val="0040521B"/>
    <w:rsid w:val="00405240"/>
    <w:rsid w:val="00405325"/>
    <w:rsid w:val="004053C5"/>
    <w:rsid w:val="004059EF"/>
    <w:rsid w:val="004077D8"/>
    <w:rsid w:val="00407A18"/>
    <w:rsid w:val="00410111"/>
    <w:rsid w:val="0041061D"/>
    <w:rsid w:val="00410A34"/>
    <w:rsid w:val="004111FE"/>
    <w:rsid w:val="00411EA7"/>
    <w:rsid w:val="004126BC"/>
    <w:rsid w:val="00412B3E"/>
    <w:rsid w:val="00413473"/>
    <w:rsid w:val="00413951"/>
    <w:rsid w:val="00415127"/>
    <w:rsid w:val="00415150"/>
    <w:rsid w:val="004154C0"/>
    <w:rsid w:val="00415A9D"/>
    <w:rsid w:val="00415AA9"/>
    <w:rsid w:val="004168CE"/>
    <w:rsid w:val="00417D8A"/>
    <w:rsid w:val="00422775"/>
    <w:rsid w:val="004229A7"/>
    <w:rsid w:val="0042304C"/>
    <w:rsid w:val="004239AD"/>
    <w:rsid w:val="00424763"/>
    <w:rsid w:val="0042565C"/>
    <w:rsid w:val="00425D2D"/>
    <w:rsid w:val="00425E80"/>
    <w:rsid w:val="00426194"/>
    <w:rsid w:val="004262AD"/>
    <w:rsid w:val="00426434"/>
    <w:rsid w:val="0042738B"/>
    <w:rsid w:val="00427BC2"/>
    <w:rsid w:val="00430200"/>
    <w:rsid w:val="0043152F"/>
    <w:rsid w:val="00432324"/>
    <w:rsid w:val="0043233D"/>
    <w:rsid w:val="00433072"/>
    <w:rsid w:val="0043365F"/>
    <w:rsid w:val="004344FF"/>
    <w:rsid w:val="004351A0"/>
    <w:rsid w:val="0043538A"/>
    <w:rsid w:val="0043538E"/>
    <w:rsid w:val="00435C31"/>
    <w:rsid w:val="0043628A"/>
    <w:rsid w:val="0043665F"/>
    <w:rsid w:val="004373E0"/>
    <w:rsid w:val="00437401"/>
    <w:rsid w:val="00437719"/>
    <w:rsid w:val="00437BE4"/>
    <w:rsid w:val="00440100"/>
    <w:rsid w:val="00440903"/>
    <w:rsid w:val="004409AD"/>
    <w:rsid w:val="00441369"/>
    <w:rsid w:val="00442569"/>
    <w:rsid w:val="00442B88"/>
    <w:rsid w:val="00442F5C"/>
    <w:rsid w:val="00443728"/>
    <w:rsid w:val="00443F9A"/>
    <w:rsid w:val="00444E4F"/>
    <w:rsid w:val="00444F99"/>
    <w:rsid w:val="0044582E"/>
    <w:rsid w:val="00445AA9"/>
    <w:rsid w:val="00445AAE"/>
    <w:rsid w:val="00445BF4"/>
    <w:rsid w:val="00445D4C"/>
    <w:rsid w:val="00446010"/>
    <w:rsid w:val="00446A9A"/>
    <w:rsid w:val="00446C98"/>
    <w:rsid w:val="00450D4C"/>
    <w:rsid w:val="00451F6D"/>
    <w:rsid w:val="004521B6"/>
    <w:rsid w:val="00452D6B"/>
    <w:rsid w:val="0045511C"/>
    <w:rsid w:val="0045543E"/>
    <w:rsid w:val="004554B1"/>
    <w:rsid w:val="0045576A"/>
    <w:rsid w:val="0045600E"/>
    <w:rsid w:val="004562A7"/>
    <w:rsid w:val="00456705"/>
    <w:rsid w:val="004604B2"/>
    <w:rsid w:val="00460908"/>
    <w:rsid w:val="00460B33"/>
    <w:rsid w:val="0046106E"/>
    <w:rsid w:val="00461193"/>
    <w:rsid w:val="00461362"/>
    <w:rsid w:val="00461588"/>
    <w:rsid w:val="00461849"/>
    <w:rsid w:val="00461BA2"/>
    <w:rsid w:val="00461BC3"/>
    <w:rsid w:val="00461C63"/>
    <w:rsid w:val="004626F4"/>
    <w:rsid w:val="0046299A"/>
    <w:rsid w:val="0046305A"/>
    <w:rsid w:val="004635EA"/>
    <w:rsid w:val="00463695"/>
    <w:rsid w:val="00463A37"/>
    <w:rsid w:val="0046409D"/>
    <w:rsid w:val="0046471C"/>
    <w:rsid w:val="00464A9D"/>
    <w:rsid w:val="00464E97"/>
    <w:rsid w:val="0046576C"/>
    <w:rsid w:val="004660D9"/>
    <w:rsid w:val="00466409"/>
    <w:rsid w:val="0046682E"/>
    <w:rsid w:val="004669AE"/>
    <w:rsid w:val="0046765A"/>
    <w:rsid w:val="00467ED9"/>
    <w:rsid w:val="004703E1"/>
    <w:rsid w:val="004706CB"/>
    <w:rsid w:val="00470768"/>
    <w:rsid w:val="004708AA"/>
    <w:rsid w:val="00471323"/>
    <w:rsid w:val="00471909"/>
    <w:rsid w:val="00472197"/>
    <w:rsid w:val="004722B5"/>
    <w:rsid w:val="00472398"/>
    <w:rsid w:val="00472417"/>
    <w:rsid w:val="0047248E"/>
    <w:rsid w:val="00472A53"/>
    <w:rsid w:val="004732A5"/>
    <w:rsid w:val="004733FF"/>
    <w:rsid w:val="004741D8"/>
    <w:rsid w:val="004745A3"/>
    <w:rsid w:val="00474A2A"/>
    <w:rsid w:val="00474BB7"/>
    <w:rsid w:val="004762CA"/>
    <w:rsid w:val="004772D1"/>
    <w:rsid w:val="00477466"/>
    <w:rsid w:val="00477D9D"/>
    <w:rsid w:val="00480509"/>
    <w:rsid w:val="00480722"/>
    <w:rsid w:val="004809BA"/>
    <w:rsid w:val="00480AF4"/>
    <w:rsid w:val="0048160E"/>
    <w:rsid w:val="00481664"/>
    <w:rsid w:val="004833CE"/>
    <w:rsid w:val="00483C40"/>
    <w:rsid w:val="0048412E"/>
    <w:rsid w:val="00484D77"/>
    <w:rsid w:val="00484EC1"/>
    <w:rsid w:val="00486FE7"/>
    <w:rsid w:val="0048710D"/>
    <w:rsid w:val="004876F6"/>
    <w:rsid w:val="004877DD"/>
    <w:rsid w:val="0049071A"/>
    <w:rsid w:val="00491093"/>
    <w:rsid w:val="00491F05"/>
    <w:rsid w:val="00492AF7"/>
    <w:rsid w:val="00492E5C"/>
    <w:rsid w:val="004938AB"/>
    <w:rsid w:val="0049468B"/>
    <w:rsid w:val="00494854"/>
    <w:rsid w:val="0049485A"/>
    <w:rsid w:val="0049547B"/>
    <w:rsid w:val="0049573D"/>
    <w:rsid w:val="00495897"/>
    <w:rsid w:val="00495BB9"/>
    <w:rsid w:val="00497270"/>
    <w:rsid w:val="004A0336"/>
    <w:rsid w:val="004A03AF"/>
    <w:rsid w:val="004A03CB"/>
    <w:rsid w:val="004A113D"/>
    <w:rsid w:val="004A22C2"/>
    <w:rsid w:val="004A46E6"/>
    <w:rsid w:val="004A4F91"/>
    <w:rsid w:val="004A5FB6"/>
    <w:rsid w:val="004A66A6"/>
    <w:rsid w:val="004A7350"/>
    <w:rsid w:val="004A7560"/>
    <w:rsid w:val="004A7562"/>
    <w:rsid w:val="004B0574"/>
    <w:rsid w:val="004B1BEE"/>
    <w:rsid w:val="004B1D59"/>
    <w:rsid w:val="004B28E4"/>
    <w:rsid w:val="004B2FBF"/>
    <w:rsid w:val="004B4603"/>
    <w:rsid w:val="004B4D6B"/>
    <w:rsid w:val="004B5055"/>
    <w:rsid w:val="004B612B"/>
    <w:rsid w:val="004B7133"/>
    <w:rsid w:val="004C1727"/>
    <w:rsid w:val="004C19C9"/>
    <w:rsid w:val="004C24D0"/>
    <w:rsid w:val="004C2F42"/>
    <w:rsid w:val="004C30C5"/>
    <w:rsid w:val="004C333C"/>
    <w:rsid w:val="004C3877"/>
    <w:rsid w:val="004C38B1"/>
    <w:rsid w:val="004C3A39"/>
    <w:rsid w:val="004C3AC0"/>
    <w:rsid w:val="004C4E7B"/>
    <w:rsid w:val="004C522D"/>
    <w:rsid w:val="004C5597"/>
    <w:rsid w:val="004C6A1C"/>
    <w:rsid w:val="004C6E22"/>
    <w:rsid w:val="004C746C"/>
    <w:rsid w:val="004C75C7"/>
    <w:rsid w:val="004C76A7"/>
    <w:rsid w:val="004C78C7"/>
    <w:rsid w:val="004D1679"/>
    <w:rsid w:val="004D1A17"/>
    <w:rsid w:val="004D1E4B"/>
    <w:rsid w:val="004D21D5"/>
    <w:rsid w:val="004D22D3"/>
    <w:rsid w:val="004D2562"/>
    <w:rsid w:val="004D275B"/>
    <w:rsid w:val="004D2EB6"/>
    <w:rsid w:val="004D3302"/>
    <w:rsid w:val="004D3CBF"/>
    <w:rsid w:val="004D3CDA"/>
    <w:rsid w:val="004D3E75"/>
    <w:rsid w:val="004D49AC"/>
    <w:rsid w:val="004D4DEF"/>
    <w:rsid w:val="004D5134"/>
    <w:rsid w:val="004D5196"/>
    <w:rsid w:val="004D529E"/>
    <w:rsid w:val="004D5330"/>
    <w:rsid w:val="004D55AE"/>
    <w:rsid w:val="004D55FB"/>
    <w:rsid w:val="004D5A8B"/>
    <w:rsid w:val="004D5AC1"/>
    <w:rsid w:val="004D5FA0"/>
    <w:rsid w:val="004D6D54"/>
    <w:rsid w:val="004D6DD6"/>
    <w:rsid w:val="004E0152"/>
    <w:rsid w:val="004E0A57"/>
    <w:rsid w:val="004E0B69"/>
    <w:rsid w:val="004E1446"/>
    <w:rsid w:val="004E1681"/>
    <w:rsid w:val="004E16F4"/>
    <w:rsid w:val="004E25D5"/>
    <w:rsid w:val="004E2693"/>
    <w:rsid w:val="004E344A"/>
    <w:rsid w:val="004E3A71"/>
    <w:rsid w:val="004E3AA2"/>
    <w:rsid w:val="004E4184"/>
    <w:rsid w:val="004E5683"/>
    <w:rsid w:val="004E59A9"/>
    <w:rsid w:val="004E6501"/>
    <w:rsid w:val="004E65BC"/>
    <w:rsid w:val="004E6D5A"/>
    <w:rsid w:val="004E6DAB"/>
    <w:rsid w:val="004E7729"/>
    <w:rsid w:val="004E7E22"/>
    <w:rsid w:val="004F1A1E"/>
    <w:rsid w:val="004F2393"/>
    <w:rsid w:val="004F2903"/>
    <w:rsid w:val="004F2C68"/>
    <w:rsid w:val="004F2E21"/>
    <w:rsid w:val="004F2E59"/>
    <w:rsid w:val="004F329F"/>
    <w:rsid w:val="004F400E"/>
    <w:rsid w:val="004F45A3"/>
    <w:rsid w:val="004F4903"/>
    <w:rsid w:val="004F4982"/>
    <w:rsid w:val="004F49FE"/>
    <w:rsid w:val="004F4EF0"/>
    <w:rsid w:val="004F5835"/>
    <w:rsid w:val="004F5B96"/>
    <w:rsid w:val="004F630D"/>
    <w:rsid w:val="004F6E05"/>
    <w:rsid w:val="004F75ED"/>
    <w:rsid w:val="004F7FBA"/>
    <w:rsid w:val="00500285"/>
    <w:rsid w:val="005019F1"/>
    <w:rsid w:val="00501CA0"/>
    <w:rsid w:val="00502191"/>
    <w:rsid w:val="00502970"/>
    <w:rsid w:val="0050399D"/>
    <w:rsid w:val="00503EA6"/>
    <w:rsid w:val="00504E33"/>
    <w:rsid w:val="0050580C"/>
    <w:rsid w:val="00505A11"/>
    <w:rsid w:val="00505DD4"/>
    <w:rsid w:val="0050603B"/>
    <w:rsid w:val="0050614A"/>
    <w:rsid w:val="00506C47"/>
    <w:rsid w:val="00506E40"/>
    <w:rsid w:val="0050781D"/>
    <w:rsid w:val="00507F7E"/>
    <w:rsid w:val="00510A15"/>
    <w:rsid w:val="00510A1F"/>
    <w:rsid w:val="00510F14"/>
    <w:rsid w:val="00510F2A"/>
    <w:rsid w:val="005115DC"/>
    <w:rsid w:val="005117E5"/>
    <w:rsid w:val="00512094"/>
    <w:rsid w:val="005126D2"/>
    <w:rsid w:val="00512776"/>
    <w:rsid w:val="00512BDB"/>
    <w:rsid w:val="0051306C"/>
    <w:rsid w:val="005132DD"/>
    <w:rsid w:val="00513922"/>
    <w:rsid w:val="00513B04"/>
    <w:rsid w:val="005143DC"/>
    <w:rsid w:val="00515B57"/>
    <w:rsid w:val="0051627D"/>
    <w:rsid w:val="005162DA"/>
    <w:rsid w:val="00517770"/>
    <w:rsid w:val="00517F99"/>
    <w:rsid w:val="0052091B"/>
    <w:rsid w:val="00521181"/>
    <w:rsid w:val="00521861"/>
    <w:rsid w:val="0052199A"/>
    <w:rsid w:val="005226ED"/>
    <w:rsid w:val="0052295E"/>
    <w:rsid w:val="00522A60"/>
    <w:rsid w:val="0052367C"/>
    <w:rsid w:val="00523A0F"/>
    <w:rsid w:val="00524470"/>
    <w:rsid w:val="0052473F"/>
    <w:rsid w:val="005247CB"/>
    <w:rsid w:val="00524E1F"/>
    <w:rsid w:val="00524EA1"/>
    <w:rsid w:val="00525B2C"/>
    <w:rsid w:val="00525B45"/>
    <w:rsid w:val="00526215"/>
    <w:rsid w:val="005262BB"/>
    <w:rsid w:val="00526B78"/>
    <w:rsid w:val="00526C2C"/>
    <w:rsid w:val="00527805"/>
    <w:rsid w:val="00530712"/>
    <w:rsid w:val="00530CE2"/>
    <w:rsid w:val="00531A4D"/>
    <w:rsid w:val="00531D87"/>
    <w:rsid w:val="00532408"/>
    <w:rsid w:val="00533359"/>
    <w:rsid w:val="005333C8"/>
    <w:rsid w:val="00533A01"/>
    <w:rsid w:val="0053494C"/>
    <w:rsid w:val="005358AE"/>
    <w:rsid w:val="00535AAC"/>
    <w:rsid w:val="00535AFD"/>
    <w:rsid w:val="00535DBF"/>
    <w:rsid w:val="005367A7"/>
    <w:rsid w:val="005371F5"/>
    <w:rsid w:val="005377A7"/>
    <w:rsid w:val="00537FBB"/>
    <w:rsid w:val="00540FD1"/>
    <w:rsid w:val="00541B06"/>
    <w:rsid w:val="00543F80"/>
    <w:rsid w:val="0054519E"/>
    <w:rsid w:val="00547193"/>
    <w:rsid w:val="00547264"/>
    <w:rsid w:val="005475F5"/>
    <w:rsid w:val="00547F53"/>
    <w:rsid w:val="00550105"/>
    <w:rsid w:val="00550507"/>
    <w:rsid w:val="00550748"/>
    <w:rsid w:val="00550911"/>
    <w:rsid w:val="00551262"/>
    <w:rsid w:val="00551631"/>
    <w:rsid w:val="0055182C"/>
    <w:rsid w:val="00552DE8"/>
    <w:rsid w:val="00552ED3"/>
    <w:rsid w:val="00552F50"/>
    <w:rsid w:val="005540A4"/>
    <w:rsid w:val="00554B3A"/>
    <w:rsid w:val="00554D7A"/>
    <w:rsid w:val="00555AC6"/>
    <w:rsid w:val="00555CD8"/>
    <w:rsid w:val="0055600F"/>
    <w:rsid w:val="00556D4C"/>
    <w:rsid w:val="00557C52"/>
    <w:rsid w:val="0056044D"/>
    <w:rsid w:val="00560E89"/>
    <w:rsid w:val="00561118"/>
    <w:rsid w:val="00561697"/>
    <w:rsid w:val="005616B9"/>
    <w:rsid w:val="00562FA1"/>
    <w:rsid w:val="0056329E"/>
    <w:rsid w:val="005634BC"/>
    <w:rsid w:val="00563D0F"/>
    <w:rsid w:val="005641B8"/>
    <w:rsid w:val="00566889"/>
    <w:rsid w:val="0056690C"/>
    <w:rsid w:val="00566F24"/>
    <w:rsid w:val="00567083"/>
    <w:rsid w:val="00567193"/>
    <w:rsid w:val="0057264D"/>
    <w:rsid w:val="00574515"/>
    <w:rsid w:val="005746D3"/>
    <w:rsid w:val="00574A29"/>
    <w:rsid w:val="00574FAD"/>
    <w:rsid w:val="00575A5C"/>
    <w:rsid w:val="00575FA3"/>
    <w:rsid w:val="005760C8"/>
    <w:rsid w:val="00576581"/>
    <w:rsid w:val="005769DD"/>
    <w:rsid w:val="00576FC3"/>
    <w:rsid w:val="00577018"/>
    <w:rsid w:val="005778D3"/>
    <w:rsid w:val="00577933"/>
    <w:rsid w:val="00580BE0"/>
    <w:rsid w:val="005819BF"/>
    <w:rsid w:val="00581CFE"/>
    <w:rsid w:val="005832EC"/>
    <w:rsid w:val="005835A6"/>
    <w:rsid w:val="00583B1B"/>
    <w:rsid w:val="00583C65"/>
    <w:rsid w:val="00583FBE"/>
    <w:rsid w:val="005841BE"/>
    <w:rsid w:val="005846C3"/>
    <w:rsid w:val="00584C9B"/>
    <w:rsid w:val="005853B9"/>
    <w:rsid w:val="0058596A"/>
    <w:rsid w:val="00585BA9"/>
    <w:rsid w:val="005868EE"/>
    <w:rsid w:val="00586C93"/>
    <w:rsid w:val="00586D8B"/>
    <w:rsid w:val="00587078"/>
    <w:rsid w:val="00587D27"/>
    <w:rsid w:val="005906D2"/>
    <w:rsid w:val="005915A5"/>
    <w:rsid w:val="0059208D"/>
    <w:rsid w:val="00592A0A"/>
    <w:rsid w:val="00593986"/>
    <w:rsid w:val="00594CA3"/>
    <w:rsid w:val="00594CAB"/>
    <w:rsid w:val="00595181"/>
    <w:rsid w:val="00595AE3"/>
    <w:rsid w:val="00595DF3"/>
    <w:rsid w:val="00597DC1"/>
    <w:rsid w:val="00597F9D"/>
    <w:rsid w:val="005A02F6"/>
    <w:rsid w:val="005A067D"/>
    <w:rsid w:val="005A0F16"/>
    <w:rsid w:val="005A1B7E"/>
    <w:rsid w:val="005A28FA"/>
    <w:rsid w:val="005A2DC7"/>
    <w:rsid w:val="005A3326"/>
    <w:rsid w:val="005A353B"/>
    <w:rsid w:val="005A42AE"/>
    <w:rsid w:val="005A454D"/>
    <w:rsid w:val="005A4615"/>
    <w:rsid w:val="005A48E6"/>
    <w:rsid w:val="005A501B"/>
    <w:rsid w:val="005A5193"/>
    <w:rsid w:val="005A52AA"/>
    <w:rsid w:val="005A53BB"/>
    <w:rsid w:val="005A580A"/>
    <w:rsid w:val="005A586D"/>
    <w:rsid w:val="005A5967"/>
    <w:rsid w:val="005A5FEA"/>
    <w:rsid w:val="005A677A"/>
    <w:rsid w:val="005A744A"/>
    <w:rsid w:val="005A74FA"/>
    <w:rsid w:val="005B02D8"/>
    <w:rsid w:val="005B0656"/>
    <w:rsid w:val="005B1095"/>
    <w:rsid w:val="005B1CB2"/>
    <w:rsid w:val="005B1EB2"/>
    <w:rsid w:val="005B2166"/>
    <w:rsid w:val="005B33B4"/>
    <w:rsid w:val="005B377D"/>
    <w:rsid w:val="005B3837"/>
    <w:rsid w:val="005B386C"/>
    <w:rsid w:val="005B3EC3"/>
    <w:rsid w:val="005B4343"/>
    <w:rsid w:val="005B4974"/>
    <w:rsid w:val="005B4D4C"/>
    <w:rsid w:val="005B5321"/>
    <w:rsid w:val="005B59EB"/>
    <w:rsid w:val="005B5F5E"/>
    <w:rsid w:val="005B6B20"/>
    <w:rsid w:val="005C00D5"/>
    <w:rsid w:val="005C1BCA"/>
    <w:rsid w:val="005C1D86"/>
    <w:rsid w:val="005C2464"/>
    <w:rsid w:val="005C2D82"/>
    <w:rsid w:val="005C4259"/>
    <w:rsid w:val="005C4A22"/>
    <w:rsid w:val="005C4A5D"/>
    <w:rsid w:val="005C5039"/>
    <w:rsid w:val="005C565B"/>
    <w:rsid w:val="005C5B56"/>
    <w:rsid w:val="005C5C1E"/>
    <w:rsid w:val="005C5E9A"/>
    <w:rsid w:val="005C6B53"/>
    <w:rsid w:val="005C73B1"/>
    <w:rsid w:val="005D067B"/>
    <w:rsid w:val="005D0FA3"/>
    <w:rsid w:val="005D1A5E"/>
    <w:rsid w:val="005D1AC8"/>
    <w:rsid w:val="005D1EDD"/>
    <w:rsid w:val="005D211F"/>
    <w:rsid w:val="005D30E7"/>
    <w:rsid w:val="005D31B9"/>
    <w:rsid w:val="005D40E1"/>
    <w:rsid w:val="005D4671"/>
    <w:rsid w:val="005D46ED"/>
    <w:rsid w:val="005D4BA8"/>
    <w:rsid w:val="005D587D"/>
    <w:rsid w:val="005D6023"/>
    <w:rsid w:val="005D604C"/>
    <w:rsid w:val="005D615C"/>
    <w:rsid w:val="005D616D"/>
    <w:rsid w:val="005D666B"/>
    <w:rsid w:val="005D7E59"/>
    <w:rsid w:val="005E0726"/>
    <w:rsid w:val="005E119D"/>
    <w:rsid w:val="005E1261"/>
    <w:rsid w:val="005E1636"/>
    <w:rsid w:val="005E1D00"/>
    <w:rsid w:val="005E2334"/>
    <w:rsid w:val="005E2941"/>
    <w:rsid w:val="005E3190"/>
    <w:rsid w:val="005E3ADA"/>
    <w:rsid w:val="005E46FF"/>
    <w:rsid w:val="005E4E88"/>
    <w:rsid w:val="005E5A5A"/>
    <w:rsid w:val="005E6D8F"/>
    <w:rsid w:val="005E7328"/>
    <w:rsid w:val="005E7743"/>
    <w:rsid w:val="005E7E30"/>
    <w:rsid w:val="005E7F5F"/>
    <w:rsid w:val="005F04C9"/>
    <w:rsid w:val="005F15B0"/>
    <w:rsid w:val="005F301E"/>
    <w:rsid w:val="005F3664"/>
    <w:rsid w:val="005F3681"/>
    <w:rsid w:val="005F386E"/>
    <w:rsid w:val="005F38DF"/>
    <w:rsid w:val="005F3D78"/>
    <w:rsid w:val="005F4F26"/>
    <w:rsid w:val="005F55C1"/>
    <w:rsid w:val="005F5E78"/>
    <w:rsid w:val="005F6338"/>
    <w:rsid w:val="005F6AD0"/>
    <w:rsid w:val="005F6D5B"/>
    <w:rsid w:val="005F7DD6"/>
    <w:rsid w:val="005F7FEC"/>
    <w:rsid w:val="005F7FF3"/>
    <w:rsid w:val="00600AC1"/>
    <w:rsid w:val="00602A50"/>
    <w:rsid w:val="00602C99"/>
    <w:rsid w:val="0060312D"/>
    <w:rsid w:val="006035B5"/>
    <w:rsid w:val="006038DA"/>
    <w:rsid w:val="00603BE8"/>
    <w:rsid w:val="00603EDA"/>
    <w:rsid w:val="0060426D"/>
    <w:rsid w:val="006050E6"/>
    <w:rsid w:val="0060511E"/>
    <w:rsid w:val="006055F7"/>
    <w:rsid w:val="00605E20"/>
    <w:rsid w:val="0060615F"/>
    <w:rsid w:val="00606211"/>
    <w:rsid w:val="00606780"/>
    <w:rsid w:val="00606BAB"/>
    <w:rsid w:val="00607295"/>
    <w:rsid w:val="0060747D"/>
    <w:rsid w:val="00607D0B"/>
    <w:rsid w:val="00610503"/>
    <w:rsid w:val="00610944"/>
    <w:rsid w:val="00610ABF"/>
    <w:rsid w:val="00611A45"/>
    <w:rsid w:val="00611E8D"/>
    <w:rsid w:val="006122B8"/>
    <w:rsid w:val="00612C35"/>
    <w:rsid w:val="00612ED5"/>
    <w:rsid w:val="00612F5A"/>
    <w:rsid w:val="00613393"/>
    <w:rsid w:val="00614D26"/>
    <w:rsid w:val="00615926"/>
    <w:rsid w:val="0061598E"/>
    <w:rsid w:val="006160B7"/>
    <w:rsid w:val="00620413"/>
    <w:rsid w:val="0062062D"/>
    <w:rsid w:val="00620D4B"/>
    <w:rsid w:val="00620EB4"/>
    <w:rsid w:val="00621142"/>
    <w:rsid w:val="00621696"/>
    <w:rsid w:val="00621878"/>
    <w:rsid w:val="006221C2"/>
    <w:rsid w:val="006225FE"/>
    <w:rsid w:val="0062346A"/>
    <w:rsid w:val="0062378D"/>
    <w:rsid w:val="006237B5"/>
    <w:rsid w:val="00623813"/>
    <w:rsid w:val="006238BB"/>
    <w:rsid w:val="00623C3F"/>
    <w:rsid w:val="00623C42"/>
    <w:rsid w:val="00625420"/>
    <w:rsid w:val="006272C2"/>
    <w:rsid w:val="00627319"/>
    <w:rsid w:val="006309C4"/>
    <w:rsid w:val="00630C36"/>
    <w:rsid w:val="0063156F"/>
    <w:rsid w:val="006317C0"/>
    <w:rsid w:val="00631F96"/>
    <w:rsid w:val="006329BD"/>
    <w:rsid w:val="00633F41"/>
    <w:rsid w:val="0063441F"/>
    <w:rsid w:val="00635619"/>
    <w:rsid w:val="0063580C"/>
    <w:rsid w:val="00637EA2"/>
    <w:rsid w:val="00642200"/>
    <w:rsid w:val="006432AC"/>
    <w:rsid w:val="006436D4"/>
    <w:rsid w:val="006445DD"/>
    <w:rsid w:val="00644935"/>
    <w:rsid w:val="00644CFA"/>
    <w:rsid w:val="00644F93"/>
    <w:rsid w:val="00645279"/>
    <w:rsid w:val="006452B3"/>
    <w:rsid w:val="00645312"/>
    <w:rsid w:val="00645618"/>
    <w:rsid w:val="0064580D"/>
    <w:rsid w:val="00645B7B"/>
    <w:rsid w:val="00646501"/>
    <w:rsid w:val="006465D7"/>
    <w:rsid w:val="006466AD"/>
    <w:rsid w:val="00647D75"/>
    <w:rsid w:val="00650789"/>
    <w:rsid w:val="00650A66"/>
    <w:rsid w:val="00650C35"/>
    <w:rsid w:val="00650DD7"/>
    <w:rsid w:val="00651397"/>
    <w:rsid w:val="00651861"/>
    <w:rsid w:val="006519F8"/>
    <w:rsid w:val="00652171"/>
    <w:rsid w:val="0065341A"/>
    <w:rsid w:val="00653479"/>
    <w:rsid w:val="00653B5B"/>
    <w:rsid w:val="00654865"/>
    <w:rsid w:val="00654B19"/>
    <w:rsid w:val="00655164"/>
    <w:rsid w:val="0065568B"/>
    <w:rsid w:val="006556F8"/>
    <w:rsid w:val="00656274"/>
    <w:rsid w:val="00656F4E"/>
    <w:rsid w:val="006574A7"/>
    <w:rsid w:val="00657648"/>
    <w:rsid w:val="006577D0"/>
    <w:rsid w:val="00657869"/>
    <w:rsid w:val="00660453"/>
    <w:rsid w:val="00660B16"/>
    <w:rsid w:val="006610DB"/>
    <w:rsid w:val="0066170E"/>
    <w:rsid w:val="00661B01"/>
    <w:rsid w:val="00663BC8"/>
    <w:rsid w:val="00664E2E"/>
    <w:rsid w:val="0066511C"/>
    <w:rsid w:val="00665681"/>
    <w:rsid w:val="00665ABD"/>
    <w:rsid w:val="00665E80"/>
    <w:rsid w:val="00666245"/>
    <w:rsid w:val="00667596"/>
    <w:rsid w:val="00670276"/>
    <w:rsid w:val="006707B8"/>
    <w:rsid w:val="00671587"/>
    <w:rsid w:val="00672009"/>
    <w:rsid w:val="00672661"/>
    <w:rsid w:val="00672674"/>
    <w:rsid w:val="00672905"/>
    <w:rsid w:val="00672EB2"/>
    <w:rsid w:val="006732FD"/>
    <w:rsid w:val="006735C8"/>
    <w:rsid w:val="00674220"/>
    <w:rsid w:val="0067477A"/>
    <w:rsid w:val="006754BF"/>
    <w:rsid w:val="0067716A"/>
    <w:rsid w:val="006775A2"/>
    <w:rsid w:val="00680031"/>
    <w:rsid w:val="00680078"/>
    <w:rsid w:val="0068195E"/>
    <w:rsid w:val="00682D85"/>
    <w:rsid w:val="0068341E"/>
    <w:rsid w:val="006838BD"/>
    <w:rsid w:val="00683D92"/>
    <w:rsid w:val="00683F41"/>
    <w:rsid w:val="006848CF"/>
    <w:rsid w:val="0068523D"/>
    <w:rsid w:val="00686307"/>
    <w:rsid w:val="006866C7"/>
    <w:rsid w:val="00686903"/>
    <w:rsid w:val="006871DF"/>
    <w:rsid w:val="00687565"/>
    <w:rsid w:val="00690CE6"/>
    <w:rsid w:val="00690D18"/>
    <w:rsid w:val="00690E50"/>
    <w:rsid w:val="00691821"/>
    <w:rsid w:val="00691DEF"/>
    <w:rsid w:val="00692064"/>
    <w:rsid w:val="0069223A"/>
    <w:rsid w:val="006922B5"/>
    <w:rsid w:val="00692C25"/>
    <w:rsid w:val="00693448"/>
    <w:rsid w:val="006936B3"/>
    <w:rsid w:val="00693724"/>
    <w:rsid w:val="006937FF"/>
    <w:rsid w:val="006939F3"/>
    <w:rsid w:val="006941AE"/>
    <w:rsid w:val="00694247"/>
    <w:rsid w:val="00695D9E"/>
    <w:rsid w:val="006973EA"/>
    <w:rsid w:val="006A0AC1"/>
    <w:rsid w:val="006A0AD0"/>
    <w:rsid w:val="006A0E7E"/>
    <w:rsid w:val="006A117F"/>
    <w:rsid w:val="006A129F"/>
    <w:rsid w:val="006A1333"/>
    <w:rsid w:val="006A1471"/>
    <w:rsid w:val="006A1737"/>
    <w:rsid w:val="006A225A"/>
    <w:rsid w:val="006A3313"/>
    <w:rsid w:val="006A39D2"/>
    <w:rsid w:val="006A47EA"/>
    <w:rsid w:val="006A5244"/>
    <w:rsid w:val="006A565A"/>
    <w:rsid w:val="006A589A"/>
    <w:rsid w:val="006A6854"/>
    <w:rsid w:val="006A7188"/>
    <w:rsid w:val="006B0BEA"/>
    <w:rsid w:val="006B11D8"/>
    <w:rsid w:val="006B14D3"/>
    <w:rsid w:val="006B21F5"/>
    <w:rsid w:val="006B23F9"/>
    <w:rsid w:val="006B27B1"/>
    <w:rsid w:val="006B2922"/>
    <w:rsid w:val="006B2E33"/>
    <w:rsid w:val="006B3B9D"/>
    <w:rsid w:val="006B42BC"/>
    <w:rsid w:val="006B482F"/>
    <w:rsid w:val="006B50C5"/>
    <w:rsid w:val="006B51E5"/>
    <w:rsid w:val="006B57ED"/>
    <w:rsid w:val="006B6F82"/>
    <w:rsid w:val="006B7F32"/>
    <w:rsid w:val="006C046D"/>
    <w:rsid w:val="006C0D32"/>
    <w:rsid w:val="006C11BD"/>
    <w:rsid w:val="006C1E35"/>
    <w:rsid w:val="006C21DE"/>
    <w:rsid w:val="006C224D"/>
    <w:rsid w:val="006C2388"/>
    <w:rsid w:val="006C23D4"/>
    <w:rsid w:val="006C2E36"/>
    <w:rsid w:val="006C36C7"/>
    <w:rsid w:val="006C3B8D"/>
    <w:rsid w:val="006C412F"/>
    <w:rsid w:val="006C4455"/>
    <w:rsid w:val="006C473B"/>
    <w:rsid w:val="006C4DA1"/>
    <w:rsid w:val="006C518E"/>
    <w:rsid w:val="006C6194"/>
    <w:rsid w:val="006C64FE"/>
    <w:rsid w:val="006C6F2F"/>
    <w:rsid w:val="006C738A"/>
    <w:rsid w:val="006C7596"/>
    <w:rsid w:val="006C7F1A"/>
    <w:rsid w:val="006D001C"/>
    <w:rsid w:val="006D0EF3"/>
    <w:rsid w:val="006D14CA"/>
    <w:rsid w:val="006D1633"/>
    <w:rsid w:val="006D2BB4"/>
    <w:rsid w:val="006D31D4"/>
    <w:rsid w:val="006D334E"/>
    <w:rsid w:val="006D335A"/>
    <w:rsid w:val="006D387E"/>
    <w:rsid w:val="006D4102"/>
    <w:rsid w:val="006D4414"/>
    <w:rsid w:val="006D68C9"/>
    <w:rsid w:val="006D71F7"/>
    <w:rsid w:val="006D7779"/>
    <w:rsid w:val="006D7780"/>
    <w:rsid w:val="006D7D08"/>
    <w:rsid w:val="006E0225"/>
    <w:rsid w:val="006E0466"/>
    <w:rsid w:val="006E09C3"/>
    <w:rsid w:val="006E0B64"/>
    <w:rsid w:val="006E0C36"/>
    <w:rsid w:val="006E1139"/>
    <w:rsid w:val="006E16FB"/>
    <w:rsid w:val="006E18F7"/>
    <w:rsid w:val="006E1990"/>
    <w:rsid w:val="006E3743"/>
    <w:rsid w:val="006E4DA5"/>
    <w:rsid w:val="006E4FEC"/>
    <w:rsid w:val="006E52B9"/>
    <w:rsid w:val="006E5966"/>
    <w:rsid w:val="006E6B5E"/>
    <w:rsid w:val="006E6E4C"/>
    <w:rsid w:val="006E7B88"/>
    <w:rsid w:val="006F1A8F"/>
    <w:rsid w:val="006F243C"/>
    <w:rsid w:val="006F270B"/>
    <w:rsid w:val="006F2E66"/>
    <w:rsid w:val="006F3CCB"/>
    <w:rsid w:val="006F3FAE"/>
    <w:rsid w:val="006F4145"/>
    <w:rsid w:val="006F4464"/>
    <w:rsid w:val="006F4ECA"/>
    <w:rsid w:val="006F4ED8"/>
    <w:rsid w:val="006F561A"/>
    <w:rsid w:val="006F6D2E"/>
    <w:rsid w:val="006F7371"/>
    <w:rsid w:val="007001A4"/>
    <w:rsid w:val="007012AF"/>
    <w:rsid w:val="00702166"/>
    <w:rsid w:val="007021C7"/>
    <w:rsid w:val="007026C5"/>
    <w:rsid w:val="00703580"/>
    <w:rsid w:val="0070365F"/>
    <w:rsid w:val="00703734"/>
    <w:rsid w:val="0070433E"/>
    <w:rsid w:val="007045D2"/>
    <w:rsid w:val="00704BDA"/>
    <w:rsid w:val="007050E1"/>
    <w:rsid w:val="00705B04"/>
    <w:rsid w:val="007060C5"/>
    <w:rsid w:val="007064D2"/>
    <w:rsid w:val="00706703"/>
    <w:rsid w:val="007067FF"/>
    <w:rsid w:val="00707664"/>
    <w:rsid w:val="007078A6"/>
    <w:rsid w:val="00710628"/>
    <w:rsid w:val="007106B2"/>
    <w:rsid w:val="00710873"/>
    <w:rsid w:val="00712830"/>
    <w:rsid w:val="00712D5F"/>
    <w:rsid w:val="00712E40"/>
    <w:rsid w:val="00712EB3"/>
    <w:rsid w:val="00712F95"/>
    <w:rsid w:val="0071524B"/>
    <w:rsid w:val="00716CB0"/>
    <w:rsid w:val="00716CC9"/>
    <w:rsid w:val="0071756F"/>
    <w:rsid w:val="00717798"/>
    <w:rsid w:val="007200B3"/>
    <w:rsid w:val="00720907"/>
    <w:rsid w:val="00720B62"/>
    <w:rsid w:val="007216A2"/>
    <w:rsid w:val="00721779"/>
    <w:rsid w:val="007218D9"/>
    <w:rsid w:val="0072218F"/>
    <w:rsid w:val="00722F06"/>
    <w:rsid w:val="00723A54"/>
    <w:rsid w:val="00723F64"/>
    <w:rsid w:val="007267B2"/>
    <w:rsid w:val="00726A5E"/>
    <w:rsid w:val="00726AAC"/>
    <w:rsid w:val="00726E09"/>
    <w:rsid w:val="00726F08"/>
    <w:rsid w:val="00727129"/>
    <w:rsid w:val="00730CF9"/>
    <w:rsid w:val="00730FAC"/>
    <w:rsid w:val="007312A4"/>
    <w:rsid w:val="007314BB"/>
    <w:rsid w:val="007314F7"/>
    <w:rsid w:val="0073150B"/>
    <w:rsid w:val="00731F75"/>
    <w:rsid w:val="00732051"/>
    <w:rsid w:val="00732298"/>
    <w:rsid w:val="007325DA"/>
    <w:rsid w:val="007328D6"/>
    <w:rsid w:val="00732D74"/>
    <w:rsid w:val="00734824"/>
    <w:rsid w:val="00734C37"/>
    <w:rsid w:val="00735501"/>
    <w:rsid w:val="00735C30"/>
    <w:rsid w:val="007365C4"/>
    <w:rsid w:val="00737908"/>
    <w:rsid w:val="00740012"/>
    <w:rsid w:val="007401C2"/>
    <w:rsid w:val="00740B02"/>
    <w:rsid w:val="00740CDD"/>
    <w:rsid w:val="00740E7B"/>
    <w:rsid w:val="007422CC"/>
    <w:rsid w:val="00742A50"/>
    <w:rsid w:val="0074369B"/>
    <w:rsid w:val="00743749"/>
    <w:rsid w:val="00743CDC"/>
    <w:rsid w:val="007440E3"/>
    <w:rsid w:val="007446CB"/>
    <w:rsid w:val="007469F6"/>
    <w:rsid w:val="00747562"/>
    <w:rsid w:val="0074786E"/>
    <w:rsid w:val="00750337"/>
    <w:rsid w:val="00750378"/>
    <w:rsid w:val="00750683"/>
    <w:rsid w:val="00750CAB"/>
    <w:rsid w:val="00751E4A"/>
    <w:rsid w:val="00752216"/>
    <w:rsid w:val="007545D2"/>
    <w:rsid w:val="00754630"/>
    <w:rsid w:val="00754D30"/>
    <w:rsid w:val="00754E77"/>
    <w:rsid w:val="00755387"/>
    <w:rsid w:val="00756383"/>
    <w:rsid w:val="00756610"/>
    <w:rsid w:val="007566B8"/>
    <w:rsid w:val="00756E1C"/>
    <w:rsid w:val="007579FF"/>
    <w:rsid w:val="0076019A"/>
    <w:rsid w:val="007607A9"/>
    <w:rsid w:val="007613BA"/>
    <w:rsid w:val="0076144E"/>
    <w:rsid w:val="00761658"/>
    <w:rsid w:val="00761D1A"/>
    <w:rsid w:val="007623C7"/>
    <w:rsid w:val="0076269B"/>
    <w:rsid w:val="00762B50"/>
    <w:rsid w:val="00762D07"/>
    <w:rsid w:val="0076311C"/>
    <w:rsid w:val="00763450"/>
    <w:rsid w:val="00763AC4"/>
    <w:rsid w:val="00763D1A"/>
    <w:rsid w:val="007640AD"/>
    <w:rsid w:val="00764B0A"/>
    <w:rsid w:val="00764FFD"/>
    <w:rsid w:val="00765458"/>
    <w:rsid w:val="00765DAB"/>
    <w:rsid w:val="00766FB4"/>
    <w:rsid w:val="00770924"/>
    <w:rsid w:val="007720C6"/>
    <w:rsid w:val="00772550"/>
    <w:rsid w:val="00773D87"/>
    <w:rsid w:val="00774C3E"/>
    <w:rsid w:val="007753C8"/>
    <w:rsid w:val="00775BEE"/>
    <w:rsid w:val="007763BF"/>
    <w:rsid w:val="007766E6"/>
    <w:rsid w:val="007771B3"/>
    <w:rsid w:val="00777FC3"/>
    <w:rsid w:val="00780A22"/>
    <w:rsid w:val="00780F08"/>
    <w:rsid w:val="00781842"/>
    <w:rsid w:val="00781AA5"/>
    <w:rsid w:val="007822BA"/>
    <w:rsid w:val="00782E8F"/>
    <w:rsid w:val="00783D6C"/>
    <w:rsid w:val="00784EB4"/>
    <w:rsid w:val="007857C5"/>
    <w:rsid w:val="00786B90"/>
    <w:rsid w:val="00786ED3"/>
    <w:rsid w:val="007871B2"/>
    <w:rsid w:val="007876A1"/>
    <w:rsid w:val="00787AEE"/>
    <w:rsid w:val="00790684"/>
    <w:rsid w:val="007907C9"/>
    <w:rsid w:val="007911B3"/>
    <w:rsid w:val="007911EF"/>
    <w:rsid w:val="00791BB6"/>
    <w:rsid w:val="00793608"/>
    <w:rsid w:val="007939EC"/>
    <w:rsid w:val="0079461B"/>
    <w:rsid w:val="00794B48"/>
    <w:rsid w:val="0079504B"/>
    <w:rsid w:val="00795254"/>
    <w:rsid w:val="00795A84"/>
    <w:rsid w:val="00797886"/>
    <w:rsid w:val="007A0FF7"/>
    <w:rsid w:val="007A1DA4"/>
    <w:rsid w:val="007A1EB2"/>
    <w:rsid w:val="007A2971"/>
    <w:rsid w:val="007A32D4"/>
    <w:rsid w:val="007A35A9"/>
    <w:rsid w:val="007A3A02"/>
    <w:rsid w:val="007A5C3B"/>
    <w:rsid w:val="007A5F03"/>
    <w:rsid w:val="007A61E0"/>
    <w:rsid w:val="007A67CE"/>
    <w:rsid w:val="007A6F52"/>
    <w:rsid w:val="007B00F3"/>
    <w:rsid w:val="007B043D"/>
    <w:rsid w:val="007B15C5"/>
    <w:rsid w:val="007B1D53"/>
    <w:rsid w:val="007B1DD9"/>
    <w:rsid w:val="007B244D"/>
    <w:rsid w:val="007B3515"/>
    <w:rsid w:val="007B36CC"/>
    <w:rsid w:val="007B3B65"/>
    <w:rsid w:val="007B3C01"/>
    <w:rsid w:val="007B469F"/>
    <w:rsid w:val="007B5479"/>
    <w:rsid w:val="007B5768"/>
    <w:rsid w:val="007B71A4"/>
    <w:rsid w:val="007C1A8D"/>
    <w:rsid w:val="007C1BBF"/>
    <w:rsid w:val="007C2B05"/>
    <w:rsid w:val="007C460C"/>
    <w:rsid w:val="007C4C57"/>
    <w:rsid w:val="007C5133"/>
    <w:rsid w:val="007C53EB"/>
    <w:rsid w:val="007C5C92"/>
    <w:rsid w:val="007C6D20"/>
    <w:rsid w:val="007C6FAC"/>
    <w:rsid w:val="007C7A8D"/>
    <w:rsid w:val="007D0263"/>
    <w:rsid w:val="007D0554"/>
    <w:rsid w:val="007D0599"/>
    <w:rsid w:val="007D0739"/>
    <w:rsid w:val="007D0D63"/>
    <w:rsid w:val="007D0FB8"/>
    <w:rsid w:val="007D1068"/>
    <w:rsid w:val="007D117B"/>
    <w:rsid w:val="007D1FA6"/>
    <w:rsid w:val="007D2256"/>
    <w:rsid w:val="007D299D"/>
    <w:rsid w:val="007D2B06"/>
    <w:rsid w:val="007D445C"/>
    <w:rsid w:val="007D4E97"/>
    <w:rsid w:val="007D56C6"/>
    <w:rsid w:val="007D56E8"/>
    <w:rsid w:val="007D646C"/>
    <w:rsid w:val="007D69CD"/>
    <w:rsid w:val="007D7719"/>
    <w:rsid w:val="007D776B"/>
    <w:rsid w:val="007E031E"/>
    <w:rsid w:val="007E0EC3"/>
    <w:rsid w:val="007E1700"/>
    <w:rsid w:val="007E1809"/>
    <w:rsid w:val="007E198D"/>
    <w:rsid w:val="007E294F"/>
    <w:rsid w:val="007E2BDB"/>
    <w:rsid w:val="007E31CF"/>
    <w:rsid w:val="007E40EB"/>
    <w:rsid w:val="007E4195"/>
    <w:rsid w:val="007E4B64"/>
    <w:rsid w:val="007E5C49"/>
    <w:rsid w:val="007E6090"/>
    <w:rsid w:val="007E6AC1"/>
    <w:rsid w:val="007E6BC0"/>
    <w:rsid w:val="007F0332"/>
    <w:rsid w:val="007F043A"/>
    <w:rsid w:val="007F0559"/>
    <w:rsid w:val="007F1705"/>
    <w:rsid w:val="007F1B84"/>
    <w:rsid w:val="007F267E"/>
    <w:rsid w:val="007F320B"/>
    <w:rsid w:val="007F3622"/>
    <w:rsid w:val="007F3B84"/>
    <w:rsid w:val="007F3E76"/>
    <w:rsid w:val="007F4316"/>
    <w:rsid w:val="007F45E3"/>
    <w:rsid w:val="007F4FC2"/>
    <w:rsid w:val="007F56E0"/>
    <w:rsid w:val="007F601E"/>
    <w:rsid w:val="007F613D"/>
    <w:rsid w:val="007F6434"/>
    <w:rsid w:val="007F66BD"/>
    <w:rsid w:val="007F7923"/>
    <w:rsid w:val="00800296"/>
    <w:rsid w:val="00800E51"/>
    <w:rsid w:val="00801509"/>
    <w:rsid w:val="008017B7"/>
    <w:rsid w:val="00802227"/>
    <w:rsid w:val="008034D4"/>
    <w:rsid w:val="008038AF"/>
    <w:rsid w:val="00805654"/>
    <w:rsid w:val="008056DB"/>
    <w:rsid w:val="00806AB4"/>
    <w:rsid w:val="0080710B"/>
    <w:rsid w:val="00807730"/>
    <w:rsid w:val="00807BB9"/>
    <w:rsid w:val="00810E35"/>
    <w:rsid w:val="00811A10"/>
    <w:rsid w:val="00812608"/>
    <w:rsid w:val="00812690"/>
    <w:rsid w:val="00812F6D"/>
    <w:rsid w:val="00813462"/>
    <w:rsid w:val="0081376F"/>
    <w:rsid w:val="00813D6A"/>
    <w:rsid w:val="00814209"/>
    <w:rsid w:val="0081435C"/>
    <w:rsid w:val="00814DD8"/>
    <w:rsid w:val="00815244"/>
    <w:rsid w:val="0081569B"/>
    <w:rsid w:val="008165CD"/>
    <w:rsid w:val="008166C5"/>
    <w:rsid w:val="00816732"/>
    <w:rsid w:val="008168E6"/>
    <w:rsid w:val="00817C78"/>
    <w:rsid w:val="008201D9"/>
    <w:rsid w:val="008205E9"/>
    <w:rsid w:val="00820B42"/>
    <w:rsid w:val="008214BF"/>
    <w:rsid w:val="0082199D"/>
    <w:rsid w:val="00822224"/>
    <w:rsid w:val="0082264D"/>
    <w:rsid w:val="00822D19"/>
    <w:rsid w:val="00824005"/>
    <w:rsid w:val="008241C9"/>
    <w:rsid w:val="0082465F"/>
    <w:rsid w:val="008246E7"/>
    <w:rsid w:val="00824AA7"/>
    <w:rsid w:val="00824B64"/>
    <w:rsid w:val="00825DB7"/>
    <w:rsid w:val="008260E5"/>
    <w:rsid w:val="00826B3C"/>
    <w:rsid w:val="00826C56"/>
    <w:rsid w:val="00826D9E"/>
    <w:rsid w:val="00827A91"/>
    <w:rsid w:val="008308A9"/>
    <w:rsid w:val="00831A30"/>
    <w:rsid w:val="00832074"/>
    <w:rsid w:val="00832386"/>
    <w:rsid w:val="0083291E"/>
    <w:rsid w:val="00833483"/>
    <w:rsid w:val="00833C30"/>
    <w:rsid w:val="0083411D"/>
    <w:rsid w:val="0083453B"/>
    <w:rsid w:val="008347C1"/>
    <w:rsid w:val="00834B25"/>
    <w:rsid w:val="00835207"/>
    <w:rsid w:val="0083535D"/>
    <w:rsid w:val="00835DC7"/>
    <w:rsid w:val="0083696F"/>
    <w:rsid w:val="00837976"/>
    <w:rsid w:val="00837DF8"/>
    <w:rsid w:val="00837EED"/>
    <w:rsid w:val="00837F01"/>
    <w:rsid w:val="00837F6F"/>
    <w:rsid w:val="00841D90"/>
    <w:rsid w:val="00843D1B"/>
    <w:rsid w:val="008449B5"/>
    <w:rsid w:val="00844E48"/>
    <w:rsid w:val="0084535B"/>
    <w:rsid w:val="008455CD"/>
    <w:rsid w:val="00845B6E"/>
    <w:rsid w:val="00845C60"/>
    <w:rsid w:val="008462CB"/>
    <w:rsid w:val="00846EEB"/>
    <w:rsid w:val="008471E8"/>
    <w:rsid w:val="00847B7A"/>
    <w:rsid w:val="00847E2F"/>
    <w:rsid w:val="008501C5"/>
    <w:rsid w:val="008503CB"/>
    <w:rsid w:val="00850947"/>
    <w:rsid w:val="00850B5D"/>
    <w:rsid w:val="00850E55"/>
    <w:rsid w:val="00852C00"/>
    <w:rsid w:val="00852CBC"/>
    <w:rsid w:val="00853106"/>
    <w:rsid w:val="00854215"/>
    <w:rsid w:val="0085433D"/>
    <w:rsid w:val="0085535A"/>
    <w:rsid w:val="00855890"/>
    <w:rsid w:val="00856ACB"/>
    <w:rsid w:val="00856B0C"/>
    <w:rsid w:val="0085717C"/>
    <w:rsid w:val="00857867"/>
    <w:rsid w:val="00862286"/>
    <w:rsid w:val="00862AFF"/>
    <w:rsid w:val="008637B1"/>
    <w:rsid w:val="008642DB"/>
    <w:rsid w:val="00864CBF"/>
    <w:rsid w:val="00864E17"/>
    <w:rsid w:val="008658A3"/>
    <w:rsid w:val="00865A89"/>
    <w:rsid w:val="00865D8C"/>
    <w:rsid w:val="008661B2"/>
    <w:rsid w:val="00870782"/>
    <w:rsid w:val="0087163C"/>
    <w:rsid w:val="00871A50"/>
    <w:rsid w:val="00871B1C"/>
    <w:rsid w:val="00872238"/>
    <w:rsid w:val="008725BC"/>
    <w:rsid w:val="008743BC"/>
    <w:rsid w:val="00875BA9"/>
    <w:rsid w:val="00876E1B"/>
    <w:rsid w:val="00877515"/>
    <w:rsid w:val="008778C7"/>
    <w:rsid w:val="00877E8B"/>
    <w:rsid w:val="00880217"/>
    <w:rsid w:val="00880828"/>
    <w:rsid w:val="00881154"/>
    <w:rsid w:val="008811EE"/>
    <w:rsid w:val="00881B5C"/>
    <w:rsid w:val="00883064"/>
    <w:rsid w:val="0088372B"/>
    <w:rsid w:val="00883B59"/>
    <w:rsid w:val="00884970"/>
    <w:rsid w:val="00884A73"/>
    <w:rsid w:val="0088554C"/>
    <w:rsid w:val="00885632"/>
    <w:rsid w:val="00886494"/>
    <w:rsid w:val="0088785E"/>
    <w:rsid w:val="00891EA1"/>
    <w:rsid w:val="00892261"/>
    <w:rsid w:val="008932E9"/>
    <w:rsid w:val="00893326"/>
    <w:rsid w:val="00893B5E"/>
    <w:rsid w:val="00894253"/>
    <w:rsid w:val="0089519E"/>
    <w:rsid w:val="008951B7"/>
    <w:rsid w:val="00895A91"/>
    <w:rsid w:val="008967AE"/>
    <w:rsid w:val="00897C13"/>
    <w:rsid w:val="008A09D9"/>
    <w:rsid w:val="008A1AF7"/>
    <w:rsid w:val="008A341E"/>
    <w:rsid w:val="008A411A"/>
    <w:rsid w:val="008A4321"/>
    <w:rsid w:val="008A43D1"/>
    <w:rsid w:val="008A4E88"/>
    <w:rsid w:val="008A568D"/>
    <w:rsid w:val="008A5B8E"/>
    <w:rsid w:val="008A672C"/>
    <w:rsid w:val="008A6D7E"/>
    <w:rsid w:val="008A6F01"/>
    <w:rsid w:val="008A7E4D"/>
    <w:rsid w:val="008B031F"/>
    <w:rsid w:val="008B04C5"/>
    <w:rsid w:val="008B1076"/>
    <w:rsid w:val="008B1B35"/>
    <w:rsid w:val="008B2EC6"/>
    <w:rsid w:val="008B3124"/>
    <w:rsid w:val="008B3B60"/>
    <w:rsid w:val="008B3E52"/>
    <w:rsid w:val="008B51C5"/>
    <w:rsid w:val="008B5D4B"/>
    <w:rsid w:val="008B6564"/>
    <w:rsid w:val="008B69A0"/>
    <w:rsid w:val="008B69FB"/>
    <w:rsid w:val="008C0036"/>
    <w:rsid w:val="008C0412"/>
    <w:rsid w:val="008C0B68"/>
    <w:rsid w:val="008C11EE"/>
    <w:rsid w:val="008C15B5"/>
    <w:rsid w:val="008C234E"/>
    <w:rsid w:val="008C2362"/>
    <w:rsid w:val="008C25C7"/>
    <w:rsid w:val="008C2E21"/>
    <w:rsid w:val="008C2E97"/>
    <w:rsid w:val="008C3697"/>
    <w:rsid w:val="008C36E7"/>
    <w:rsid w:val="008C3B1B"/>
    <w:rsid w:val="008C51B0"/>
    <w:rsid w:val="008C52DB"/>
    <w:rsid w:val="008C5B0A"/>
    <w:rsid w:val="008C5BC6"/>
    <w:rsid w:val="008C5FFB"/>
    <w:rsid w:val="008C6E06"/>
    <w:rsid w:val="008C7067"/>
    <w:rsid w:val="008C7EA5"/>
    <w:rsid w:val="008D01CB"/>
    <w:rsid w:val="008D0D06"/>
    <w:rsid w:val="008D0D10"/>
    <w:rsid w:val="008D0FC1"/>
    <w:rsid w:val="008D139B"/>
    <w:rsid w:val="008D1D11"/>
    <w:rsid w:val="008D2B63"/>
    <w:rsid w:val="008D2D37"/>
    <w:rsid w:val="008D3208"/>
    <w:rsid w:val="008D42B3"/>
    <w:rsid w:val="008D42CD"/>
    <w:rsid w:val="008D4838"/>
    <w:rsid w:val="008D4C95"/>
    <w:rsid w:val="008D4F3F"/>
    <w:rsid w:val="008D5075"/>
    <w:rsid w:val="008D52AA"/>
    <w:rsid w:val="008D63BC"/>
    <w:rsid w:val="008D653E"/>
    <w:rsid w:val="008D6B13"/>
    <w:rsid w:val="008E020D"/>
    <w:rsid w:val="008E094C"/>
    <w:rsid w:val="008E09D4"/>
    <w:rsid w:val="008E0CBB"/>
    <w:rsid w:val="008E238E"/>
    <w:rsid w:val="008E25C8"/>
    <w:rsid w:val="008E2EDF"/>
    <w:rsid w:val="008E3045"/>
    <w:rsid w:val="008E4269"/>
    <w:rsid w:val="008E439B"/>
    <w:rsid w:val="008E4602"/>
    <w:rsid w:val="008E487B"/>
    <w:rsid w:val="008E5BA1"/>
    <w:rsid w:val="008E624F"/>
    <w:rsid w:val="008E6DCE"/>
    <w:rsid w:val="008E7591"/>
    <w:rsid w:val="008E78BF"/>
    <w:rsid w:val="008F00A7"/>
    <w:rsid w:val="008F04AB"/>
    <w:rsid w:val="008F0E49"/>
    <w:rsid w:val="008F151B"/>
    <w:rsid w:val="008F17C5"/>
    <w:rsid w:val="008F6367"/>
    <w:rsid w:val="008F7AE5"/>
    <w:rsid w:val="00900A9F"/>
    <w:rsid w:val="00900E95"/>
    <w:rsid w:val="00901CD3"/>
    <w:rsid w:val="00902492"/>
    <w:rsid w:val="00903698"/>
    <w:rsid w:val="009037F3"/>
    <w:rsid w:val="009042A5"/>
    <w:rsid w:val="00904821"/>
    <w:rsid w:val="00904FA0"/>
    <w:rsid w:val="00905515"/>
    <w:rsid w:val="00906214"/>
    <w:rsid w:val="0090631D"/>
    <w:rsid w:val="00906516"/>
    <w:rsid w:val="00906C3F"/>
    <w:rsid w:val="00906EFC"/>
    <w:rsid w:val="009074F6"/>
    <w:rsid w:val="0090750B"/>
    <w:rsid w:val="00907E9B"/>
    <w:rsid w:val="00910747"/>
    <w:rsid w:val="00910A16"/>
    <w:rsid w:val="00911ABF"/>
    <w:rsid w:val="00911F62"/>
    <w:rsid w:val="00912010"/>
    <w:rsid w:val="0091342F"/>
    <w:rsid w:val="0091374F"/>
    <w:rsid w:val="00913820"/>
    <w:rsid w:val="0091421C"/>
    <w:rsid w:val="00914D15"/>
    <w:rsid w:val="00915162"/>
    <w:rsid w:val="009157BA"/>
    <w:rsid w:val="00916610"/>
    <w:rsid w:val="00916804"/>
    <w:rsid w:val="00917A58"/>
    <w:rsid w:val="0092033B"/>
    <w:rsid w:val="009223E1"/>
    <w:rsid w:val="00922C61"/>
    <w:rsid w:val="00922C6B"/>
    <w:rsid w:val="0092312C"/>
    <w:rsid w:val="009237F8"/>
    <w:rsid w:val="0092486D"/>
    <w:rsid w:val="00924992"/>
    <w:rsid w:val="009265A4"/>
    <w:rsid w:val="0092741B"/>
    <w:rsid w:val="0093088A"/>
    <w:rsid w:val="00931230"/>
    <w:rsid w:val="00931256"/>
    <w:rsid w:val="0093188D"/>
    <w:rsid w:val="00931E46"/>
    <w:rsid w:val="00931ED0"/>
    <w:rsid w:val="009323EC"/>
    <w:rsid w:val="00933DA8"/>
    <w:rsid w:val="00934717"/>
    <w:rsid w:val="00934760"/>
    <w:rsid w:val="009348B3"/>
    <w:rsid w:val="009355A3"/>
    <w:rsid w:val="009355D6"/>
    <w:rsid w:val="00935E6D"/>
    <w:rsid w:val="009360F4"/>
    <w:rsid w:val="0093621C"/>
    <w:rsid w:val="00936A48"/>
    <w:rsid w:val="009370CB"/>
    <w:rsid w:val="0093727A"/>
    <w:rsid w:val="00937D24"/>
    <w:rsid w:val="00937E45"/>
    <w:rsid w:val="00937F04"/>
    <w:rsid w:val="009410DD"/>
    <w:rsid w:val="00941A05"/>
    <w:rsid w:val="0094292F"/>
    <w:rsid w:val="00942D22"/>
    <w:rsid w:val="00943787"/>
    <w:rsid w:val="00943D0C"/>
    <w:rsid w:val="009443DA"/>
    <w:rsid w:val="00944430"/>
    <w:rsid w:val="00944A56"/>
    <w:rsid w:val="009452FA"/>
    <w:rsid w:val="0094570A"/>
    <w:rsid w:val="009458FC"/>
    <w:rsid w:val="009460EC"/>
    <w:rsid w:val="009462AC"/>
    <w:rsid w:val="0094666E"/>
    <w:rsid w:val="0094783B"/>
    <w:rsid w:val="009502AC"/>
    <w:rsid w:val="009509E8"/>
    <w:rsid w:val="00951A26"/>
    <w:rsid w:val="00953ACF"/>
    <w:rsid w:val="00954219"/>
    <w:rsid w:val="00954A00"/>
    <w:rsid w:val="00955356"/>
    <w:rsid w:val="0095566C"/>
    <w:rsid w:val="009557A1"/>
    <w:rsid w:val="00955D57"/>
    <w:rsid w:val="00956651"/>
    <w:rsid w:val="00956E75"/>
    <w:rsid w:val="00956FED"/>
    <w:rsid w:val="00957DBC"/>
    <w:rsid w:val="0096032B"/>
    <w:rsid w:val="00960478"/>
    <w:rsid w:val="00960C38"/>
    <w:rsid w:val="00960C7C"/>
    <w:rsid w:val="00961314"/>
    <w:rsid w:val="009619DE"/>
    <w:rsid w:val="00961BE2"/>
    <w:rsid w:val="00962642"/>
    <w:rsid w:val="00962661"/>
    <w:rsid w:val="00962C47"/>
    <w:rsid w:val="009630CD"/>
    <w:rsid w:val="00963998"/>
    <w:rsid w:val="009639E5"/>
    <w:rsid w:val="009640D1"/>
    <w:rsid w:val="00964624"/>
    <w:rsid w:val="00964C9A"/>
    <w:rsid w:val="00965715"/>
    <w:rsid w:val="00965E83"/>
    <w:rsid w:val="00966282"/>
    <w:rsid w:val="009701EA"/>
    <w:rsid w:val="00971225"/>
    <w:rsid w:val="009717BF"/>
    <w:rsid w:val="00971AA2"/>
    <w:rsid w:val="00972ABF"/>
    <w:rsid w:val="00972C69"/>
    <w:rsid w:val="009734EB"/>
    <w:rsid w:val="009737FC"/>
    <w:rsid w:val="00974CBD"/>
    <w:rsid w:val="009766C9"/>
    <w:rsid w:val="0097794D"/>
    <w:rsid w:val="0098022A"/>
    <w:rsid w:val="00980A34"/>
    <w:rsid w:val="00980C25"/>
    <w:rsid w:val="00981233"/>
    <w:rsid w:val="009812C2"/>
    <w:rsid w:val="00982113"/>
    <w:rsid w:val="0098229D"/>
    <w:rsid w:val="009823B0"/>
    <w:rsid w:val="009823B8"/>
    <w:rsid w:val="00982804"/>
    <w:rsid w:val="009829BE"/>
    <w:rsid w:val="00982C33"/>
    <w:rsid w:val="00984CEF"/>
    <w:rsid w:val="009852D6"/>
    <w:rsid w:val="0098534E"/>
    <w:rsid w:val="0098578B"/>
    <w:rsid w:val="009857A2"/>
    <w:rsid w:val="00985B06"/>
    <w:rsid w:val="00985D26"/>
    <w:rsid w:val="009865A1"/>
    <w:rsid w:val="00986B89"/>
    <w:rsid w:val="00987A6E"/>
    <w:rsid w:val="00987BEE"/>
    <w:rsid w:val="00990362"/>
    <w:rsid w:val="00990BDB"/>
    <w:rsid w:val="00990EBE"/>
    <w:rsid w:val="00991105"/>
    <w:rsid w:val="00991B9C"/>
    <w:rsid w:val="00991FE5"/>
    <w:rsid w:val="00992E75"/>
    <w:rsid w:val="0099367A"/>
    <w:rsid w:val="00993D51"/>
    <w:rsid w:val="0099432B"/>
    <w:rsid w:val="00994DFA"/>
    <w:rsid w:val="00995868"/>
    <w:rsid w:val="0099624D"/>
    <w:rsid w:val="009968D8"/>
    <w:rsid w:val="009973A1"/>
    <w:rsid w:val="00997D4F"/>
    <w:rsid w:val="00997E26"/>
    <w:rsid w:val="009A07BD"/>
    <w:rsid w:val="009A0944"/>
    <w:rsid w:val="009A0A76"/>
    <w:rsid w:val="009A0E6F"/>
    <w:rsid w:val="009A18D2"/>
    <w:rsid w:val="009A1F1F"/>
    <w:rsid w:val="009A344D"/>
    <w:rsid w:val="009A36A5"/>
    <w:rsid w:val="009A3985"/>
    <w:rsid w:val="009A4B3E"/>
    <w:rsid w:val="009A4D0E"/>
    <w:rsid w:val="009A57B8"/>
    <w:rsid w:val="009A5E0B"/>
    <w:rsid w:val="009A682D"/>
    <w:rsid w:val="009A6970"/>
    <w:rsid w:val="009A6B90"/>
    <w:rsid w:val="009A6FF5"/>
    <w:rsid w:val="009A70DA"/>
    <w:rsid w:val="009A7195"/>
    <w:rsid w:val="009A77E2"/>
    <w:rsid w:val="009B02DD"/>
    <w:rsid w:val="009B06EA"/>
    <w:rsid w:val="009B0784"/>
    <w:rsid w:val="009B0A11"/>
    <w:rsid w:val="009B10C7"/>
    <w:rsid w:val="009B1728"/>
    <w:rsid w:val="009B179A"/>
    <w:rsid w:val="009B1A64"/>
    <w:rsid w:val="009B1CBB"/>
    <w:rsid w:val="009B1CF5"/>
    <w:rsid w:val="009B1F0E"/>
    <w:rsid w:val="009B2323"/>
    <w:rsid w:val="009B3CFD"/>
    <w:rsid w:val="009B4390"/>
    <w:rsid w:val="009B43CE"/>
    <w:rsid w:val="009B534B"/>
    <w:rsid w:val="009B584B"/>
    <w:rsid w:val="009B7138"/>
    <w:rsid w:val="009B7BB8"/>
    <w:rsid w:val="009C056A"/>
    <w:rsid w:val="009C314F"/>
    <w:rsid w:val="009C3D5F"/>
    <w:rsid w:val="009C3F6E"/>
    <w:rsid w:val="009C4016"/>
    <w:rsid w:val="009C4A37"/>
    <w:rsid w:val="009C4DC5"/>
    <w:rsid w:val="009C5210"/>
    <w:rsid w:val="009C6995"/>
    <w:rsid w:val="009C6B26"/>
    <w:rsid w:val="009C7A51"/>
    <w:rsid w:val="009D0822"/>
    <w:rsid w:val="009D0DC5"/>
    <w:rsid w:val="009D0FAB"/>
    <w:rsid w:val="009D0FFE"/>
    <w:rsid w:val="009D1389"/>
    <w:rsid w:val="009D1F93"/>
    <w:rsid w:val="009D20BC"/>
    <w:rsid w:val="009D2661"/>
    <w:rsid w:val="009D2A08"/>
    <w:rsid w:val="009D374F"/>
    <w:rsid w:val="009D43E1"/>
    <w:rsid w:val="009D4615"/>
    <w:rsid w:val="009D4969"/>
    <w:rsid w:val="009D5554"/>
    <w:rsid w:val="009D5722"/>
    <w:rsid w:val="009D57C9"/>
    <w:rsid w:val="009D5B41"/>
    <w:rsid w:val="009D6B0A"/>
    <w:rsid w:val="009D7EBB"/>
    <w:rsid w:val="009E0DF7"/>
    <w:rsid w:val="009E129F"/>
    <w:rsid w:val="009E17E7"/>
    <w:rsid w:val="009E1845"/>
    <w:rsid w:val="009E26A6"/>
    <w:rsid w:val="009E27C5"/>
    <w:rsid w:val="009E2B0C"/>
    <w:rsid w:val="009E3650"/>
    <w:rsid w:val="009E41F6"/>
    <w:rsid w:val="009E48F6"/>
    <w:rsid w:val="009E61ED"/>
    <w:rsid w:val="009E62BE"/>
    <w:rsid w:val="009E6356"/>
    <w:rsid w:val="009E65AF"/>
    <w:rsid w:val="009E7169"/>
    <w:rsid w:val="009E7522"/>
    <w:rsid w:val="009E7A90"/>
    <w:rsid w:val="009F1244"/>
    <w:rsid w:val="009F1C67"/>
    <w:rsid w:val="009F217B"/>
    <w:rsid w:val="009F2B7B"/>
    <w:rsid w:val="009F3FC3"/>
    <w:rsid w:val="009F49C2"/>
    <w:rsid w:val="009F4F09"/>
    <w:rsid w:val="009F4FF2"/>
    <w:rsid w:val="009F556A"/>
    <w:rsid w:val="009F5F1C"/>
    <w:rsid w:val="009F6A82"/>
    <w:rsid w:val="009F75EC"/>
    <w:rsid w:val="00A008AB"/>
    <w:rsid w:val="00A0183B"/>
    <w:rsid w:val="00A01CE7"/>
    <w:rsid w:val="00A02B34"/>
    <w:rsid w:val="00A02D35"/>
    <w:rsid w:val="00A031F1"/>
    <w:rsid w:val="00A036F5"/>
    <w:rsid w:val="00A03E45"/>
    <w:rsid w:val="00A04290"/>
    <w:rsid w:val="00A0435B"/>
    <w:rsid w:val="00A04990"/>
    <w:rsid w:val="00A056BE"/>
    <w:rsid w:val="00A058B3"/>
    <w:rsid w:val="00A06549"/>
    <w:rsid w:val="00A071D8"/>
    <w:rsid w:val="00A07748"/>
    <w:rsid w:val="00A100D0"/>
    <w:rsid w:val="00A10EA6"/>
    <w:rsid w:val="00A124EB"/>
    <w:rsid w:val="00A128B7"/>
    <w:rsid w:val="00A12F6D"/>
    <w:rsid w:val="00A130DF"/>
    <w:rsid w:val="00A132E7"/>
    <w:rsid w:val="00A13724"/>
    <w:rsid w:val="00A13DFE"/>
    <w:rsid w:val="00A15501"/>
    <w:rsid w:val="00A157EB"/>
    <w:rsid w:val="00A15BE5"/>
    <w:rsid w:val="00A1661A"/>
    <w:rsid w:val="00A20567"/>
    <w:rsid w:val="00A20667"/>
    <w:rsid w:val="00A21BED"/>
    <w:rsid w:val="00A2215B"/>
    <w:rsid w:val="00A221E1"/>
    <w:rsid w:val="00A224C9"/>
    <w:rsid w:val="00A2287F"/>
    <w:rsid w:val="00A22DC8"/>
    <w:rsid w:val="00A2352B"/>
    <w:rsid w:val="00A235E6"/>
    <w:rsid w:val="00A23A7A"/>
    <w:rsid w:val="00A2422D"/>
    <w:rsid w:val="00A243DD"/>
    <w:rsid w:val="00A24BE1"/>
    <w:rsid w:val="00A24C33"/>
    <w:rsid w:val="00A25454"/>
    <w:rsid w:val="00A256DB"/>
    <w:rsid w:val="00A26085"/>
    <w:rsid w:val="00A2658D"/>
    <w:rsid w:val="00A26FC2"/>
    <w:rsid w:val="00A27392"/>
    <w:rsid w:val="00A27852"/>
    <w:rsid w:val="00A30917"/>
    <w:rsid w:val="00A30D25"/>
    <w:rsid w:val="00A314BD"/>
    <w:rsid w:val="00A31CF5"/>
    <w:rsid w:val="00A320EA"/>
    <w:rsid w:val="00A3274E"/>
    <w:rsid w:val="00A33861"/>
    <w:rsid w:val="00A34275"/>
    <w:rsid w:val="00A344A5"/>
    <w:rsid w:val="00A344E6"/>
    <w:rsid w:val="00A34599"/>
    <w:rsid w:val="00A3519F"/>
    <w:rsid w:val="00A36690"/>
    <w:rsid w:val="00A371D0"/>
    <w:rsid w:val="00A37B14"/>
    <w:rsid w:val="00A37BD0"/>
    <w:rsid w:val="00A42820"/>
    <w:rsid w:val="00A431D9"/>
    <w:rsid w:val="00A43881"/>
    <w:rsid w:val="00A44427"/>
    <w:rsid w:val="00A4454D"/>
    <w:rsid w:val="00A45E39"/>
    <w:rsid w:val="00A45E58"/>
    <w:rsid w:val="00A461F3"/>
    <w:rsid w:val="00A4636C"/>
    <w:rsid w:val="00A46804"/>
    <w:rsid w:val="00A46A7B"/>
    <w:rsid w:val="00A46ABD"/>
    <w:rsid w:val="00A46D8D"/>
    <w:rsid w:val="00A47115"/>
    <w:rsid w:val="00A47EA4"/>
    <w:rsid w:val="00A502CB"/>
    <w:rsid w:val="00A506F0"/>
    <w:rsid w:val="00A50882"/>
    <w:rsid w:val="00A50A5E"/>
    <w:rsid w:val="00A51304"/>
    <w:rsid w:val="00A513FA"/>
    <w:rsid w:val="00A51AD6"/>
    <w:rsid w:val="00A524AF"/>
    <w:rsid w:val="00A52B0D"/>
    <w:rsid w:val="00A52E03"/>
    <w:rsid w:val="00A5379F"/>
    <w:rsid w:val="00A5415B"/>
    <w:rsid w:val="00A54617"/>
    <w:rsid w:val="00A547F7"/>
    <w:rsid w:val="00A5627C"/>
    <w:rsid w:val="00A578C7"/>
    <w:rsid w:val="00A57ACA"/>
    <w:rsid w:val="00A60B77"/>
    <w:rsid w:val="00A60C69"/>
    <w:rsid w:val="00A61035"/>
    <w:rsid w:val="00A6105F"/>
    <w:rsid w:val="00A6198A"/>
    <w:rsid w:val="00A62483"/>
    <w:rsid w:val="00A63562"/>
    <w:rsid w:val="00A63772"/>
    <w:rsid w:val="00A642F4"/>
    <w:rsid w:val="00A64E39"/>
    <w:rsid w:val="00A65D2A"/>
    <w:rsid w:val="00A66902"/>
    <w:rsid w:val="00A66E0B"/>
    <w:rsid w:val="00A66FB6"/>
    <w:rsid w:val="00A7023E"/>
    <w:rsid w:val="00A7035A"/>
    <w:rsid w:val="00A7055B"/>
    <w:rsid w:val="00A70D7C"/>
    <w:rsid w:val="00A711AD"/>
    <w:rsid w:val="00A72159"/>
    <w:rsid w:val="00A7349A"/>
    <w:rsid w:val="00A734CD"/>
    <w:rsid w:val="00A73DD1"/>
    <w:rsid w:val="00A75498"/>
    <w:rsid w:val="00A76841"/>
    <w:rsid w:val="00A76C6D"/>
    <w:rsid w:val="00A76C9B"/>
    <w:rsid w:val="00A7764A"/>
    <w:rsid w:val="00A80576"/>
    <w:rsid w:val="00A80586"/>
    <w:rsid w:val="00A80B4E"/>
    <w:rsid w:val="00A81169"/>
    <w:rsid w:val="00A82057"/>
    <w:rsid w:val="00A8296F"/>
    <w:rsid w:val="00A82DDC"/>
    <w:rsid w:val="00A837B0"/>
    <w:rsid w:val="00A83A90"/>
    <w:rsid w:val="00A84763"/>
    <w:rsid w:val="00A85547"/>
    <w:rsid w:val="00A85A67"/>
    <w:rsid w:val="00A86BB0"/>
    <w:rsid w:val="00A875F7"/>
    <w:rsid w:val="00A87966"/>
    <w:rsid w:val="00A90A7F"/>
    <w:rsid w:val="00A90D0B"/>
    <w:rsid w:val="00A90FDC"/>
    <w:rsid w:val="00A910FB"/>
    <w:rsid w:val="00A911B2"/>
    <w:rsid w:val="00A91B1F"/>
    <w:rsid w:val="00A91FDE"/>
    <w:rsid w:val="00A92E6C"/>
    <w:rsid w:val="00A92FA1"/>
    <w:rsid w:val="00A9388C"/>
    <w:rsid w:val="00A938EE"/>
    <w:rsid w:val="00A93A88"/>
    <w:rsid w:val="00A9474C"/>
    <w:rsid w:val="00A9496F"/>
    <w:rsid w:val="00A94BBB"/>
    <w:rsid w:val="00A95247"/>
    <w:rsid w:val="00A958EA"/>
    <w:rsid w:val="00A96223"/>
    <w:rsid w:val="00A963D1"/>
    <w:rsid w:val="00A979B0"/>
    <w:rsid w:val="00AA0E2C"/>
    <w:rsid w:val="00AA1010"/>
    <w:rsid w:val="00AA1073"/>
    <w:rsid w:val="00AA2179"/>
    <w:rsid w:val="00AA21EA"/>
    <w:rsid w:val="00AA31BA"/>
    <w:rsid w:val="00AA3476"/>
    <w:rsid w:val="00AA3A9C"/>
    <w:rsid w:val="00AA4316"/>
    <w:rsid w:val="00AA4565"/>
    <w:rsid w:val="00AA555D"/>
    <w:rsid w:val="00AA6169"/>
    <w:rsid w:val="00AA7526"/>
    <w:rsid w:val="00AB0EC8"/>
    <w:rsid w:val="00AB13FB"/>
    <w:rsid w:val="00AB19E5"/>
    <w:rsid w:val="00AB1EBA"/>
    <w:rsid w:val="00AB1FC6"/>
    <w:rsid w:val="00AB2334"/>
    <w:rsid w:val="00AB25D5"/>
    <w:rsid w:val="00AB31D4"/>
    <w:rsid w:val="00AB3C2A"/>
    <w:rsid w:val="00AB3E49"/>
    <w:rsid w:val="00AB4FCE"/>
    <w:rsid w:val="00AB5187"/>
    <w:rsid w:val="00AB70BC"/>
    <w:rsid w:val="00AB7373"/>
    <w:rsid w:val="00AB7776"/>
    <w:rsid w:val="00AB7F0C"/>
    <w:rsid w:val="00AC174D"/>
    <w:rsid w:val="00AC1DD8"/>
    <w:rsid w:val="00AC1FCC"/>
    <w:rsid w:val="00AC290D"/>
    <w:rsid w:val="00AC3420"/>
    <w:rsid w:val="00AC37C0"/>
    <w:rsid w:val="00AC40B5"/>
    <w:rsid w:val="00AC4D7B"/>
    <w:rsid w:val="00AC510D"/>
    <w:rsid w:val="00AC5134"/>
    <w:rsid w:val="00AC5A58"/>
    <w:rsid w:val="00AC5BA2"/>
    <w:rsid w:val="00AC6685"/>
    <w:rsid w:val="00AC6698"/>
    <w:rsid w:val="00AC6858"/>
    <w:rsid w:val="00AC6FA2"/>
    <w:rsid w:val="00AC741A"/>
    <w:rsid w:val="00AD0EA0"/>
    <w:rsid w:val="00AD1247"/>
    <w:rsid w:val="00AD1571"/>
    <w:rsid w:val="00AD1E68"/>
    <w:rsid w:val="00AD31B3"/>
    <w:rsid w:val="00AD34BC"/>
    <w:rsid w:val="00AD35AE"/>
    <w:rsid w:val="00AD43E9"/>
    <w:rsid w:val="00AD5A28"/>
    <w:rsid w:val="00AD60F9"/>
    <w:rsid w:val="00AD6847"/>
    <w:rsid w:val="00AD6F38"/>
    <w:rsid w:val="00AD7946"/>
    <w:rsid w:val="00AD7AB1"/>
    <w:rsid w:val="00AE077D"/>
    <w:rsid w:val="00AE0DA0"/>
    <w:rsid w:val="00AE0DF1"/>
    <w:rsid w:val="00AE16CE"/>
    <w:rsid w:val="00AE2602"/>
    <w:rsid w:val="00AE27E1"/>
    <w:rsid w:val="00AE336D"/>
    <w:rsid w:val="00AE39ED"/>
    <w:rsid w:val="00AE4064"/>
    <w:rsid w:val="00AE546F"/>
    <w:rsid w:val="00AE640D"/>
    <w:rsid w:val="00AE6593"/>
    <w:rsid w:val="00AE7045"/>
    <w:rsid w:val="00AE71E4"/>
    <w:rsid w:val="00AF143B"/>
    <w:rsid w:val="00AF159E"/>
    <w:rsid w:val="00AF2AC7"/>
    <w:rsid w:val="00AF30F1"/>
    <w:rsid w:val="00AF315B"/>
    <w:rsid w:val="00AF347E"/>
    <w:rsid w:val="00AF3979"/>
    <w:rsid w:val="00AF3D78"/>
    <w:rsid w:val="00AF43E7"/>
    <w:rsid w:val="00AF4750"/>
    <w:rsid w:val="00AF4CF8"/>
    <w:rsid w:val="00AF6A71"/>
    <w:rsid w:val="00AF6CB7"/>
    <w:rsid w:val="00B00D47"/>
    <w:rsid w:val="00B00F82"/>
    <w:rsid w:val="00B01F0B"/>
    <w:rsid w:val="00B0293C"/>
    <w:rsid w:val="00B02A4F"/>
    <w:rsid w:val="00B04375"/>
    <w:rsid w:val="00B04823"/>
    <w:rsid w:val="00B051C5"/>
    <w:rsid w:val="00B05A31"/>
    <w:rsid w:val="00B05C61"/>
    <w:rsid w:val="00B05F59"/>
    <w:rsid w:val="00B077DA"/>
    <w:rsid w:val="00B1027B"/>
    <w:rsid w:val="00B1091A"/>
    <w:rsid w:val="00B10A3E"/>
    <w:rsid w:val="00B10F1A"/>
    <w:rsid w:val="00B10F71"/>
    <w:rsid w:val="00B12066"/>
    <w:rsid w:val="00B12557"/>
    <w:rsid w:val="00B12817"/>
    <w:rsid w:val="00B12E55"/>
    <w:rsid w:val="00B12F7E"/>
    <w:rsid w:val="00B12FC2"/>
    <w:rsid w:val="00B13169"/>
    <w:rsid w:val="00B13292"/>
    <w:rsid w:val="00B1356B"/>
    <w:rsid w:val="00B13661"/>
    <w:rsid w:val="00B13C2A"/>
    <w:rsid w:val="00B15DB5"/>
    <w:rsid w:val="00B16D19"/>
    <w:rsid w:val="00B17275"/>
    <w:rsid w:val="00B179BD"/>
    <w:rsid w:val="00B20894"/>
    <w:rsid w:val="00B20AAA"/>
    <w:rsid w:val="00B214C8"/>
    <w:rsid w:val="00B216F8"/>
    <w:rsid w:val="00B2176E"/>
    <w:rsid w:val="00B21D65"/>
    <w:rsid w:val="00B22618"/>
    <w:rsid w:val="00B22786"/>
    <w:rsid w:val="00B22EA8"/>
    <w:rsid w:val="00B2375D"/>
    <w:rsid w:val="00B24211"/>
    <w:rsid w:val="00B24448"/>
    <w:rsid w:val="00B2583E"/>
    <w:rsid w:val="00B25A1F"/>
    <w:rsid w:val="00B25BBD"/>
    <w:rsid w:val="00B26943"/>
    <w:rsid w:val="00B27E00"/>
    <w:rsid w:val="00B30EBA"/>
    <w:rsid w:val="00B313F5"/>
    <w:rsid w:val="00B31728"/>
    <w:rsid w:val="00B32C9A"/>
    <w:rsid w:val="00B340EF"/>
    <w:rsid w:val="00B343E5"/>
    <w:rsid w:val="00B349E4"/>
    <w:rsid w:val="00B351FE"/>
    <w:rsid w:val="00B355C2"/>
    <w:rsid w:val="00B359DB"/>
    <w:rsid w:val="00B36063"/>
    <w:rsid w:val="00B36EB6"/>
    <w:rsid w:val="00B3700E"/>
    <w:rsid w:val="00B37158"/>
    <w:rsid w:val="00B40393"/>
    <w:rsid w:val="00B407C1"/>
    <w:rsid w:val="00B40A30"/>
    <w:rsid w:val="00B40EE6"/>
    <w:rsid w:val="00B41451"/>
    <w:rsid w:val="00B4156F"/>
    <w:rsid w:val="00B42D80"/>
    <w:rsid w:val="00B42DD4"/>
    <w:rsid w:val="00B43F99"/>
    <w:rsid w:val="00B47014"/>
    <w:rsid w:val="00B50C58"/>
    <w:rsid w:val="00B51161"/>
    <w:rsid w:val="00B5180C"/>
    <w:rsid w:val="00B51889"/>
    <w:rsid w:val="00B51B00"/>
    <w:rsid w:val="00B52AC1"/>
    <w:rsid w:val="00B53603"/>
    <w:rsid w:val="00B54A95"/>
    <w:rsid w:val="00B54B6A"/>
    <w:rsid w:val="00B54CB6"/>
    <w:rsid w:val="00B55821"/>
    <w:rsid w:val="00B55926"/>
    <w:rsid w:val="00B559DC"/>
    <w:rsid w:val="00B55A87"/>
    <w:rsid w:val="00B56B55"/>
    <w:rsid w:val="00B56E9A"/>
    <w:rsid w:val="00B57169"/>
    <w:rsid w:val="00B57B82"/>
    <w:rsid w:val="00B57F19"/>
    <w:rsid w:val="00B60396"/>
    <w:rsid w:val="00B60C9C"/>
    <w:rsid w:val="00B61F36"/>
    <w:rsid w:val="00B635C8"/>
    <w:rsid w:val="00B63785"/>
    <w:rsid w:val="00B64521"/>
    <w:rsid w:val="00B64F78"/>
    <w:rsid w:val="00B657C3"/>
    <w:rsid w:val="00B65CFA"/>
    <w:rsid w:val="00B71178"/>
    <w:rsid w:val="00B71E60"/>
    <w:rsid w:val="00B72C34"/>
    <w:rsid w:val="00B72CB2"/>
    <w:rsid w:val="00B72CEF"/>
    <w:rsid w:val="00B72F63"/>
    <w:rsid w:val="00B7382E"/>
    <w:rsid w:val="00B738FB"/>
    <w:rsid w:val="00B73CC3"/>
    <w:rsid w:val="00B73E33"/>
    <w:rsid w:val="00B74D01"/>
    <w:rsid w:val="00B750A8"/>
    <w:rsid w:val="00B7574A"/>
    <w:rsid w:val="00B75C6E"/>
    <w:rsid w:val="00B760EA"/>
    <w:rsid w:val="00B76BB2"/>
    <w:rsid w:val="00B80090"/>
    <w:rsid w:val="00B80F0F"/>
    <w:rsid w:val="00B810F3"/>
    <w:rsid w:val="00B81110"/>
    <w:rsid w:val="00B81815"/>
    <w:rsid w:val="00B820BA"/>
    <w:rsid w:val="00B82669"/>
    <w:rsid w:val="00B82F39"/>
    <w:rsid w:val="00B8322D"/>
    <w:rsid w:val="00B8362D"/>
    <w:rsid w:val="00B857AA"/>
    <w:rsid w:val="00B85821"/>
    <w:rsid w:val="00B85BEF"/>
    <w:rsid w:val="00B85DC7"/>
    <w:rsid w:val="00B86412"/>
    <w:rsid w:val="00B8739E"/>
    <w:rsid w:val="00B900B0"/>
    <w:rsid w:val="00B90B77"/>
    <w:rsid w:val="00B90F76"/>
    <w:rsid w:val="00B91DD5"/>
    <w:rsid w:val="00B91F86"/>
    <w:rsid w:val="00B92121"/>
    <w:rsid w:val="00B92393"/>
    <w:rsid w:val="00B924E8"/>
    <w:rsid w:val="00B924F7"/>
    <w:rsid w:val="00B93575"/>
    <w:rsid w:val="00B93677"/>
    <w:rsid w:val="00B937DD"/>
    <w:rsid w:val="00B94263"/>
    <w:rsid w:val="00B9426D"/>
    <w:rsid w:val="00B9443D"/>
    <w:rsid w:val="00B951D2"/>
    <w:rsid w:val="00B95671"/>
    <w:rsid w:val="00B95BC8"/>
    <w:rsid w:val="00B95F8B"/>
    <w:rsid w:val="00B96040"/>
    <w:rsid w:val="00B96ACB"/>
    <w:rsid w:val="00B96EA3"/>
    <w:rsid w:val="00B96F47"/>
    <w:rsid w:val="00B9740A"/>
    <w:rsid w:val="00B97633"/>
    <w:rsid w:val="00BA0DFF"/>
    <w:rsid w:val="00BA1088"/>
    <w:rsid w:val="00BA126B"/>
    <w:rsid w:val="00BA145F"/>
    <w:rsid w:val="00BA16EA"/>
    <w:rsid w:val="00BA1A9D"/>
    <w:rsid w:val="00BA1C0C"/>
    <w:rsid w:val="00BA2AB7"/>
    <w:rsid w:val="00BA3300"/>
    <w:rsid w:val="00BA34A6"/>
    <w:rsid w:val="00BA3A3A"/>
    <w:rsid w:val="00BA4496"/>
    <w:rsid w:val="00BA4FC2"/>
    <w:rsid w:val="00BA542B"/>
    <w:rsid w:val="00BA56A2"/>
    <w:rsid w:val="00BA56D0"/>
    <w:rsid w:val="00BA630D"/>
    <w:rsid w:val="00BA6B09"/>
    <w:rsid w:val="00BA7711"/>
    <w:rsid w:val="00BB122F"/>
    <w:rsid w:val="00BB131C"/>
    <w:rsid w:val="00BB1931"/>
    <w:rsid w:val="00BB34EE"/>
    <w:rsid w:val="00BB37C3"/>
    <w:rsid w:val="00BB3820"/>
    <w:rsid w:val="00BB39FE"/>
    <w:rsid w:val="00BB41E2"/>
    <w:rsid w:val="00BB4554"/>
    <w:rsid w:val="00BB4C70"/>
    <w:rsid w:val="00BB6B60"/>
    <w:rsid w:val="00BB6DD8"/>
    <w:rsid w:val="00BB72B3"/>
    <w:rsid w:val="00BB796B"/>
    <w:rsid w:val="00BC0AEB"/>
    <w:rsid w:val="00BC0C7C"/>
    <w:rsid w:val="00BC0CFA"/>
    <w:rsid w:val="00BC0FA8"/>
    <w:rsid w:val="00BC11AF"/>
    <w:rsid w:val="00BC161A"/>
    <w:rsid w:val="00BC25F6"/>
    <w:rsid w:val="00BC283F"/>
    <w:rsid w:val="00BC2E19"/>
    <w:rsid w:val="00BC4A4C"/>
    <w:rsid w:val="00BC6F96"/>
    <w:rsid w:val="00BC74F2"/>
    <w:rsid w:val="00BC7F88"/>
    <w:rsid w:val="00BD016F"/>
    <w:rsid w:val="00BD08CD"/>
    <w:rsid w:val="00BD0D06"/>
    <w:rsid w:val="00BD0DE1"/>
    <w:rsid w:val="00BD1D36"/>
    <w:rsid w:val="00BD3DD9"/>
    <w:rsid w:val="00BD416C"/>
    <w:rsid w:val="00BD4373"/>
    <w:rsid w:val="00BD459C"/>
    <w:rsid w:val="00BD4689"/>
    <w:rsid w:val="00BD4FA4"/>
    <w:rsid w:val="00BD65B2"/>
    <w:rsid w:val="00BD6637"/>
    <w:rsid w:val="00BD681B"/>
    <w:rsid w:val="00BD6A8F"/>
    <w:rsid w:val="00BD738C"/>
    <w:rsid w:val="00BD7E83"/>
    <w:rsid w:val="00BE016E"/>
    <w:rsid w:val="00BE0528"/>
    <w:rsid w:val="00BE0547"/>
    <w:rsid w:val="00BE07F9"/>
    <w:rsid w:val="00BE1816"/>
    <w:rsid w:val="00BE33F8"/>
    <w:rsid w:val="00BE4B68"/>
    <w:rsid w:val="00BE4B82"/>
    <w:rsid w:val="00BE4D38"/>
    <w:rsid w:val="00BE52AA"/>
    <w:rsid w:val="00BE5E42"/>
    <w:rsid w:val="00BE614C"/>
    <w:rsid w:val="00BE6696"/>
    <w:rsid w:val="00BF04F0"/>
    <w:rsid w:val="00BF0E96"/>
    <w:rsid w:val="00BF11BC"/>
    <w:rsid w:val="00BF1E3C"/>
    <w:rsid w:val="00BF24B9"/>
    <w:rsid w:val="00BF26A4"/>
    <w:rsid w:val="00BF2C83"/>
    <w:rsid w:val="00BF332F"/>
    <w:rsid w:val="00BF3C8A"/>
    <w:rsid w:val="00BF434B"/>
    <w:rsid w:val="00BF477B"/>
    <w:rsid w:val="00BF4E1C"/>
    <w:rsid w:val="00BF5196"/>
    <w:rsid w:val="00BF611A"/>
    <w:rsid w:val="00BF6144"/>
    <w:rsid w:val="00BF61FE"/>
    <w:rsid w:val="00BF722D"/>
    <w:rsid w:val="00BF7DEB"/>
    <w:rsid w:val="00C00619"/>
    <w:rsid w:val="00C012E8"/>
    <w:rsid w:val="00C017B5"/>
    <w:rsid w:val="00C0273F"/>
    <w:rsid w:val="00C030E2"/>
    <w:rsid w:val="00C0318E"/>
    <w:rsid w:val="00C03C03"/>
    <w:rsid w:val="00C03C3D"/>
    <w:rsid w:val="00C03EEA"/>
    <w:rsid w:val="00C058D7"/>
    <w:rsid w:val="00C05AE3"/>
    <w:rsid w:val="00C109E6"/>
    <w:rsid w:val="00C113A0"/>
    <w:rsid w:val="00C11E2B"/>
    <w:rsid w:val="00C1385D"/>
    <w:rsid w:val="00C13892"/>
    <w:rsid w:val="00C13C37"/>
    <w:rsid w:val="00C14CAD"/>
    <w:rsid w:val="00C14E7E"/>
    <w:rsid w:val="00C15CA3"/>
    <w:rsid w:val="00C166C1"/>
    <w:rsid w:val="00C170FE"/>
    <w:rsid w:val="00C17950"/>
    <w:rsid w:val="00C17F43"/>
    <w:rsid w:val="00C2157F"/>
    <w:rsid w:val="00C21A22"/>
    <w:rsid w:val="00C22414"/>
    <w:rsid w:val="00C22B3B"/>
    <w:rsid w:val="00C238EA"/>
    <w:rsid w:val="00C23DF3"/>
    <w:rsid w:val="00C242C3"/>
    <w:rsid w:val="00C24640"/>
    <w:rsid w:val="00C246E5"/>
    <w:rsid w:val="00C24DA2"/>
    <w:rsid w:val="00C25213"/>
    <w:rsid w:val="00C25BCE"/>
    <w:rsid w:val="00C25F17"/>
    <w:rsid w:val="00C261AA"/>
    <w:rsid w:val="00C27255"/>
    <w:rsid w:val="00C27EA9"/>
    <w:rsid w:val="00C300BA"/>
    <w:rsid w:val="00C313B9"/>
    <w:rsid w:val="00C32323"/>
    <w:rsid w:val="00C34196"/>
    <w:rsid w:val="00C34F15"/>
    <w:rsid w:val="00C350FB"/>
    <w:rsid w:val="00C35652"/>
    <w:rsid w:val="00C359CE"/>
    <w:rsid w:val="00C35B6F"/>
    <w:rsid w:val="00C364C0"/>
    <w:rsid w:val="00C371FA"/>
    <w:rsid w:val="00C40BED"/>
    <w:rsid w:val="00C413F3"/>
    <w:rsid w:val="00C41F4C"/>
    <w:rsid w:val="00C424B9"/>
    <w:rsid w:val="00C4320F"/>
    <w:rsid w:val="00C44D53"/>
    <w:rsid w:val="00C450BD"/>
    <w:rsid w:val="00C45622"/>
    <w:rsid w:val="00C4579D"/>
    <w:rsid w:val="00C47674"/>
    <w:rsid w:val="00C479FB"/>
    <w:rsid w:val="00C47AE3"/>
    <w:rsid w:val="00C5068F"/>
    <w:rsid w:val="00C50ACC"/>
    <w:rsid w:val="00C51BE4"/>
    <w:rsid w:val="00C51F6B"/>
    <w:rsid w:val="00C5214C"/>
    <w:rsid w:val="00C52917"/>
    <w:rsid w:val="00C52D86"/>
    <w:rsid w:val="00C533E4"/>
    <w:rsid w:val="00C55DA6"/>
    <w:rsid w:val="00C55EBC"/>
    <w:rsid w:val="00C56CAF"/>
    <w:rsid w:val="00C56CD0"/>
    <w:rsid w:val="00C57983"/>
    <w:rsid w:val="00C6030D"/>
    <w:rsid w:val="00C61564"/>
    <w:rsid w:val="00C6284C"/>
    <w:rsid w:val="00C62BFE"/>
    <w:rsid w:val="00C63627"/>
    <w:rsid w:val="00C6373C"/>
    <w:rsid w:val="00C638B2"/>
    <w:rsid w:val="00C63940"/>
    <w:rsid w:val="00C6490E"/>
    <w:rsid w:val="00C64C0A"/>
    <w:rsid w:val="00C65931"/>
    <w:rsid w:val="00C65A68"/>
    <w:rsid w:val="00C6636E"/>
    <w:rsid w:val="00C66880"/>
    <w:rsid w:val="00C66B35"/>
    <w:rsid w:val="00C675E7"/>
    <w:rsid w:val="00C678FC"/>
    <w:rsid w:val="00C679F1"/>
    <w:rsid w:val="00C67A83"/>
    <w:rsid w:val="00C710C1"/>
    <w:rsid w:val="00C71455"/>
    <w:rsid w:val="00C72233"/>
    <w:rsid w:val="00C722E5"/>
    <w:rsid w:val="00C72839"/>
    <w:rsid w:val="00C72FA2"/>
    <w:rsid w:val="00C7329B"/>
    <w:rsid w:val="00C73476"/>
    <w:rsid w:val="00C73C5F"/>
    <w:rsid w:val="00C7537A"/>
    <w:rsid w:val="00C759D9"/>
    <w:rsid w:val="00C76AE6"/>
    <w:rsid w:val="00C80CA8"/>
    <w:rsid w:val="00C80CFA"/>
    <w:rsid w:val="00C812B8"/>
    <w:rsid w:val="00C814FE"/>
    <w:rsid w:val="00C818A3"/>
    <w:rsid w:val="00C82288"/>
    <w:rsid w:val="00C8238A"/>
    <w:rsid w:val="00C827E2"/>
    <w:rsid w:val="00C84AB3"/>
    <w:rsid w:val="00C85FD9"/>
    <w:rsid w:val="00C86440"/>
    <w:rsid w:val="00C866A2"/>
    <w:rsid w:val="00C86D27"/>
    <w:rsid w:val="00C86D6A"/>
    <w:rsid w:val="00C87152"/>
    <w:rsid w:val="00C87615"/>
    <w:rsid w:val="00C87672"/>
    <w:rsid w:val="00C87D8D"/>
    <w:rsid w:val="00C87EC7"/>
    <w:rsid w:val="00C91800"/>
    <w:rsid w:val="00C91CC0"/>
    <w:rsid w:val="00C93019"/>
    <w:rsid w:val="00C930F3"/>
    <w:rsid w:val="00C93A9E"/>
    <w:rsid w:val="00C93D86"/>
    <w:rsid w:val="00C93FA9"/>
    <w:rsid w:val="00C94380"/>
    <w:rsid w:val="00C94894"/>
    <w:rsid w:val="00C94C1A"/>
    <w:rsid w:val="00C953A9"/>
    <w:rsid w:val="00C97857"/>
    <w:rsid w:val="00CA00AF"/>
    <w:rsid w:val="00CA0B43"/>
    <w:rsid w:val="00CA0E9C"/>
    <w:rsid w:val="00CA3E1E"/>
    <w:rsid w:val="00CA4672"/>
    <w:rsid w:val="00CA5733"/>
    <w:rsid w:val="00CA66AF"/>
    <w:rsid w:val="00CA6796"/>
    <w:rsid w:val="00CA6863"/>
    <w:rsid w:val="00CA7817"/>
    <w:rsid w:val="00CA79AF"/>
    <w:rsid w:val="00CA7C96"/>
    <w:rsid w:val="00CB0295"/>
    <w:rsid w:val="00CB033A"/>
    <w:rsid w:val="00CB08EE"/>
    <w:rsid w:val="00CB1913"/>
    <w:rsid w:val="00CB2562"/>
    <w:rsid w:val="00CB56DC"/>
    <w:rsid w:val="00CB5D26"/>
    <w:rsid w:val="00CB5F46"/>
    <w:rsid w:val="00CB6111"/>
    <w:rsid w:val="00CB6406"/>
    <w:rsid w:val="00CB72BF"/>
    <w:rsid w:val="00CB72F6"/>
    <w:rsid w:val="00CB7839"/>
    <w:rsid w:val="00CB7B82"/>
    <w:rsid w:val="00CC09BA"/>
    <w:rsid w:val="00CC118C"/>
    <w:rsid w:val="00CC1B71"/>
    <w:rsid w:val="00CC2784"/>
    <w:rsid w:val="00CC309E"/>
    <w:rsid w:val="00CC348F"/>
    <w:rsid w:val="00CC471F"/>
    <w:rsid w:val="00CC5A48"/>
    <w:rsid w:val="00CC5C35"/>
    <w:rsid w:val="00CC672E"/>
    <w:rsid w:val="00CC6B1D"/>
    <w:rsid w:val="00CC6CEF"/>
    <w:rsid w:val="00CC782D"/>
    <w:rsid w:val="00CC794C"/>
    <w:rsid w:val="00CD0949"/>
    <w:rsid w:val="00CD0B97"/>
    <w:rsid w:val="00CD0CA8"/>
    <w:rsid w:val="00CD0D55"/>
    <w:rsid w:val="00CD0DB9"/>
    <w:rsid w:val="00CD1130"/>
    <w:rsid w:val="00CD188B"/>
    <w:rsid w:val="00CD2C1F"/>
    <w:rsid w:val="00CD2FA7"/>
    <w:rsid w:val="00CD373B"/>
    <w:rsid w:val="00CD46EB"/>
    <w:rsid w:val="00CD4CBE"/>
    <w:rsid w:val="00CD5577"/>
    <w:rsid w:val="00CD5DA7"/>
    <w:rsid w:val="00CD6447"/>
    <w:rsid w:val="00CD6F13"/>
    <w:rsid w:val="00CD7A53"/>
    <w:rsid w:val="00CD7A88"/>
    <w:rsid w:val="00CE08F0"/>
    <w:rsid w:val="00CE0A9A"/>
    <w:rsid w:val="00CE154C"/>
    <w:rsid w:val="00CE20A1"/>
    <w:rsid w:val="00CE3412"/>
    <w:rsid w:val="00CE3740"/>
    <w:rsid w:val="00CE4123"/>
    <w:rsid w:val="00CE43C4"/>
    <w:rsid w:val="00CE4403"/>
    <w:rsid w:val="00CE54F5"/>
    <w:rsid w:val="00CE55A0"/>
    <w:rsid w:val="00CE5689"/>
    <w:rsid w:val="00CE5D02"/>
    <w:rsid w:val="00CE65BC"/>
    <w:rsid w:val="00CE6D30"/>
    <w:rsid w:val="00CE76A3"/>
    <w:rsid w:val="00CE7D93"/>
    <w:rsid w:val="00CE7E29"/>
    <w:rsid w:val="00CE7F02"/>
    <w:rsid w:val="00CF09FC"/>
    <w:rsid w:val="00CF0B5D"/>
    <w:rsid w:val="00CF0FF9"/>
    <w:rsid w:val="00CF1A33"/>
    <w:rsid w:val="00CF2ED6"/>
    <w:rsid w:val="00CF2F68"/>
    <w:rsid w:val="00CF2FF0"/>
    <w:rsid w:val="00CF31A6"/>
    <w:rsid w:val="00CF39A7"/>
    <w:rsid w:val="00CF41F7"/>
    <w:rsid w:val="00CF4BD2"/>
    <w:rsid w:val="00CF6255"/>
    <w:rsid w:val="00CF6A02"/>
    <w:rsid w:val="00CF7137"/>
    <w:rsid w:val="00CF7EB1"/>
    <w:rsid w:val="00D00758"/>
    <w:rsid w:val="00D0090E"/>
    <w:rsid w:val="00D00A7E"/>
    <w:rsid w:val="00D01218"/>
    <w:rsid w:val="00D0123A"/>
    <w:rsid w:val="00D013D5"/>
    <w:rsid w:val="00D01BCD"/>
    <w:rsid w:val="00D020DE"/>
    <w:rsid w:val="00D0265E"/>
    <w:rsid w:val="00D02712"/>
    <w:rsid w:val="00D02D23"/>
    <w:rsid w:val="00D02D6A"/>
    <w:rsid w:val="00D03A8B"/>
    <w:rsid w:val="00D0413E"/>
    <w:rsid w:val="00D05092"/>
    <w:rsid w:val="00D051E7"/>
    <w:rsid w:val="00D05D27"/>
    <w:rsid w:val="00D07CC0"/>
    <w:rsid w:val="00D10382"/>
    <w:rsid w:val="00D104D1"/>
    <w:rsid w:val="00D10AEE"/>
    <w:rsid w:val="00D10E87"/>
    <w:rsid w:val="00D10F5E"/>
    <w:rsid w:val="00D124DE"/>
    <w:rsid w:val="00D1259D"/>
    <w:rsid w:val="00D13D80"/>
    <w:rsid w:val="00D142ED"/>
    <w:rsid w:val="00D1450C"/>
    <w:rsid w:val="00D1493F"/>
    <w:rsid w:val="00D14E8F"/>
    <w:rsid w:val="00D151D2"/>
    <w:rsid w:val="00D1523F"/>
    <w:rsid w:val="00D15C77"/>
    <w:rsid w:val="00D16309"/>
    <w:rsid w:val="00D17A77"/>
    <w:rsid w:val="00D20301"/>
    <w:rsid w:val="00D203A8"/>
    <w:rsid w:val="00D20A1C"/>
    <w:rsid w:val="00D20EEB"/>
    <w:rsid w:val="00D21213"/>
    <w:rsid w:val="00D2144D"/>
    <w:rsid w:val="00D21B5D"/>
    <w:rsid w:val="00D22D28"/>
    <w:rsid w:val="00D23A18"/>
    <w:rsid w:val="00D24319"/>
    <w:rsid w:val="00D24B15"/>
    <w:rsid w:val="00D24BDA"/>
    <w:rsid w:val="00D256DB"/>
    <w:rsid w:val="00D2575A"/>
    <w:rsid w:val="00D25DC3"/>
    <w:rsid w:val="00D263C3"/>
    <w:rsid w:val="00D264D4"/>
    <w:rsid w:val="00D2665B"/>
    <w:rsid w:val="00D271E3"/>
    <w:rsid w:val="00D27C2B"/>
    <w:rsid w:val="00D27F50"/>
    <w:rsid w:val="00D3013E"/>
    <w:rsid w:val="00D30C2D"/>
    <w:rsid w:val="00D31386"/>
    <w:rsid w:val="00D316E1"/>
    <w:rsid w:val="00D31908"/>
    <w:rsid w:val="00D31B12"/>
    <w:rsid w:val="00D31EB8"/>
    <w:rsid w:val="00D323E3"/>
    <w:rsid w:val="00D328A4"/>
    <w:rsid w:val="00D32C03"/>
    <w:rsid w:val="00D3438A"/>
    <w:rsid w:val="00D34482"/>
    <w:rsid w:val="00D347AE"/>
    <w:rsid w:val="00D356C4"/>
    <w:rsid w:val="00D3662C"/>
    <w:rsid w:val="00D37461"/>
    <w:rsid w:val="00D3778F"/>
    <w:rsid w:val="00D401D6"/>
    <w:rsid w:val="00D40844"/>
    <w:rsid w:val="00D40B80"/>
    <w:rsid w:val="00D40E04"/>
    <w:rsid w:val="00D424C2"/>
    <w:rsid w:val="00D42644"/>
    <w:rsid w:val="00D4303F"/>
    <w:rsid w:val="00D4324E"/>
    <w:rsid w:val="00D4357C"/>
    <w:rsid w:val="00D4359A"/>
    <w:rsid w:val="00D445CB"/>
    <w:rsid w:val="00D44F43"/>
    <w:rsid w:val="00D4590F"/>
    <w:rsid w:val="00D45C98"/>
    <w:rsid w:val="00D461F2"/>
    <w:rsid w:val="00D46328"/>
    <w:rsid w:val="00D46634"/>
    <w:rsid w:val="00D46B68"/>
    <w:rsid w:val="00D4707A"/>
    <w:rsid w:val="00D47081"/>
    <w:rsid w:val="00D47172"/>
    <w:rsid w:val="00D4729B"/>
    <w:rsid w:val="00D501E7"/>
    <w:rsid w:val="00D51A2E"/>
    <w:rsid w:val="00D53227"/>
    <w:rsid w:val="00D5399E"/>
    <w:rsid w:val="00D53FB5"/>
    <w:rsid w:val="00D55746"/>
    <w:rsid w:val="00D569B9"/>
    <w:rsid w:val="00D56C49"/>
    <w:rsid w:val="00D56CD7"/>
    <w:rsid w:val="00D60F5D"/>
    <w:rsid w:val="00D61132"/>
    <w:rsid w:val="00D61AB8"/>
    <w:rsid w:val="00D6248C"/>
    <w:rsid w:val="00D624A1"/>
    <w:rsid w:val="00D62E86"/>
    <w:rsid w:val="00D63240"/>
    <w:rsid w:val="00D642A0"/>
    <w:rsid w:val="00D651AC"/>
    <w:rsid w:val="00D65C1C"/>
    <w:rsid w:val="00D65F20"/>
    <w:rsid w:val="00D66C62"/>
    <w:rsid w:val="00D66D5B"/>
    <w:rsid w:val="00D700AC"/>
    <w:rsid w:val="00D70344"/>
    <w:rsid w:val="00D704D1"/>
    <w:rsid w:val="00D70F2F"/>
    <w:rsid w:val="00D71FF9"/>
    <w:rsid w:val="00D7330D"/>
    <w:rsid w:val="00D73F5F"/>
    <w:rsid w:val="00D74AB1"/>
    <w:rsid w:val="00D765A4"/>
    <w:rsid w:val="00D7666B"/>
    <w:rsid w:val="00D77A78"/>
    <w:rsid w:val="00D77C0C"/>
    <w:rsid w:val="00D80376"/>
    <w:rsid w:val="00D805FF"/>
    <w:rsid w:val="00D81F1E"/>
    <w:rsid w:val="00D81F79"/>
    <w:rsid w:val="00D83631"/>
    <w:rsid w:val="00D836C0"/>
    <w:rsid w:val="00D84D09"/>
    <w:rsid w:val="00D84ED8"/>
    <w:rsid w:val="00D866DF"/>
    <w:rsid w:val="00D872FE"/>
    <w:rsid w:val="00D8731B"/>
    <w:rsid w:val="00D8743F"/>
    <w:rsid w:val="00D8753E"/>
    <w:rsid w:val="00D91B6C"/>
    <w:rsid w:val="00D91B9E"/>
    <w:rsid w:val="00D91BD7"/>
    <w:rsid w:val="00D94FCD"/>
    <w:rsid w:val="00D955AE"/>
    <w:rsid w:val="00D95911"/>
    <w:rsid w:val="00D9592A"/>
    <w:rsid w:val="00D960BF"/>
    <w:rsid w:val="00D96FDA"/>
    <w:rsid w:val="00D97273"/>
    <w:rsid w:val="00DA0B55"/>
    <w:rsid w:val="00DA0FED"/>
    <w:rsid w:val="00DA2979"/>
    <w:rsid w:val="00DA2E29"/>
    <w:rsid w:val="00DA2FF9"/>
    <w:rsid w:val="00DA5542"/>
    <w:rsid w:val="00DA59BD"/>
    <w:rsid w:val="00DA6556"/>
    <w:rsid w:val="00DA6672"/>
    <w:rsid w:val="00DA67D6"/>
    <w:rsid w:val="00DA6856"/>
    <w:rsid w:val="00DA702E"/>
    <w:rsid w:val="00DA7E52"/>
    <w:rsid w:val="00DB0319"/>
    <w:rsid w:val="00DB0A66"/>
    <w:rsid w:val="00DB0C3D"/>
    <w:rsid w:val="00DB0D7B"/>
    <w:rsid w:val="00DB0E14"/>
    <w:rsid w:val="00DB110E"/>
    <w:rsid w:val="00DB2912"/>
    <w:rsid w:val="00DB35AC"/>
    <w:rsid w:val="00DB3BF9"/>
    <w:rsid w:val="00DB4157"/>
    <w:rsid w:val="00DB4E55"/>
    <w:rsid w:val="00DB50B7"/>
    <w:rsid w:val="00DB5787"/>
    <w:rsid w:val="00DB59D3"/>
    <w:rsid w:val="00DB5AC0"/>
    <w:rsid w:val="00DB5DD4"/>
    <w:rsid w:val="00DB6C20"/>
    <w:rsid w:val="00DB70FD"/>
    <w:rsid w:val="00DC0383"/>
    <w:rsid w:val="00DC065C"/>
    <w:rsid w:val="00DC0DFF"/>
    <w:rsid w:val="00DC195A"/>
    <w:rsid w:val="00DC21CB"/>
    <w:rsid w:val="00DC515C"/>
    <w:rsid w:val="00DC57C5"/>
    <w:rsid w:val="00DC5B2E"/>
    <w:rsid w:val="00DC637D"/>
    <w:rsid w:val="00DC6BA3"/>
    <w:rsid w:val="00DC7010"/>
    <w:rsid w:val="00DC717E"/>
    <w:rsid w:val="00DC75A6"/>
    <w:rsid w:val="00DD12AB"/>
    <w:rsid w:val="00DD29E1"/>
    <w:rsid w:val="00DD3BC3"/>
    <w:rsid w:val="00DD3FDA"/>
    <w:rsid w:val="00DD42F2"/>
    <w:rsid w:val="00DD6EB8"/>
    <w:rsid w:val="00DD7BBC"/>
    <w:rsid w:val="00DE009E"/>
    <w:rsid w:val="00DE064B"/>
    <w:rsid w:val="00DE15E9"/>
    <w:rsid w:val="00DE38A6"/>
    <w:rsid w:val="00DE39D2"/>
    <w:rsid w:val="00DE3D0A"/>
    <w:rsid w:val="00DE522F"/>
    <w:rsid w:val="00DE5C45"/>
    <w:rsid w:val="00DE5DC9"/>
    <w:rsid w:val="00DE5DD2"/>
    <w:rsid w:val="00DE73D8"/>
    <w:rsid w:val="00DE746A"/>
    <w:rsid w:val="00DE799F"/>
    <w:rsid w:val="00DE7F27"/>
    <w:rsid w:val="00DF01C0"/>
    <w:rsid w:val="00DF0C83"/>
    <w:rsid w:val="00DF149F"/>
    <w:rsid w:val="00DF1F18"/>
    <w:rsid w:val="00DF4C56"/>
    <w:rsid w:val="00DF5075"/>
    <w:rsid w:val="00DF64AE"/>
    <w:rsid w:val="00DF6991"/>
    <w:rsid w:val="00DF7048"/>
    <w:rsid w:val="00E005D2"/>
    <w:rsid w:val="00E00643"/>
    <w:rsid w:val="00E0281B"/>
    <w:rsid w:val="00E03B9D"/>
    <w:rsid w:val="00E04932"/>
    <w:rsid w:val="00E0494E"/>
    <w:rsid w:val="00E04F88"/>
    <w:rsid w:val="00E04F97"/>
    <w:rsid w:val="00E051E5"/>
    <w:rsid w:val="00E05424"/>
    <w:rsid w:val="00E057C4"/>
    <w:rsid w:val="00E05F1B"/>
    <w:rsid w:val="00E05FCD"/>
    <w:rsid w:val="00E06FB9"/>
    <w:rsid w:val="00E071F1"/>
    <w:rsid w:val="00E07FC7"/>
    <w:rsid w:val="00E10377"/>
    <w:rsid w:val="00E10F93"/>
    <w:rsid w:val="00E115B8"/>
    <w:rsid w:val="00E11B87"/>
    <w:rsid w:val="00E11C0D"/>
    <w:rsid w:val="00E1242D"/>
    <w:rsid w:val="00E133CE"/>
    <w:rsid w:val="00E14298"/>
    <w:rsid w:val="00E145B7"/>
    <w:rsid w:val="00E14714"/>
    <w:rsid w:val="00E14BCC"/>
    <w:rsid w:val="00E15067"/>
    <w:rsid w:val="00E15174"/>
    <w:rsid w:val="00E15714"/>
    <w:rsid w:val="00E15947"/>
    <w:rsid w:val="00E16FF7"/>
    <w:rsid w:val="00E17C08"/>
    <w:rsid w:val="00E17F06"/>
    <w:rsid w:val="00E204CE"/>
    <w:rsid w:val="00E2063F"/>
    <w:rsid w:val="00E20BCD"/>
    <w:rsid w:val="00E21607"/>
    <w:rsid w:val="00E22355"/>
    <w:rsid w:val="00E22640"/>
    <w:rsid w:val="00E22DAE"/>
    <w:rsid w:val="00E22EE7"/>
    <w:rsid w:val="00E2308E"/>
    <w:rsid w:val="00E2374C"/>
    <w:rsid w:val="00E24007"/>
    <w:rsid w:val="00E24426"/>
    <w:rsid w:val="00E249ED"/>
    <w:rsid w:val="00E2503A"/>
    <w:rsid w:val="00E25375"/>
    <w:rsid w:val="00E25E3B"/>
    <w:rsid w:val="00E26247"/>
    <w:rsid w:val="00E2667C"/>
    <w:rsid w:val="00E26979"/>
    <w:rsid w:val="00E27F7C"/>
    <w:rsid w:val="00E30345"/>
    <w:rsid w:val="00E30946"/>
    <w:rsid w:val="00E30E47"/>
    <w:rsid w:val="00E30ED6"/>
    <w:rsid w:val="00E329FC"/>
    <w:rsid w:val="00E32BB8"/>
    <w:rsid w:val="00E33850"/>
    <w:rsid w:val="00E33C81"/>
    <w:rsid w:val="00E33CE8"/>
    <w:rsid w:val="00E34169"/>
    <w:rsid w:val="00E342A1"/>
    <w:rsid w:val="00E34782"/>
    <w:rsid w:val="00E34CF0"/>
    <w:rsid w:val="00E34D60"/>
    <w:rsid w:val="00E3518F"/>
    <w:rsid w:val="00E35E6A"/>
    <w:rsid w:val="00E37512"/>
    <w:rsid w:val="00E3794F"/>
    <w:rsid w:val="00E408D6"/>
    <w:rsid w:val="00E41C29"/>
    <w:rsid w:val="00E41E5E"/>
    <w:rsid w:val="00E426A9"/>
    <w:rsid w:val="00E4342C"/>
    <w:rsid w:val="00E43F5B"/>
    <w:rsid w:val="00E454A1"/>
    <w:rsid w:val="00E456C1"/>
    <w:rsid w:val="00E45F37"/>
    <w:rsid w:val="00E46251"/>
    <w:rsid w:val="00E46671"/>
    <w:rsid w:val="00E46CCA"/>
    <w:rsid w:val="00E502F7"/>
    <w:rsid w:val="00E5115C"/>
    <w:rsid w:val="00E515DB"/>
    <w:rsid w:val="00E51E77"/>
    <w:rsid w:val="00E52243"/>
    <w:rsid w:val="00E522A8"/>
    <w:rsid w:val="00E522E3"/>
    <w:rsid w:val="00E53965"/>
    <w:rsid w:val="00E53E07"/>
    <w:rsid w:val="00E53E6C"/>
    <w:rsid w:val="00E5417D"/>
    <w:rsid w:val="00E545E6"/>
    <w:rsid w:val="00E54A69"/>
    <w:rsid w:val="00E555E3"/>
    <w:rsid w:val="00E5643A"/>
    <w:rsid w:val="00E5649D"/>
    <w:rsid w:val="00E564C0"/>
    <w:rsid w:val="00E5790B"/>
    <w:rsid w:val="00E60748"/>
    <w:rsid w:val="00E61956"/>
    <w:rsid w:val="00E6197D"/>
    <w:rsid w:val="00E61B3A"/>
    <w:rsid w:val="00E628A6"/>
    <w:rsid w:val="00E62E85"/>
    <w:rsid w:val="00E63C31"/>
    <w:rsid w:val="00E63E14"/>
    <w:rsid w:val="00E6448B"/>
    <w:rsid w:val="00E64750"/>
    <w:rsid w:val="00E64C7B"/>
    <w:rsid w:val="00E657AA"/>
    <w:rsid w:val="00E6589B"/>
    <w:rsid w:val="00E66A74"/>
    <w:rsid w:val="00E66B15"/>
    <w:rsid w:val="00E672E7"/>
    <w:rsid w:val="00E67AB9"/>
    <w:rsid w:val="00E67AD1"/>
    <w:rsid w:val="00E67FB1"/>
    <w:rsid w:val="00E70668"/>
    <w:rsid w:val="00E70F77"/>
    <w:rsid w:val="00E71DA1"/>
    <w:rsid w:val="00E7250B"/>
    <w:rsid w:val="00E735E6"/>
    <w:rsid w:val="00E73982"/>
    <w:rsid w:val="00E73F6D"/>
    <w:rsid w:val="00E73F77"/>
    <w:rsid w:val="00E74D02"/>
    <w:rsid w:val="00E751F9"/>
    <w:rsid w:val="00E756E3"/>
    <w:rsid w:val="00E757FC"/>
    <w:rsid w:val="00E75857"/>
    <w:rsid w:val="00E75CAD"/>
    <w:rsid w:val="00E769A3"/>
    <w:rsid w:val="00E7798C"/>
    <w:rsid w:val="00E779E0"/>
    <w:rsid w:val="00E77D59"/>
    <w:rsid w:val="00E80A0F"/>
    <w:rsid w:val="00E80EB7"/>
    <w:rsid w:val="00E81D9F"/>
    <w:rsid w:val="00E82149"/>
    <w:rsid w:val="00E82BDE"/>
    <w:rsid w:val="00E82CB4"/>
    <w:rsid w:val="00E8323B"/>
    <w:rsid w:val="00E83E7C"/>
    <w:rsid w:val="00E84B33"/>
    <w:rsid w:val="00E852F9"/>
    <w:rsid w:val="00E86170"/>
    <w:rsid w:val="00E86A56"/>
    <w:rsid w:val="00E87B59"/>
    <w:rsid w:val="00E9091C"/>
    <w:rsid w:val="00E92171"/>
    <w:rsid w:val="00E92E24"/>
    <w:rsid w:val="00E93686"/>
    <w:rsid w:val="00E9437C"/>
    <w:rsid w:val="00E94688"/>
    <w:rsid w:val="00E94AEC"/>
    <w:rsid w:val="00E95E2F"/>
    <w:rsid w:val="00E96A90"/>
    <w:rsid w:val="00E96BE4"/>
    <w:rsid w:val="00E96C2D"/>
    <w:rsid w:val="00E9737E"/>
    <w:rsid w:val="00EA0F46"/>
    <w:rsid w:val="00EA1323"/>
    <w:rsid w:val="00EA14F8"/>
    <w:rsid w:val="00EA18A5"/>
    <w:rsid w:val="00EA19BD"/>
    <w:rsid w:val="00EA1E5E"/>
    <w:rsid w:val="00EA2357"/>
    <w:rsid w:val="00EA25D9"/>
    <w:rsid w:val="00EA31AC"/>
    <w:rsid w:val="00EA439D"/>
    <w:rsid w:val="00EA4679"/>
    <w:rsid w:val="00EA512B"/>
    <w:rsid w:val="00EA5886"/>
    <w:rsid w:val="00EA6772"/>
    <w:rsid w:val="00EA6B12"/>
    <w:rsid w:val="00EA6C27"/>
    <w:rsid w:val="00EA729E"/>
    <w:rsid w:val="00EA72E9"/>
    <w:rsid w:val="00EA7939"/>
    <w:rsid w:val="00EA7C0E"/>
    <w:rsid w:val="00EA7C26"/>
    <w:rsid w:val="00EB0986"/>
    <w:rsid w:val="00EB0D2A"/>
    <w:rsid w:val="00EB1F7B"/>
    <w:rsid w:val="00EB2128"/>
    <w:rsid w:val="00EB233D"/>
    <w:rsid w:val="00EB250C"/>
    <w:rsid w:val="00EB3107"/>
    <w:rsid w:val="00EB3856"/>
    <w:rsid w:val="00EB3E56"/>
    <w:rsid w:val="00EB4048"/>
    <w:rsid w:val="00EB4C9B"/>
    <w:rsid w:val="00EB4CA3"/>
    <w:rsid w:val="00EB4FB5"/>
    <w:rsid w:val="00EB56A2"/>
    <w:rsid w:val="00EB5EE9"/>
    <w:rsid w:val="00EB60C7"/>
    <w:rsid w:val="00EB638F"/>
    <w:rsid w:val="00EB6821"/>
    <w:rsid w:val="00EB6B23"/>
    <w:rsid w:val="00EB6C98"/>
    <w:rsid w:val="00EB7CBB"/>
    <w:rsid w:val="00EB7FC9"/>
    <w:rsid w:val="00EC130D"/>
    <w:rsid w:val="00EC1875"/>
    <w:rsid w:val="00EC1FC3"/>
    <w:rsid w:val="00EC2EE6"/>
    <w:rsid w:val="00EC5617"/>
    <w:rsid w:val="00EC6339"/>
    <w:rsid w:val="00EC6C39"/>
    <w:rsid w:val="00EC7A1A"/>
    <w:rsid w:val="00EC7AE6"/>
    <w:rsid w:val="00ED1907"/>
    <w:rsid w:val="00ED21C6"/>
    <w:rsid w:val="00ED2735"/>
    <w:rsid w:val="00ED2A99"/>
    <w:rsid w:val="00ED3133"/>
    <w:rsid w:val="00ED5835"/>
    <w:rsid w:val="00ED58E5"/>
    <w:rsid w:val="00ED5A87"/>
    <w:rsid w:val="00ED5E27"/>
    <w:rsid w:val="00ED5E92"/>
    <w:rsid w:val="00ED6777"/>
    <w:rsid w:val="00ED67AA"/>
    <w:rsid w:val="00ED73A7"/>
    <w:rsid w:val="00EE05C7"/>
    <w:rsid w:val="00EE0C74"/>
    <w:rsid w:val="00EE0CB5"/>
    <w:rsid w:val="00EE12C1"/>
    <w:rsid w:val="00EE1687"/>
    <w:rsid w:val="00EE29CA"/>
    <w:rsid w:val="00EE2D1E"/>
    <w:rsid w:val="00EE3D05"/>
    <w:rsid w:val="00EE40A5"/>
    <w:rsid w:val="00EE4611"/>
    <w:rsid w:val="00EE4AA9"/>
    <w:rsid w:val="00EE537D"/>
    <w:rsid w:val="00EE7737"/>
    <w:rsid w:val="00EE7A69"/>
    <w:rsid w:val="00EE7B33"/>
    <w:rsid w:val="00EE7CF1"/>
    <w:rsid w:val="00EF0E2B"/>
    <w:rsid w:val="00EF1035"/>
    <w:rsid w:val="00EF149B"/>
    <w:rsid w:val="00EF183F"/>
    <w:rsid w:val="00EF2184"/>
    <w:rsid w:val="00EF250E"/>
    <w:rsid w:val="00EF2916"/>
    <w:rsid w:val="00EF31C2"/>
    <w:rsid w:val="00EF35A8"/>
    <w:rsid w:val="00EF3683"/>
    <w:rsid w:val="00EF3AB4"/>
    <w:rsid w:val="00EF3D3F"/>
    <w:rsid w:val="00EF47D2"/>
    <w:rsid w:val="00EF4904"/>
    <w:rsid w:val="00EF4CB9"/>
    <w:rsid w:val="00EF5F71"/>
    <w:rsid w:val="00EF62C6"/>
    <w:rsid w:val="00EF6DE7"/>
    <w:rsid w:val="00F000BA"/>
    <w:rsid w:val="00F00642"/>
    <w:rsid w:val="00F03105"/>
    <w:rsid w:val="00F032E1"/>
    <w:rsid w:val="00F0355D"/>
    <w:rsid w:val="00F04078"/>
    <w:rsid w:val="00F04393"/>
    <w:rsid w:val="00F04768"/>
    <w:rsid w:val="00F05DF7"/>
    <w:rsid w:val="00F06374"/>
    <w:rsid w:val="00F06C5A"/>
    <w:rsid w:val="00F0745D"/>
    <w:rsid w:val="00F07F46"/>
    <w:rsid w:val="00F11F71"/>
    <w:rsid w:val="00F12BB4"/>
    <w:rsid w:val="00F13526"/>
    <w:rsid w:val="00F137A0"/>
    <w:rsid w:val="00F137F7"/>
    <w:rsid w:val="00F14106"/>
    <w:rsid w:val="00F14B57"/>
    <w:rsid w:val="00F164C8"/>
    <w:rsid w:val="00F1752D"/>
    <w:rsid w:val="00F17E3C"/>
    <w:rsid w:val="00F204A9"/>
    <w:rsid w:val="00F20B70"/>
    <w:rsid w:val="00F2227A"/>
    <w:rsid w:val="00F238C3"/>
    <w:rsid w:val="00F23DB6"/>
    <w:rsid w:val="00F24096"/>
    <w:rsid w:val="00F24C04"/>
    <w:rsid w:val="00F24CA2"/>
    <w:rsid w:val="00F24F75"/>
    <w:rsid w:val="00F26392"/>
    <w:rsid w:val="00F26682"/>
    <w:rsid w:val="00F26BB4"/>
    <w:rsid w:val="00F272C8"/>
    <w:rsid w:val="00F27697"/>
    <w:rsid w:val="00F27EC1"/>
    <w:rsid w:val="00F30D92"/>
    <w:rsid w:val="00F30E04"/>
    <w:rsid w:val="00F32690"/>
    <w:rsid w:val="00F32AFC"/>
    <w:rsid w:val="00F33530"/>
    <w:rsid w:val="00F336DE"/>
    <w:rsid w:val="00F337EA"/>
    <w:rsid w:val="00F33B0B"/>
    <w:rsid w:val="00F343E8"/>
    <w:rsid w:val="00F364A3"/>
    <w:rsid w:val="00F36616"/>
    <w:rsid w:val="00F41D76"/>
    <w:rsid w:val="00F42031"/>
    <w:rsid w:val="00F421E8"/>
    <w:rsid w:val="00F43975"/>
    <w:rsid w:val="00F44E08"/>
    <w:rsid w:val="00F45966"/>
    <w:rsid w:val="00F462CE"/>
    <w:rsid w:val="00F47A29"/>
    <w:rsid w:val="00F50231"/>
    <w:rsid w:val="00F502AF"/>
    <w:rsid w:val="00F50F30"/>
    <w:rsid w:val="00F526DF"/>
    <w:rsid w:val="00F5494F"/>
    <w:rsid w:val="00F550BE"/>
    <w:rsid w:val="00F55E26"/>
    <w:rsid w:val="00F56697"/>
    <w:rsid w:val="00F56BC4"/>
    <w:rsid w:val="00F578EF"/>
    <w:rsid w:val="00F603FA"/>
    <w:rsid w:val="00F61579"/>
    <w:rsid w:val="00F616AF"/>
    <w:rsid w:val="00F61F33"/>
    <w:rsid w:val="00F63471"/>
    <w:rsid w:val="00F63932"/>
    <w:rsid w:val="00F63A99"/>
    <w:rsid w:val="00F63B2C"/>
    <w:rsid w:val="00F641E4"/>
    <w:rsid w:val="00F6460A"/>
    <w:rsid w:val="00F6470F"/>
    <w:rsid w:val="00F64DEE"/>
    <w:rsid w:val="00F65C10"/>
    <w:rsid w:val="00F65D30"/>
    <w:rsid w:val="00F65FE6"/>
    <w:rsid w:val="00F667F1"/>
    <w:rsid w:val="00F67801"/>
    <w:rsid w:val="00F705DB"/>
    <w:rsid w:val="00F7099E"/>
    <w:rsid w:val="00F712C9"/>
    <w:rsid w:val="00F71465"/>
    <w:rsid w:val="00F71DC8"/>
    <w:rsid w:val="00F7201D"/>
    <w:rsid w:val="00F7209C"/>
    <w:rsid w:val="00F72B0E"/>
    <w:rsid w:val="00F733FB"/>
    <w:rsid w:val="00F733FD"/>
    <w:rsid w:val="00F73796"/>
    <w:rsid w:val="00F73B89"/>
    <w:rsid w:val="00F73C21"/>
    <w:rsid w:val="00F74615"/>
    <w:rsid w:val="00F74A0C"/>
    <w:rsid w:val="00F75BA9"/>
    <w:rsid w:val="00F75D81"/>
    <w:rsid w:val="00F76146"/>
    <w:rsid w:val="00F76159"/>
    <w:rsid w:val="00F77868"/>
    <w:rsid w:val="00F8078A"/>
    <w:rsid w:val="00F80AB2"/>
    <w:rsid w:val="00F80B05"/>
    <w:rsid w:val="00F8132D"/>
    <w:rsid w:val="00F81A82"/>
    <w:rsid w:val="00F81FE6"/>
    <w:rsid w:val="00F82388"/>
    <w:rsid w:val="00F82BE6"/>
    <w:rsid w:val="00F834A6"/>
    <w:rsid w:val="00F841B9"/>
    <w:rsid w:val="00F862D0"/>
    <w:rsid w:val="00F867E4"/>
    <w:rsid w:val="00F86B19"/>
    <w:rsid w:val="00F86D6D"/>
    <w:rsid w:val="00F871C9"/>
    <w:rsid w:val="00F87404"/>
    <w:rsid w:val="00F87E42"/>
    <w:rsid w:val="00F90593"/>
    <w:rsid w:val="00F908B5"/>
    <w:rsid w:val="00F90DD2"/>
    <w:rsid w:val="00F9139E"/>
    <w:rsid w:val="00F9351B"/>
    <w:rsid w:val="00F93EEA"/>
    <w:rsid w:val="00F94530"/>
    <w:rsid w:val="00F94810"/>
    <w:rsid w:val="00F95265"/>
    <w:rsid w:val="00F955C7"/>
    <w:rsid w:val="00F969D1"/>
    <w:rsid w:val="00F96A2F"/>
    <w:rsid w:val="00F96B58"/>
    <w:rsid w:val="00F96D06"/>
    <w:rsid w:val="00F9711A"/>
    <w:rsid w:val="00F97ABD"/>
    <w:rsid w:val="00FA09D8"/>
    <w:rsid w:val="00FA0CBD"/>
    <w:rsid w:val="00FA0F33"/>
    <w:rsid w:val="00FA0F9C"/>
    <w:rsid w:val="00FA18FA"/>
    <w:rsid w:val="00FA2518"/>
    <w:rsid w:val="00FA306A"/>
    <w:rsid w:val="00FA338A"/>
    <w:rsid w:val="00FA33DF"/>
    <w:rsid w:val="00FA3ACF"/>
    <w:rsid w:val="00FA4B9D"/>
    <w:rsid w:val="00FA567A"/>
    <w:rsid w:val="00FA6344"/>
    <w:rsid w:val="00FA6676"/>
    <w:rsid w:val="00FA7103"/>
    <w:rsid w:val="00FA75F1"/>
    <w:rsid w:val="00FB0090"/>
    <w:rsid w:val="00FB02EE"/>
    <w:rsid w:val="00FB1292"/>
    <w:rsid w:val="00FB1A53"/>
    <w:rsid w:val="00FB280C"/>
    <w:rsid w:val="00FB2930"/>
    <w:rsid w:val="00FB34EE"/>
    <w:rsid w:val="00FB3D60"/>
    <w:rsid w:val="00FB405B"/>
    <w:rsid w:val="00FB5956"/>
    <w:rsid w:val="00FB6386"/>
    <w:rsid w:val="00FB6780"/>
    <w:rsid w:val="00FB7086"/>
    <w:rsid w:val="00FB775B"/>
    <w:rsid w:val="00FC04F6"/>
    <w:rsid w:val="00FC099F"/>
    <w:rsid w:val="00FC0EE2"/>
    <w:rsid w:val="00FC1016"/>
    <w:rsid w:val="00FC1882"/>
    <w:rsid w:val="00FC1DED"/>
    <w:rsid w:val="00FC21D2"/>
    <w:rsid w:val="00FC294F"/>
    <w:rsid w:val="00FC2A1B"/>
    <w:rsid w:val="00FC2B75"/>
    <w:rsid w:val="00FC312D"/>
    <w:rsid w:val="00FC3E1E"/>
    <w:rsid w:val="00FC4028"/>
    <w:rsid w:val="00FC4312"/>
    <w:rsid w:val="00FC48AB"/>
    <w:rsid w:val="00FC5A06"/>
    <w:rsid w:val="00FC68BA"/>
    <w:rsid w:val="00FC6BBA"/>
    <w:rsid w:val="00FD02B0"/>
    <w:rsid w:val="00FD0655"/>
    <w:rsid w:val="00FD13AD"/>
    <w:rsid w:val="00FD1769"/>
    <w:rsid w:val="00FD192F"/>
    <w:rsid w:val="00FD1D53"/>
    <w:rsid w:val="00FD36B8"/>
    <w:rsid w:val="00FD3749"/>
    <w:rsid w:val="00FD41E9"/>
    <w:rsid w:val="00FD426A"/>
    <w:rsid w:val="00FD436A"/>
    <w:rsid w:val="00FD45BF"/>
    <w:rsid w:val="00FD4619"/>
    <w:rsid w:val="00FD464C"/>
    <w:rsid w:val="00FD4F2E"/>
    <w:rsid w:val="00FD5BF8"/>
    <w:rsid w:val="00FD5D9C"/>
    <w:rsid w:val="00FD6164"/>
    <w:rsid w:val="00FD62FF"/>
    <w:rsid w:val="00FD6941"/>
    <w:rsid w:val="00FD6A39"/>
    <w:rsid w:val="00FD6DD0"/>
    <w:rsid w:val="00FD7231"/>
    <w:rsid w:val="00FD72A4"/>
    <w:rsid w:val="00FD7D86"/>
    <w:rsid w:val="00FE0D24"/>
    <w:rsid w:val="00FE1B79"/>
    <w:rsid w:val="00FE46B4"/>
    <w:rsid w:val="00FE4FB2"/>
    <w:rsid w:val="00FE514F"/>
    <w:rsid w:val="00FE5332"/>
    <w:rsid w:val="00FE5CF6"/>
    <w:rsid w:val="00FE5D6A"/>
    <w:rsid w:val="00FE61D6"/>
    <w:rsid w:val="00FE64F6"/>
    <w:rsid w:val="00FE68D5"/>
    <w:rsid w:val="00FE69AD"/>
    <w:rsid w:val="00FE6BC3"/>
    <w:rsid w:val="00FE7943"/>
    <w:rsid w:val="00FE7C2D"/>
    <w:rsid w:val="00FE7D5A"/>
    <w:rsid w:val="00FF0232"/>
    <w:rsid w:val="00FF0BAC"/>
    <w:rsid w:val="00FF18AF"/>
    <w:rsid w:val="00FF1C80"/>
    <w:rsid w:val="00FF22B1"/>
    <w:rsid w:val="00FF26A4"/>
    <w:rsid w:val="00FF38C5"/>
    <w:rsid w:val="00FF4979"/>
    <w:rsid w:val="00FF52E1"/>
    <w:rsid w:val="00FF58D0"/>
    <w:rsid w:val="00FF5CB3"/>
    <w:rsid w:val="00FF5D9C"/>
    <w:rsid w:val="00FF60A9"/>
    <w:rsid w:val="00FF6644"/>
    <w:rsid w:val="00FF7D00"/>
    <w:rsid w:val="0CF07141"/>
    <w:rsid w:val="0D856A2F"/>
    <w:rsid w:val="11C00535"/>
    <w:rsid w:val="2F4A3437"/>
    <w:rsid w:val="35432AA3"/>
    <w:rsid w:val="3A3B7724"/>
    <w:rsid w:val="3C91222F"/>
    <w:rsid w:val="3E6D5913"/>
    <w:rsid w:val="3E8410A3"/>
    <w:rsid w:val="40544AF3"/>
    <w:rsid w:val="4231521A"/>
    <w:rsid w:val="59733EF3"/>
    <w:rsid w:val="5B4A4AF7"/>
    <w:rsid w:val="5BAA37E4"/>
    <w:rsid w:val="60803497"/>
    <w:rsid w:val="67D71931"/>
    <w:rsid w:val="6CA2551B"/>
    <w:rsid w:val="749E4A39"/>
    <w:rsid w:val="7CAF47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qFormat="1" w:uiPriority="99" w:semiHidden="0"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nhideWhenUsed="0" w:uiPriority="0" w:name="endnote text"/>
    <w:lsdException w:uiPriority="99" w:name="table of authorities"/>
    <w:lsdException w:uiPriority="99" w:name="macro"/>
    <w:lsdException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semiHidden="0"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qFormat="1" w:unhideWhenUsed="0" w:uiPriority="99" w:semiHidden="0"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59"/>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75"/>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153"/>
    <w:qFormat/>
    <w:uiPriority w:val="9"/>
    <w:pPr>
      <w:keepNext/>
      <w:keepLines/>
      <w:spacing w:before="260" w:after="260" w:line="416" w:lineRule="auto"/>
      <w:outlineLvl w:val="2"/>
    </w:pPr>
    <w:rPr>
      <w:b/>
      <w:bCs/>
      <w:kern w:val="0"/>
      <w:sz w:val="32"/>
      <w:szCs w:val="32"/>
    </w:rPr>
  </w:style>
  <w:style w:type="paragraph" w:styleId="7">
    <w:name w:val="heading 4"/>
    <w:basedOn w:val="1"/>
    <w:next w:val="1"/>
    <w:link w:val="178"/>
    <w:qFormat/>
    <w:uiPriority w:val="9"/>
    <w:pPr>
      <w:numPr>
        <w:ilvl w:val="0"/>
        <w:numId w:val="1"/>
      </w:numPr>
      <w:tabs>
        <w:tab w:val="left" w:pos="315"/>
      </w:tabs>
      <w:spacing w:before="120" w:after="120"/>
      <w:outlineLvl w:val="3"/>
    </w:pPr>
    <w:rPr>
      <w:rFonts w:ascii="Cambria" w:hAnsi="Cambria" w:eastAsia="黑体"/>
      <w:bCs/>
      <w:sz w:val="24"/>
      <w:szCs w:val="28"/>
    </w:rPr>
  </w:style>
  <w:style w:type="paragraph" w:styleId="8">
    <w:name w:val="heading 5"/>
    <w:basedOn w:val="1"/>
    <w:next w:val="1"/>
    <w:link w:val="165"/>
    <w:qFormat/>
    <w:uiPriority w:val="0"/>
    <w:pPr>
      <w:tabs>
        <w:tab w:val="left" w:pos="420"/>
      </w:tabs>
      <w:spacing w:beforeLines="50" w:afterLines="50"/>
      <w:outlineLvl w:val="4"/>
    </w:pPr>
    <w:rPr>
      <w:bCs/>
      <w:szCs w:val="28"/>
    </w:rPr>
  </w:style>
  <w:style w:type="paragraph" w:styleId="9">
    <w:name w:val="heading 6"/>
    <w:basedOn w:val="1"/>
    <w:next w:val="1"/>
    <w:link w:val="148"/>
    <w:qFormat/>
    <w:uiPriority w:val="9"/>
    <w:pPr>
      <w:numPr>
        <w:ilvl w:val="2"/>
        <w:numId w:val="1"/>
      </w:numPr>
      <w:tabs>
        <w:tab w:val="left" w:pos="945"/>
      </w:tabs>
      <w:outlineLvl w:val="5"/>
    </w:pPr>
    <w:rPr>
      <w:rFonts w:ascii="Cambria" w:hAnsi="Cambria"/>
      <w:bCs/>
      <w:szCs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45">
    <w:name w:val="Default Paragraph Font"/>
    <w:unhideWhenUsed/>
    <w:uiPriority w:val="1"/>
  </w:style>
  <w:style w:type="table" w:default="1" w:styleId="43">
    <w:name w:val="Normal Table"/>
    <w:unhideWhenUsed/>
    <w:qFormat/>
    <w:uiPriority w:val="99"/>
    <w:tblPr>
      <w:tblStyle w:val="43"/>
      <w:tblCellMar>
        <w:top w:w="0" w:type="dxa"/>
        <w:left w:w="108" w:type="dxa"/>
        <w:bottom w:w="0" w:type="dxa"/>
        <w:right w:w="108" w:type="dxa"/>
      </w:tblCellMar>
    </w:tblPr>
  </w:style>
  <w:style w:type="paragraph" w:customStyle="1" w:styleId="2">
    <w:name w:val="DAS正文"/>
    <w:basedOn w:val="1"/>
    <w:qFormat/>
    <w:uiPriority w:val="0"/>
    <w:pPr>
      <w:ind w:right="181" w:firstLine="480" w:firstLineChars="200"/>
    </w:pPr>
    <w:rPr>
      <w:rFonts w:ascii="Verdana" w:hAnsi="Verdana"/>
      <w:szCs w:val="24"/>
    </w:rPr>
  </w:style>
  <w:style w:type="paragraph" w:styleId="5">
    <w:name w:val="Normal Indent"/>
    <w:basedOn w:val="1"/>
    <w:uiPriority w:val="0"/>
    <w:pPr>
      <w:widowControl/>
      <w:ind w:firstLine="420" w:firstLineChars="200"/>
      <w:jc w:val="center"/>
    </w:pPr>
    <w:rPr>
      <w:rFonts w:ascii="Times New Roman" w:hAnsi="Times New Roman"/>
      <w:b/>
      <w:kern w:val="0"/>
      <w:sz w:val="44"/>
      <w:szCs w:val="20"/>
    </w:rPr>
  </w:style>
  <w:style w:type="paragraph" w:styleId="13">
    <w:name w:val="toc 7"/>
    <w:basedOn w:val="1"/>
    <w:next w:val="1"/>
    <w:unhideWhenUsed/>
    <w:uiPriority w:val="39"/>
    <w:pPr>
      <w:ind w:left="1260"/>
      <w:jc w:val="left"/>
    </w:pPr>
    <w:rPr>
      <w:sz w:val="18"/>
      <w:szCs w:val="18"/>
    </w:rPr>
  </w:style>
  <w:style w:type="paragraph" w:styleId="14">
    <w:name w:val="Document Map"/>
    <w:basedOn w:val="1"/>
    <w:semiHidden/>
    <w:uiPriority w:val="0"/>
    <w:pPr>
      <w:shd w:val="clear" w:color="auto" w:fill="000080"/>
    </w:pPr>
  </w:style>
  <w:style w:type="paragraph" w:styleId="15">
    <w:name w:val="toa heading"/>
    <w:basedOn w:val="1"/>
    <w:next w:val="1"/>
    <w:unhideWhenUsed/>
    <w:uiPriority w:val="0"/>
    <w:pPr>
      <w:spacing w:before="120"/>
    </w:pPr>
    <w:rPr>
      <w:rFonts w:ascii="Cambria" w:hAnsi="Cambria"/>
      <w:sz w:val="24"/>
      <w:szCs w:val="24"/>
    </w:rPr>
  </w:style>
  <w:style w:type="paragraph" w:styleId="16">
    <w:name w:val="annotation text"/>
    <w:basedOn w:val="1"/>
    <w:semiHidden/>
    <w:uiPriority w:val="0"/>
    <w:pPr>
      <w:jc w:val="left"/>
    </w:pPr>
  </w:style>
  <w:style w:type="paragraph" w:styleId="17">
    <w:name w:val="Body Text"/>
    <w:basedOn w:val="1"/>
    <w:link w:val="177"/>
    <w:uiPriority w:val="0"/>
    <w:rPr>
      <w:rFonts w:ascii="Times New Roman" w:hAnsi="Times New Roman"/>
      <w:sz w:val="28"/>
      <w:szCs w:val="24"/>
    </w:rPr>
  </w:style>
  <w:style w:type="paragraph" w:styleId="18">
    <w:name w:val="Body Text Indent"/>
    <w:basedOn w:val="1"/>
    <w:uiPriority w:val="0"/>
    <w:pPr>
      <w:ind w:firstLine="1120" w:firstLineChars="400"/>
    </w:pPr>
    <w:rPr>
      <w:rFonts w:ascii="Times New Roman" w:hAnsi="Times New Roman"/>
      <w:sz w:val="28"/>
      <w:szCs w:val="24"/>
    </w:rPr>
  </w:style>
  <w:style w:type="paragraph" w:styleId="19">
    <w:name w:val="toc 5"/>
    <w:basedOn w:val="1"/>
    <w:next w:val="1"/>
    <w:unhideWhenUsed/>
    <w:uiPriority w:val="39"/>
    <w:pPr>
      <w:ind w:left="840"/>
      <w:jc w:val="left"/>
    </w:pPr>
    <w:rPr>
      <w:sz w:val="18"/>
      <w:szCs w:val="18"/>
    </w:rPr>
  </w:style>
  <w:style w:type="paragraph" w:styleId="20">
    <w:name w:val="toc 3"/>
    <w:basedOn w:val="1"/>
    <w:next w:val="1"/>
    <w:unhideWhenUsed/>
    <w:uiPriority w:val="39"/>
    <w:pPr>
      <w:tabs>
        <w:tab w:val="left" w:pos="740"/>
        <w:tab w:val="right" w:leader="dot" w:pos="9060"/>
      </w:tabs>
      <w:ind w:left="420"/>
      <w:jc w:val="left"/>
    </w:pPr>
    <w:rPr>
      <w:iCs/>
      <w:sz w:val="20"/>
      <w:szCs w:val="20"/>
    </w:rPr>
  </w:style>
  <w:style w:type="paragraph" w:styleId="21">
    <w:name w:val="Plain Text"/>
    <w:basedOn w:val="1"/>
    <w:uiPriority w:val="0"/>
    <w:rPr>
      <w:rFonts w:ascii="宋体" w:hAnsi="Courier New" w:cs="Courier New"/>
      <w:szCs w:val="21"/>
    </w:rPr>
  </w:style>
  <w:style w:type="paragraph" w:styleId="22">
    <w:name w:val="toc 8"/>
    <w:basedOn w:val="1"/>
    <w:next w:val="1"/>
    <w:unhideWhenUsed/>
    <w:uiPriority w:val="39"/>
    <w:pPr>
      <w:ind w:left="1470"/>
      <w:jc w:val="left"/>
    </w:pPr>
    <w:rPr>
      <w:sz w:val="18"/>
      <w:szCs w:val="18"/>
    </w:rPr>
  </w:style>
  <w:style w:type="paragraph" w:styleId="23">
    <w:name w:val="Date"/>
    <w:basedOn w:val="1"/>
    <w:next w:val="1"/>
    <w:uiPriority w:val="0"/>
    <w:pPr>
      <w:ind w:left="100" w:leftChars="2500"/>
    </w:pPr>
    <w:rPr>
      <w:rFonts w:ascii="Times New Roman" w:hAnsi="Times New Roman"/>
      <w:szCs w:val="24"/>
    </w:rPr>
  </w:style>
  <w:style w:type="paragraph" w:styleId="24">
    <w:name w:val="Body Text Indent 2"/>
    <w:basedOn w:val="1"/>
    <w:uiPriority w:val="0"/>
    <w:pPr>
      <w:ind w:left="206" w:hanging="206" w:hangingChars="98"/>
    </w:pPr>
    <w:rPr>
      <w:rFonts w:ascii="Times New Roman" w:hAnsi="Times New Roman"/>
      <w:szCs w:val="24"/>
    </w:rPr>
  </w:style>
  <w:style w:type="paragraph" w:styleId="25">
    <w:name w:val="endnote text"/>
    <w:basedOn w:val="1"/>
    <w:semiHidden/>
    <w:uiPriority w:val="0"/>
    <w:pPr>
      <w:snapToGrid w:val="0"/>
      <w:jc w:val="left"/>
    </w:pPr>
    <w:rPr>
      <w:rFonts w:ascii="Times New Roman" w:hAnsi="Times New Roman"/>
      <w:szCs w:val="24"/>
    </w:rPr>
  </w:style>
  <w:style w:type="paragraph" w:styleId="26">
    <w:name w:val="Balloon Text"/>
    <w:basedOn w:val="1"/>
    <w:link w:val="147"/>
    <w:unhideWhenUsed/>
    <w:uiPriority w:val="99"/>
    <w:rPr>
      <w:kern w:val="0"/>
      <w:sz w:val="18"/>
      <w:szCs w:val="18"/>
    </w:rPr>
  </w:style>
  <w:style w:type="paragraph" w:styleId="27">
    <w:name w:val="footer"/>
    <w:basedOn w:val="1"/>
    <w:link w:val="160"/>
    <w:unhideWhenUsed/>
    <w:uiPriority w:val="99"/>
    <w:pPr>
      <w:tabs>
        <w:tab w:val="center" w:pos="4153"/>
        <w:tab w:val="right" w:pos="8306"/>
      </w:tabs>
      <w:snapToGrid w:val="0"/>
      <w:jc w:val="left"/>
    </w:pPr>
    <w:rPr>
      <w:kern w:val="0"/>
      <w:sz w:val="18"/>
      <w:szCs w:val="18"/>
    </w:rPr>
  </w:style>
  <w:style w:type="paragraph" w:styleId="28">
    <w:name w:val="header"/>
    <w:basedOn w:val="1"/>
    <w:link w:val="170"/>
    <w:unhideWhenUsed/>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uiPriority w:val="39"/>
    <w:pPr>
      <w:tabs>
        <w:tab w:val="right" w:leader="dot" w:pos="9060"/>
      </w:tabs>
      <w:spacing w:line="400" w:lineRule="exact"/>
      <w:jc w:val="left"/>
    </w:pPr>
    <w:rPr>
      <w:b/>
      <w:bCs/>
      <w:caps/>
      <w:sz w:val="20"/>
      <w:szCs w:val="20"/>
    </w:rPr>
  </w:style>
  <w:style w:type="paragraph" w:styleId="30">
    <w:name w:val="toc 4"/>
    <w:basedOn w:val="1"/>
    <w:next w:val="1"/>
    <w:unhideWhenUsed/>
    <w:uiPriority w:val="39"/>
    <w:pPr>
      <w:ind w:left="630"/>
      <w:jc w:val="left"/>
    </w:pPr>
    <w:rPr>
      <w:sz w:val="18"/>
      <w:szCs w:val="18"/>
    </w:rPr>
  </w:style>
  <w:style w:type="paragraph" w:styleId="31">
    <w:name w:val="Subtitle"/>
    <w:basedOn w:val="1"/>
    <w:next w:val="1"/>
    <w:link w:val="157"/>
    <w:qFormat/>
    <w:uiPriority w:val="11"/>
    <w:pPr>
      <w:spacing w:before="240" w:after="60" w:line="312" w:lineRule="auto"/>
      <w:jc w:val="center"/>
      <w:outlineLvl w:val="1"/>
    </w:pPr>
    <w:rPr>
      <w:rFonts w:ascii="Cambria" w:hAnsi="Cambria"/>
      <w:b/>
      <w:bCs/>
      <w:kern w:val="28"/>
      <w:sz w:val="32"/>
      <w:szCs w:val="32"/>
    </w:rPr>
  </w:style>
  <w:style w:type="paragraph" w:styleId="32">
    <w:name w:val="footnote text"/>
    <w:basedOn w:val="1"/>
    <w:link w:val="155"/>
    <w:unhideWhenUsed/>
    <w:qFormat/>
    <w:uiPriority w:val="99"/>
    <w:pPr>
      <w:snapToGrid w:val="0"/>
      <w:jc w:val="left"/>
    </w:pPr>
    <w:rPr>
      <w:kern w:val="0"/>
      <w:sz w:val="18"/>
      <w:szCs w:val="18"/>
    </w:rPr>
  </w:style>
  <w:style w:type="paragraph" w:styleId="33">
    <w:name w:val="toc 6"/>
    <w:basedOn w:val="1"/>
    <w:next w:val="1"/>
    <w:unhideWhenUsed/>
    <w:uiPriority w:val="39"/>
    <w:pPr>
      <w:ind w:left="1050"/>
      <w:jc w:val="left"/>
    </w:pPr>
    <w:rPr>
      <w:sz w:val="18"/>
      <w:szCs w:val="18"/>
    </w:rPr>
  </w:style>
  <w:style w:type="paragraph" w:styleId="34">
    <w:name w:val="Body Text Indent 3"/>
    <w:basedOn w:val="1"/>
    <w:link w:val="168"/>
    <w:qFormat/>
    <w:uiPriority w:val="99"/>
    <w:pPr>
      <w:spacing w:line="420" w:lineRule="exact"/>
      <w:ind w:firstLine="420" w:firstLineChars="200"/>
    </w:pPr>
    <w:rPr>
      <w:rFonts w:ascii="Times New Roman" w:hAnsi="Times New Roman"/>
      <w:szCs w:val="24"/>
    </w:rPr>
  </w:style>
  <w:style w:type="paragraph" w:styleId="35">
    <w:name w:val="toc 2"/>
    <w:basedOn w:val="1"/>
    <w:next w:val="1"/>
    <w:unhideWhenUsed/>
    <w:uiPriority w:val="39"/>
    <w:pPr>
      <w:tabs>
        <w:tab w:val="right" w:leader="dot" w:pos="9344"/>
      </w:tabs>
      <w:ind w:left="210"/>
      <w:jc w:val="left"/>
    </w:pPr>
    <w:rPr>
      <w:rFonts w:ascii="Times New Roman" w:hAnsi="Times New Roman"/>
      <w:b/>
      <w:bCs/>
      <w:smallCaps/>
      <w:sz w:val="20"/>
      <w:szCs w:val="20"/>
      <w:lang/>
    </w:rPr>
  </w:style>
  <w:style w:type="paragraph" w:styleId="36">
    <w:name w:val="toc 9"/>
    <w:basedOn w:val="1"/>
    <w:next w:val="1"/>
    <w:unhideWhenUsed/>
    <w:uiPriority w:val="39"/>
    <w:pPr>
      <w:ind w:left="1680"/>
      <w:jc w:val="left"/>
    </w:pPr>
    <w:rPr>
      <w:sz w:val="18"/>
      <w:szCs w:val="18"/>
    </w:rPr>
  </w:style>
  <w:style w:type="paragraph" w:styleId="37">
    <w:name w:val="Body Text 2"/>
    <w:basedOn w:val="1"/>
    <w:uiPriority w:val="0"/>
    <w:pPr>
      <w:spacing w:after="120" w:line="480" w:lineRule="auto"/>
    </w:pPr>
    <w:rPr>
      <w:rFonts w:ascii="Times New Roman" w:hAnsi="Times New Roman"/>
      <w:szCs w:val="24"/>
    </w:rPr>
  </w:style>
  <w:style w:type="paragraph" w:styleId="38">
    <w:name w:val="Normal (Web)"/>
    <w:basedOn w:val="1"/>
    <w:uiPriority w:val="0"/>
    <w:pPr>
      <w:widowControl/>
      <w:spacing w:before="100" w:beforeAutospacing="1" w:after="100" w:afterAutospacing="1"/>
      <w:jc w:val="left"/>
    </w:pPr>
    <w:rPr>
      <w:rFonts w:ascii="宋体" w:hAnsi="宋体"/>
      <w:kern w:val="0"/>
      <w:sz w:val="24"/>
      <w:szCs w:val="24"/>
    </w:rPr>
  </w:style>
  <w:style w:type="paragraph" w:styleId="39">
    <w:name w:val="index 1"/>
    <w:basedOn w:val="1"/>
    <w:next w:val="1"/>
    <w:semiHidden/>
    <w:uiPriority w:val="0"/>
    <w:rPr>
      <w:rFonts w:ascii="Times New Roman" w:hAnsi="Times New Roman"/>
      <w:szCs w:val="24"/>
    </w:rPr>
  </w:style>
  <w:style w:type="paragraph" w:styleId="40">
    <w:name w:val="Title"/>
    <w:basedOn w:val="1"/>
    <w:qFormat/>
    <w:uiPriority w:val="0"/>
    <w:pPr>
      <w:widowControl/>
      <w:spacing w:before="240" w:after="60"/>
      <w:jc w:val="center"/>
      <w:outlineLvl w:val="0"/>
    </w:pPr>
    <w:rPr>
      <w:rFonts w:ascii="Arial" w:hAnsi="Arial" w:cs="Arial"/>
      <w:b/>
      <w:bCs/>
      <w:kern w:val="0"/>
      <w:sz w:val="44"/>
      <w:szCs w:val="32"/>
    </w:rPr>
  </w:style>
  <w:style w:type="paragraph" w:styleId="41">
    <w:name w:val="annotation subject"/>
    <w:basedOn w:val="16"/>
    <w:next w:val="16"/>
    <w:semiHidden/>
    <w:uiPriority w:val="0"/>
    <w:rPr>
      <w:b/>
      <w:bCs/>
    </w:rPr>
  </w:style>
  <w:style w:type="paragraph" w:styleId="42">
    <w:name w:val="Body Text First Indent"/>
    <w:basedOn w:val="17"/>
    <w:link w:val="151"/>
    <w:unhideWhenUsed/>
    <w:uiPriority w:val="99"/>
    <w:pPr>
      <w:spacing w:after="120"/>
      <w:ind w:firstLine="420" w:firstLineChars="100"/>
    </w:pPr>
    <w:rPr>
      <w:sz w:val="21"/>
      <w:szCs w:val="22"/>
    </w:rPr>
  </w:style>
  <w:style w:type="table" w:styleId="44">
    <w:name w:val="Table Grid"/>
    <w:basedOn w:val="43"/>
    <w:qFormat/>
    <w:uiPriority w:val="59"/>
    <w:pPr>
      <w:widowControl w:val="0"/>
      <w:jc w:val="both"/>
    </w:pPr>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page number"/>
    <w:basedOn w:val="45"/>
    <w:uiPriority w:val="0"/>
  </w:style>
  <w:style w:type="character" w:styleId="47">
    <w:name w:val="FollowedHyperlink"/>
    <w:unhideWhenUsed/>
    <w:uiPriority w:val="99"/>
    <w:rPr>
      <w:color w:val="800080"/>
      <w:u w:val="single"/>
    </w:rPr>
  </w:style>
  <w:style w:type="character" w:styleId="48">
    <w:name w:val="Hyperlink"/>
    <w:unhideWhenUsed/>
    <w:uiPriority w:val="99"/>
    <w:rPr>
      <w:color w:val="0000FF"/>
      <w:u w:val="single"/>
    </w:rPr>
  </w:style>
  <w:style w:type="character" w:styleId="49">
    <w:name w:val="annotation reference"/>
    <w:semiHidden/>
    <w:uiPriority w:val="0"/>
    <w:rPr>
      <w:sz w:val="21"/>
      <w:szCs w:val="21"/>
    </w:rPr>
  </w:style>
  <w:style w:type="character" w:styleId="50">
    <w:name w:val="footnote reference"/>
    <w:qFormat/>
    <w:uiPriority w:val="0"/>
    <w:rPr>
      <w:vertAlign w:val="superscript"/>
    </w:rPr>
  </w:style>
  <w:style w:type="paragraph" w:customStyle="1" w:styleId="51">
    <w:name w:val=" Char Char Char Char Char Char Char Char Char Char Char Char Char"/>
    <w:basedOn w:val="1"/>
    <w:uiPriority w:val="0"/>
    <w:pPr>
      <w:spacing w:line="360" w:lineRule="auto"/>
      <w:ind w:firstLine="200" w:firstLineChars="200"/>
    </w:pPr>
    <w:rPr>
      <w:rFonts w:ascii="宋体" w:hAnsi="宋体" w:cs="宋体"/>
      <w:sz w:val="24"/>
      <w:szCs w:val="24"/>
    </w:rPr>
  </w:style>
  <w:style w:type="paragraph" w:customStyle="1" w:styleId="52">
    <w:name w:val="CM105"/>
    <w:basedOn w:val="53"/>
    <w:next w:val="53"/>
    <w:uiPriority w:val="99"/>
    <w:rPr>
      <w:rFonts w:cs="Times New Roman"/>
      <w:color w:val="auto"/>
    </w:rPr>
  </w:style>
  <w:style w:type="paragraph" w:customStyle="1" w:styleId="53">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54">
    <w:name w:val="List Paragraph"/>
    <w:basedOn w:val="1"/>
    <w:uiPriority w:val="0"/>
    <w:pPr>
      <w:ind w:firstLine="420" w:firstLineChars="200"/>
    </w:pPr>
  </w:style>
  <w:style w:type="paragraph" w:customStyle="1" w:styleId="55">
    <w:name w:val="CM12"/>
    <w:basedOn w:val="53"/>
    <w:next w:val="53"/>
    <w:uiPriority w:val="99"/>
    <w:pPr>
      <w:spacing w:line="313" w:lineRule="atLeast"/>
    </w:pPr>
    <w:rPr>
      <w:rFonts w:cs="Times New Roman"/>
      <w:color w:val="auto"/>
    </w:rPr>
  </w:style>
  <w:style w:type="paragraph" w:customStyle="1" w:styleId="56">
    <w:name w:val="CM19"/>
    <w:basedOn w:val="53"/>
    <w:next w:val="53"/>
    <w:uiPriority w:val="99"/>
    <w:pPr>
      <w:spacing w:line="440" w:lineRule="atLeast"/>
    </w:pPr>
    <w:rPr>
      <w:rFonts w:cs="Times New Roman"/>
      <w:color w:val="auto"/>
    </w:rPr>
  </w:style>
  <w:style w:type="paragraph" w:customStyle="1" w:styleId="57">
    <w:name w:val="CM45"/>
    <w:basedOn w:val="53"/>
    <w:next w:val="53"/>
    <w:uiPriority w:val="99"/>
    <w:rPr>
      <w:rFonts w:cs="Times New Roman"/>
      <w:color w:val="auto"/>
    </w:rPr>
  </w:style>
  <w:style w:type="paragraph" w:customStyle="1" w:styleId="58">
    <w:name w:val="CM110"/>
    <w:basedOn w:val="53"/>
    <w:next w:val="53"/>
    <w:uiPriority w:val="99"/>
    <w:rPr>
      <w:rFonts w:cs="Times New Roman"/>
      <w:color w:val="auto"/>
    </w:rPr>
  </w:style>
  <w:style w:type="paragraph" w:customStyle="1" w:styleId="59">
    <w:name w:val="CM34"/>
    <w:basedOn w:val="53"/>
    <w:next w:val="53"/>
    <w:uiPriority w:val="99"/>
    <w:rPr>
      <w:rFonts w:cs="Times New Roman"/>
      <w:color w:val="auto"/>
    </w:rPr>
  </w:style>
  <w:style w:type="paragraph" w:customStyle="1" w:styleId="60">
    <w:name w:val="CM10"/>
    <w:basedOn w:val="53"/>
    <w:next w:val="53"/>
    <w:uiPriority w:val="99"/>
    <w:rPr>
      <w:rFonts w:cs="Times New Roman"/>
      <w:color w:val="auto"/>
    </w:rPr>
  </w:style>
  <w:style w:type="paragraph" w:customStyle="1" w:styleId="61">
    <w:name w:val="CM17"/>
    <w:basedOn w:val="53"/>
    <w:next w:val="53"/>
    <w:uiPriority w:val="99"/>
    <w:pPr>
      <w:spacing w:line="440" w:lineRule="atLeast"/>
    </w:pPr>
    <w:rPr>
      <w:rFonts w:cs="Times New Roman"/>
      <w:color w:val="auto"/>
    </w:rPr>
  </w:style>
  <w:style w:type="paragraph" w:customStyle="1" w:styleId="62">
    <w:name w:val="CM43"/>
    <w:basedOn w:val="53"/>
    <w:next w:val="53"/>
    <w:uiPriority w:val="99"/>
    <w:pPr>
      <w:spacing w:line="440" w:lineRule="atLeast"/>
    </w:pPr>
    <w:rPr>
      <w:rFonts w:cs="Times New Roman"/>
      <w:color w:val="auto"/>
    </w:rPr>
  </w:style>
  <w:style w:type="paragraph" w:customStyle="1" w:styleId="63">
    <w:name w:val=" Char Char Char Char Char Char Char Char Char Char"/>
    <w:basedOn w:val="1"/>
    <w:uiPriority w:val="0"/>
    <w:pPr>
      <w:spacing w:line="360" w:lineRule="auto"/>
      <w:ind w:firstLine="200" w:firstLineChars="200"/>
    </w:pPr>
    <w:rPr>
      <w:rFonts w:ascii="宋体" w:hAnsi="宋体" w:cs="宋体"/>
      <w:sz w:val="24"/>
      <w:szCs w:val="24"/>
    </w:rPr>
  </w:style>
  <w:style w:type="paragraph" w:customStyle="1" w:styleId="64">
    <w:name w:val="xl25"/>
    <w:basedOn w:val="1"/>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65">
    <w:name w:val="CM54"/>
    <w:basedOn w:val="53"/>
    <w:next w:val="53"/>
    <w:uiPriority w:val="99"/>
    <w:rPr>
      <w:rFonts w:cs="Times New Roman"/>
      <w:color w:val="auto"/>
    </w:rPr>
  </w:style>
  <w:style w:type="paragraph" w:customStyle="1" w:styleId="66">
    <w:name w:val="CM35"/>
    <w:basedOn w:val="53"/>
    <w:next w:val="53"/>
    <w:uiPriority w:val="99"/>
    <w:pPr>
      <w:spacing w:line="400" w:lineRule="atLeast"/>
    </w:pPr>
    <w:rPr>
      <w:rFonts w:cs="Times New Roman"/>
      <w:color w:val="auto"/>
    </w:rPr>
  </w:style>
  <w:style w:type="paragraph" w:customStyle="1" w:styleId="67">
    <w:name w:val="CM84"/>
    <w:basedOn w:val="53"/>
    <w:next w:val="53"/>
    <w:uiPriority w:val="99"/>
    <w:pPr>
      <w:spacing w:line="400" w:lineRule="atLeast"/>
    </w:pPr>
    <w:rPr>
      <w:rFonts w:cs="Times New Roman"/>
      <w:color w:val="auto"/>
    </w:rPr>
  </w:style>
  <w:style w:type="paragraph" w:customStyle="1" w:styleId="68">
    <w:name w:val="正文文本 (2)"/>
    <w:basedOn w:val="1"/>
    <w:link w:val="169"/>
    <w:qFormat/>
    <w:uiPriority w:val="0"/>
    <w:pPr>
      <w:shd w:val="clear" w:color="auto" w:fill="FFFFFF"/>
      <w:spacing w:before="300" w:line="439" w:lineRule="exact"/>
      <w:jc w:val="distribute"/>
    </w:pPr>
    <w:rPr>
      <w:rFonts w:ascii="宋体" w:hAnsi="宋体"/>
      <w:kern w:val="0"/>
      <w:sz w:val="22"/>
    </w:rPr>
  </w:style>
  <w:style w:type="paragraph" w:customStyle="1" w:styleId="69">
    <w:name w:val="Char Char Char Char"/>
    <w:basedOn w:val="1"/>
    <w:uiPriority w:val="0"/>
    <w:pPr>
      <w:spacing w:line="360" w:lineRule="auto"/>
      <w:ind w:firstLine="200" w:firstLineChars="200"/>
    </w:pPr>
    <w:rPr>
      <w:rFonts w:ascii="宋体" w:hAnsi="宋体" w:cs="宋体"/>
      <w:sz w:val="24"/>
      <w:szCs w:val="24"/>
    </w:rPr>
  </w:style>
  <w:style w:type="paragraph" w:customStyle="1" w:styleId="70">
    <w:name w:val="CM70"/>
    <w:basedOn w:val="53"/>
    <w:next w:val="53"/>
    <w:uiPriority w:val="99"/>
    <w:pPr>
      <w:spacing w:line="400" w:lineRule="atLeast"/>
    </w:pPr>
    <w:rPr>
      <w:rFonts w:cs="Times New Roman"/>
      <w:color w:val="auto"/>
    </w:rPr>
  </w:style>
  <w:style w:type="paragraph" w:customStyle="1" w:styleId="71">
    <w:name w:val="CM52"/>
    <w:basedOn w:val="53"/>
    <w:next w:val="53"/>
    <w:uiPriority w:val="99"/>
    <w:pPr>
      <w:spacing w:line="400" w:lineRule="atLeast"/>
    </w:pPr>
    <w:rPr>
      <w:rFonts w:cs="Times New Roman"/>
      <w:color w:val="auto"/>
    </w:rPr>
  </w:style>
  <w:style w:type="paragraph" w:customStyle="1" w:styleId="72">
    <w:name w:val="CM104"/>
    <w:basedOn w:val="53"/>
    <w:next w:val="53"/>
    <w:uiPriority w:val="99"/>
    <w:rPr>
      <w:rFonts w:cs="Times New Roman"/>
      <w:color w:val="auto"/>
    </w:rPr>
  </w:style>
  <w:style w:type="paragraph" w:customStyle="1" w:styleId="73">
    <w:name w:val="CM57"/>
    <w:basedOn w:val="53"/>
    <w:next w:val="53"/>
    <w:uiPriority w:val="99"/>
    <w:pPr>
      <w:spacing w:line="400" w:lineRule="atLeast"/>
    </w:pPr>
    <w:rPr>
      <w:rFonts w:cs="Times New Roman"/>
      <w:color w:val="auto"/>
    </w:rPr>
  </w:style>
  <w:style w:type="paragraph" w:customStyle="1" w:styleId="74">
    <w:name w:val="CM6"/>
    <w:basedOn w:val="53"/>
    <w:next w:val="53"/>
    <w:uiPriority w:val="99"/>
    <w:pPr>
      <w:spacing w:line="318" w:lineRule="atLeast"/>
    </w:pPr>
    <w:rPr>
      <w:rFonts w:cs="Times New Roman"/>
      <w:color w:val="auto"/>
    </w:rPr>
  </w:style>
  <w:style w:type="paragraph" w:customStyle="1" w:styleId="75">
    <w:name w:val="Char Char"/>
    <w:basedOn w:val="1"/>
    <w:uiPriority w:val="0"/>
    <w:rPr>
      <w:rFonts w:ascii="Tahoma" w:hAnsi="Tahoma"/>
      <w:sz w:val="24"/>
      <w:szCs w:val="20"/>
    </w:rPr>
  </w:style>
  <w:style w:type="paragraph" w:customStyle="1" w:styleId="76">
    <w:name w:val="CM55"/>
    <w:basedOn w:val="53"/>
    <w:next w:val="53"/>
    <w:uiPriority w:val="0"/>
    <w:pPr>
      <w:spacing w:line="400" w:lineRule="atLeast"/>
    </w:pPr>
    <w:rPr>
      <w:rFonts w:cs="Times New Roman"/>
      <w:color w:val="auto"/>
    </w:rPr>
  </w:style>
  <w:style w:type="paragraph" w:customStyle="1" w:styleId="77">
    <w:name w:val="CM97"/>
    <w:basedOn w:val="53"/>
    <w:next w:val="53"/>
    <w:uiPriority w:val="99"/>
    <w:rPr>
      <w:rFonts w:cs="Times New Roman"/>
      <w:color w:val="auto"/>
    </w:rPr>
  </w:style>
  <w:style w:type="paragraph" w:customStyle="1" w:styleId="78">
    <w:name w:val="CM40"/>
    <w:basedOn w:val="53"/>
    <w:next w:val="53"/>
    <w:uiPriority w:val="99"/>
    <w:pPr>
      <w:spacing w:line="400" w:lineRule="atLeast"/>
    </w:pPr>
    <w:rPr>
      <w:rFonts w:cs="Times New Roman"/>
      <w:color w:val="auto"/>
    </w:rPr>
  </w:style>
  <w:style w:type="paragraph" w:customStyle="1" w:styleId="79">
    <w:name w:val="CM87"/>
    <w:basedOn w:val="53"/>
    <w:next w:val="53"/>
    <w:uiPriority w:val="99"/>
    <w:pPr>
      <w:spacing w:line="440" w:lineRule="atLeast"/>
    </w:pPr>
    <w:rPr>
      <w:rFonts w:cs="Times New Roman"/>
      <w:color w:val="auto"/>
    </w:rPr>
  </w:style>
  <w:style w:type="paragraph" w:customStyle="1" w:styleId="80">
    <w:name w:val="样式 标题 2 + Times New Roman 四号 非加粗 段前: 5 磅 段后: 0 磅 行距: 固定值 20..."/>
    <w:basedOn w:val="4"/>
    <w:uiPriority w:val="0"/>
    <w:pPr>
      <w:spacing w:before="100" w:after="0" w:line="400" w:lineRule="exact"/>
    </w:pPr>
    <w:rPr>
      <w:rFonts w:ascii="Times New Roman" w:hAnsi="Times New Roman" w:eastAsia="黑体" w:cs="宋体"/>
      <w:b w:val="0"/>
      <w:bCs w:val="0"/>
      <w:sz w:val="28"/>
      <w:szCs w:val="20"/>
    </w:rPr>
  </w:style>
  <w:style w:type="paragraph" w:customStyle="1" w:styleId="81">
    <w:name w:val=" Char Char Char Char Char Char Char"/>
    <w:basedOn w:val="14"/>
    <w:uiPriority w:val="0"/>
    <w:rPr>
      <w:rFonts w:ascii="Tahoma" w:hAnsi="Tahoma"/>
      <w:sz w:val="24"/>
    </w:rPr>
  </w:style>
  <w:style w:type="paragraph" w:customStyle="1" w:styleId="82">
    <w:name w:val="CM98"/>
    <w:basedOn w:val="53"/>
    <w:next w:val="53"/>
    <w:uiPriority w:val="99"/>
    <w:rPr>
      <w:rFonts w:cs="Times New Roman"/>
      <w:color w:val="auto"/>
    </w:rPr>
  </w:style>
  <w:style w:type="paragraph" w:customStyle="1" w:styleId="83">
    <w:name w:val="CM22"/>
    <w:basedOn w:val="53"/>
    <w:next w:val="53"/>
    <w:uiPriority w:val="99"/>
    <w:rPr>
      <w:rFonts w:cs="Times New Roman"/>
      <w:color w:val="auto"/>
    </w:rPr>
  </w:style>
  <w:style w:type="paragraph" w:customStyle="1" w:styleId="84">
    <w:name w:val="CM107"/>
    <w:basedOn w:val="53"/>
    <w:next w:val="53"/>
    <w:uiPriority w:val="99"/>
    <w:rPr>
      <w:rFonts w:cs="Times New Roman"/>
      <w:color w:val="auto"/>
    </w:rPr>
  </w:style>
  <w:style w:type="paragraph" w:customStyle="1" w:styleId="85">
    <w:name w:val="CM26"/>
    <w:basedOn w:val="53"/>
    <w:next w:val="53"/>
    <w:uiPriority w:val="99"/>
    <w:pPr>
      <w:spacing w:line="400" w:lineRule="atLeast"/>
    </w:pPr>
    <w:rPr>
      <w:rFonts w:cs="Times New Roman"/>
      <w:color w:val="auto"/>
    </w:rPr>
  </w:style>
  <w:style w:type="paragraph" w:customStyle="1" w:styleId="86">
    <w:name w:val=" Char"/>
    <w:basedOn w:val="1"/>
    <w:uiPriority w:val="0"/>
    <w:pPr>
      <w:spacing w:line="360" w:lineRule="auto"/>
      <w:ind w:firstLine="200" w:firstLineChars="200"/>
    </w:pPr>
    <w:rPr>
      <w:rFonts w:ascii="宋体" w:hAnsi="宋体" w:cs="宋体"/>
      <w:sz w:val="24"/>
      <w:szCs w:val="24"/>
    </w:rPr>
  </w:style>
  <w:style w:type="paragraph" w:customStyle="1" w:styleId="87">
    <w:name w:val="CM2"/>
    <w:basedOn w:val="53"/>
    <w:next w:val="53"/>
    <w:uiPriority w:val="99"/>
    <w:pPr>
      <w:spacing w:line="500" w:lineRule="atLeast"/>
    </w:pPr>
    <w:rPr>
      <w:rFonts w:cs="Times New Roman"/>
      <w:color w:val="auto"/>
    </w:rPr>
  </w:style>
  <w:style w:type="paragraph" w:customStyle="1" w:styleId="88">
    <w:name w:val="CM88"/>
    <w:basedOn w:val="53"/>
    <w:next w:val="53"/>
    <w:uiPriority w:val="99"/>
    <w:pPr>
      <w:spacing w:line="440" w:lineRule="atLeast"/>
    </w:pPr>
    <w:rPr>
      <w:rFonts w:cs="Times New Roman"/>
      <w:color w:val="auto"/>
    </w:rPr>
  </w:style>
  <w:style w:type="paragraph" w:customStyle="1" w:styleId="89">
    <w:name w:val="CM24"/>
    <w:basedOn w:val="53"/>
    <w:next w:val="53"/>
    <w:uiPriority w:val="99"/>
    <w:pPr>
      <w:spacing w:line="400" w:lineRule="atLeast"/>
    </w:pPr>
    <w:rPr>
      <w:rFonts w:cs="Times New Roman"/>
      <w:color w:val="auto"/>
    </w:rPr>
  </w:style>
  <w:style w:type="paragraph" w:customStyle="1" w:styleId="90">
    <w:name w:val="CM60"/>
    <w:basedOn w:val="53"/>
    <w:next w:val="53"/>
    <w:uiPriority w:val="99"/>
    <w:pPr>
      <w:spacing w:line="400" w:lineRule="atLeast"/>
    </w:pPr>
    <w:rPr>
      <w:rFonts w:cs="Times New Roman"/>
      <w:color w:val="auto"/>
    </w:rPr>
  </w:style>
  <w:style w:type="paragraph" w:customStyle="1" w:styleId="91">
    <w:name w:val="正文文本 (7)"/>
    <w:basedOn w:val="1"/>
    <w:link w:val="150"/>
    <w:uiPriority w:val="0"/>
    <w:pPr>
      <w:shd w:val="clear" w:color="auto" w:fill="FFFFFF"/>
      <w:spacing w:before="120" w:after="300" w:line="0" w:lineRule="atLeast"/>
      <w:jc w:val="center"/>
    </w:pPr>
    <w:rPr>
      <w:rFonts w:ascii="宋体" w:hAnsi="宋体"/>
      <w:spacing w:val="10"/>
      <w:kern w:val="0"/>
      <w:sz w:val="22"/>
    </w:rPr>
  </w:style>
  <w:style w:type="paragraph" w:customStyle="1" w:styleId="92">
    <w:name w:val="CM99"/>
    <w:basedOn w:val="53"/>
    <w:next w:val="53"/>
    <w:uiPriority w:val="99"/>
    <w:rPr>
      <w:rFonts w:cs="Times New Roman"/>
      <w:color w:val="auto"/>
    </w:rPr>
  </w:style>
  <w:style w:type="paragraph" w:customStyle="1" w:styleId="93">
    <w:name w:val="CM7"/>
    <w:basedOn w:val="53"/>
    <w:next w:val="53"/>
    <w:uiPriority w:val="99"/>
    <w:pPr>
      <w:spacing w:line="318" w:lineRule="atLeast"/>
    </w:pPr>
    <w:rPr>
      <w:rFonts w:cs="Times New Roman"/>
      <w:color w:val="auto"/>
    </w:rPr>
  </w:style>
  <w:style w:type="paragraph" w:styleId="94">
    <w:name w:val="List Paragraph"/>
    <w:basedOn w:val="1"/>
    <w:qFormat/>
    <w:uiPriority w:val="1"/>
    <w:pPr>
      <w:ind w:firstLine="420" w:firstLineChars="200"/>
    </w:pPr>
  </w:style>
  <w:style w:type="paragraph" w:customStyle="1" w:styleId="95">
    <w:name w:val="CM28"/>
    <w:basedOn w:val="53"/>
    <w:next w:val="53"/>
    <w:uiPriority w:val="99"/>
    <w:pPr>
      <w:spacing w:line="398" w:lineRule="atLeast"/>
    </w:pPr>
    <w:rPr>
      <w:rFonts w:cs="Times New Roman"/>
      <w:color w:val="auto"/>
    </w:rPr>
  </w:style>
  <w:style w:type="paragraph" w:customStyle="1" w:styleId="96">
    <w:name w:val="CM94"/>
    <w:basedOn w:val="53"/>
    <w:next w:val="53"/>
    <w:uiPriority w:val="99"/>
    <w:pPr>
      <w:spacing w:line="440" w:lineRule="atLeast"/>
    </w:pPr>
    <w:rPr>
      <w:rFonts w:cs="Times New Roman"/>
      <w:color w:val="auto"/>
    </w:rPr>
  </w:style>
  <w:style w:type="paragraph" w:customStyle="1" w:styleId="97">
    <w:name w:val="CM102"/>
    <w:basedOn w:val="53"/>
    <w:next w:val="53"/>
    <w:uiPriority w:val="99"/>
    <w:rPr>
      <w:rFonts w:cs="Times New Roman"/>
      <w:color w:val="auto"/>
    </w:rPr>
  </w:style>
  <w:style w:type="paragraph" w:customStyle="1" w:styleId="98">
    <w:name w:val="CM11"/>
    <w:basedOn w:val="53"/>
    <w:next w:val="53"/>
    <w:uiPriority w:val="99"/>
    <w:pPr>
      <w:spacing w:line="313" w:lineRule="atLeast"/>
    </w:pPr>
    <w:rPr>
      <w:rFonts w:cs="Times New Roman"/>
      <w:color w:val="auto"/>
    </w:rPr>
  </w:style>
  <w:style w:type="paragraph" w:customStyle="1" w:styleId="99">
    <w:name w:val="MSG_EN_FONT_STYLE_NAME_TEMPLATE_ROLE_NUMBER MSG_EN_FONT_STYLE_NAME_BY_ROLE_TEXT 131"/>
    <w:basedOn w:val="1"/>
    <w:link w:val="158"/>
    <w:qFormat/>
    <w:uiPriority w:val="0"/>
    <w:pPr>
      <w:shd w:val="clear" w:color="auto" w:fill="FFFFFF"/>
      <w:spacing w:before="340" w:after="160" w:line="398" w:lineRule="exact"/>
      <w:jc w:val="distribute"/>
    </w:pPr>
    <w:rPr>
      <w:rFonts w:ascii="PMingLiU" w:hAnsi="PMingLiU" w:eastAsia="PMingLiU"/>
      <w:kern w:val="0"/>
      <w:sz w:val="20"/>
      <w:szCs w:val="20"/>
    </w:rPr>
  </w:style>
  <w:style w:type="paragraph" w:customStyle="1" w:styleId="100">
    <w:name w:val="CM108"/>
    <w:basedOn w:val="53"/>
    <w:next w:val="53"/>
    <w:uiPriority w:val="99"/>
    <w:rPr>
      <w:rFonts w:cs="Times New Roman"/>
      <w:color w:val="auto"/>
    </w:rPr>
  </w:style>
  <w:style w:type="paragraph" w:customStyle="1" w:styleId="101">
    <w:name w:val="CM1"/>
    <w:basedOn w:val="53"/>
    <w:next w:val="53"/>
    <w:uiPriority w:val="99"/>
    <w:rPr>
      <w:rFonts w:cs="Times New Roman"/>
      <w:color w:val="auto"/>
    </w:rPr>
  </w:style>
  <w:style w:type="paragraph" w:customStyle="1" w:styleId="102">
    <w:name w:val="CM48"/>
    <w:basedOn w:val="53"/>
    <w:next w:val="53"/>
    <w:uiPriority w:val="99"/>
    <w:pPr>
      <w:spacing w:line="440" w:lineRule="atLeast"/>
    </w:pPr>
    <w:rPr>
      <w:rFonts w:cs="Times New Roman"/>
      <w:color w:val="auto"/>
    </w:rPr>
  </w:style>
  <w:style w:type="paragraph" w:customStyle="1" w:styleId="103">
    <w:name w:val="Char Char7 Char Char Char Char Char Char"/>
    <w:basedOn w:val="1"/>
    <w:uiPriority w:val="0"/>
    <w:pPr>
      <w:adjustRightInd w:val="0"/>
      <w:spacing w:line="312" w:lineRule="atLeast"/>
      <w:textAlignment w:val="baseline"/>
    </w:pPr>
    <w:rPr>
      <w:rFonts w:ascii="Times New Roman" w:hAnsi="Times New Roman"/>
      <w:b/>
      <w:bCs/>
      <w:kern w:val="0"/>
      <w:sz w:val="36"/>
      <w:szCs w:val="36"/>
    </w:rPr>
  </w:style>
  <w:style w:type="paragraph" w:customStyle="1" w:styleId="104">
    <w:name w:val="CM47"/>
    <w:basedOn w:val="53"/>
    <w:next w:val="53"/>
    <w:uiPriority w:val="99"/>
    <w:pPr>
      <w:spacing w:line="540" w:lineRule="atLeast"/>
    </w:pPr>
    <w:rPr>
      <w:rFonts w:cs="Times New Roman"/>
      <w:color w:val="auto"/>
    </w:rPr>
  </w:style>
  <w:style w:type="paragraph" w:customStyle="1" w:styleId="105">
    <w:name w:val="CM112"/>
    <w:basedOn w:val="53"/>
    <w:next w:val="53"/>
    <w:uiPriority w:val="99"/>
    <w:rPr>
      <w:rFonts w:cs="Times New Roman"/>
      <w:color w:val="auto"/>
    </w:rPr>
  </w:style>
  <w:style w:type="paragraph" w:styleId="106">
    <w:name w:val=""/>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07">
    <w:name w:val="CM71"/>
    <w:basedOn w:val="53"/>
    <w:next w:val="53"/>
    <w:uiPriority w:val="99"/>
    <w:rPr>
      <w:rFonts w:cs="Times New Roman"/>
      <w:color w:val="auto"/>
    </w:rPr>
  </w:style>
  <w:style w:type="paragraph" w:customStyle="1" w:styleId="108">
    <w:name w:val="CM101"/>
    <w:basedOn w:val="53"/>
    <w:next w:val="53"/>
    <w:uiPriority w:val="99"/>
    <w:rPr>
      <w:rFonts w:cs="Times New Roman"/>
      <w:color w:val="auto"/>
    </w:rPr>
  </w:style>
  <w:style w:type="paragraph" w:customStyle="1" w:styleId="109">
    <w:name w:val="CM18"/>
    <w:basedOn w:val="53"/>
    <w:next w:val="53"/>
    <w:uiPriority w:val="99"/>
    <w:pPr>
      <w:spacing w:line="440" w:lineRule="atLeast"/>
    </w:pPr>
    <w:rPr>
      <w:rFonts w:cs="Times New Roman"/>
      <w:color w:val="auto"/>
    </w:rPr>
  </w:style>
  <w:style w:type="paragraph" w:customStyle="1" w:styleId="110">
    <w:name w:val="CM3"/>
    <w:basedOn w:val="53"/>
    <w:next w:val="53"/>
    <w:uiPriority w:val="99"/>
    <w:pPr>
      <w:spacing w:line="500" w:lineRule="atLeast"/>
    </w:pPr>
    <w:rPr>
      <w:rFonts w:cs="Times New Roman"/>
      <w:color w:val="auto"/>
    </w:rPr>
  </w:style>
  <w:style w:type="paragraph" w:customStyle="1" w:styleId="111">
    <w:name w:val="CM74"/>
    <w:basedOn w:val="53"/>
    <w:next w:val="53"/>
    <w:uiPriority w:val="99"/>
    <w:pPr>
      <w:spacing w:line="400" w:lineRule="atLeast"/>
    </w:pPr>
    <w:rPr>
      <w:rFonts w:cs="Times New Roman"/>
      <w:color w:val="auto"/>
    </w:rPr>
  </w:style>
  <w:style w:type="paragraph" w:customStyle="1" w:styleId="112">
    <w:name w:val="Table Paragraph"/>
    <w:basedOn w:val="1"/>
    <w:qFormat/>
    <w:uiPriority w:val="1"/>
    <w:pPr>
      <w:jc w:val="left"/>
    </w:pPr>
    <w:rPr>
      <w:rFonts w:ascii="Calibri" w:hAnsi="Calibri" w:eastAsia="宋体" w:cs="Times New Roman"/>
      <w:kern w:val="0"/>
      <w:sz w:val="22"/>
      <w:lang w:eastAsia="en-US"/>
    </w:rPr>
  </w:style>
  <w:style w:type="paragraph" w:customStyle="1" w:styleId="113">
    <w:name w:val="样式3"/>
    <w:basedOn w:val="1"/>
    <w:qFormat/>
    <w:uiPriority w:val="0"/>
    <w:pPr>
      <w:keepNext/>
      <w:keepLines/>
      <w:spacing w:line="400" w:lineRule="exact"/>
      <w:outlineLvl w:val="0"/>
    </w:pPr>
    <w:rPr>
      <w:rFonts w:ascii="Times New Roman" w:hAnsi="Times New Roman"/>
      <w:b/>
      <w:bCs/>
      <w:kern w:val="44"/>
      <w:sz w:val="28"/>
      <w:szCs w:val="44"/>
    </w:rPr>
  </w:style>
  <w:style w:type="paragraph" w:customStyle="1" w:styleId="114">
    <w:name w:val="CM78"/>
    <w:basedOn w:val="53"/>
    <w:next w:val="53"/>
    <w:uiPriority w:val="99"/>
    <w:rPr>
      <w:rFonts w:cs="Times New Roman"/>
      <w:color w:val="auto"/>
    </w:rPr>
  </w:style>
  <w:style w:type="paragraph" w:customStyle="1" w:styleId="115">
    <w:name w:val="CM100"/>
    <w:basedOn w:val="53"/>
    <w:next w:val="53"/>
    <w:uiPriority w:val="99"/>
    <w:rPr>
      <w:rFonts w:cs="Times New Roman"/>
      <w:color w:val="auto"/>
    </w:rPr>
  </w:style>
  <w:style w:type="paragraph" w:customStyle="1" w:styleId="116">
    <w:name w:val="列出段落1"/>
    <w:basedOn w:val="1"/>
    <w:qFormat/>
    <w:uiPriority w:val="34"/>
    <w:pPr>
      <w:ind w:firstLine="420" w:firstLineChars="200"/>
    </w:pPr>
    <w:rPr>
      <w:rFonts w:ascii="等线" w:hAnsi="等线" w:eastAsia="等线" w:cs="Times New Roman"/>
    </w:rPr>
  </w:style>
  <w:style w:type="paragraph" w:customStyle="1" w:styleId="117">
    <w:name w:val="CM49"/>
    <w:basedOn w:val="53"/>
    <w:next w:val="53"/>
    <w:uiPriority w:val="99"/>
    <w:pPr>
      <w:spacing w:line="1020" w:lineRule="atLeast"/>
    </w:pPr>
    <w:rPr>
      <w:rFonts w:cs="Times New Roman"/>
      <w:color w:val="auto"/>
    </w:rPr>
  </w:style>
  <w:style w:type="paragraph" w:customStyle="1" w:styleId="118">
    <w:name w:val="CM9"/>
    <w:basedOn w:val="53"/>
    <w:next w:val="53"/>
    <w:uiPriority w:val="99"/>
    <w:rPr>
      <w:rFonts w:cs="Times New Roman"/>
      <w:color w:val="auto"/>
    </w:rPr>
  </w:style>
  <w:style w:type="paragraph" w:customStyle="1" w:styleId="119">
    <w:name w:val="CM5"/>
    <w:basedOn w:val="53"/>
    <w:next w:val="53"/>
    <w:uiPriority w:val="99"/>
    <w:rPr>
      <w:rFonts w:cs="Times New Roman"/>
      <w:color w:val="auto"/>
    </w:rPr>
  </w:style>
  <w:style w:type="paragraph" w:customStyle="1" w:styleId="120">
    <w:name w:val="CM25"/>
    <w:basedOn w:val="53"/>
    <w:next w:val="53"/>
    <w:uiPriority w:val="99"/>
    <w:pPr>
      <w:spacing w:line="400" w:lineRule="atLeast"/>
    </w:pPr>
    <w:rPr>
      <w:rFonts w:cs="Times New Roman"/>
      <w:color w:val="auto"/>
    </w:rPr>
  </w:style>
  <w:style w:type="paragraph" w:customStyle="1" w:styleId="121">
    <w:name w:val="CM96"/>
    <w:basedOn w:val="53"/>
    <w:next w:val="53"/>
    <w:uiPriority w:val="99"/>
    <w:rPr>
      <w:rFonts w:cs="Times New Roman"/>
      <w:color w:val="auto"/>
    </w:rPr>
  </w:style>
  <w:style w:type="paragraph" w:customStyle="1" w:styleId="122">
    <w:name w:val="CM20"/>
    <w:basedOn w:val="53"/>
    <w:next w:val="53"/>
    <w:uiPriority w:val="99"/>
    <w:pPr>
      <w:spacing w:line="400" w:lineRule="atLeast"/>
    </w:pPr>
    <w:rPr>
      <w:rFonts w:cs="Times New Roman"/>
      <w:color w:val="auto"/>
    </w:rPr>
  </w:style>
  <w:style w:type="paragraph" w:customStyle="1" w:styleId="123">
    <w:name w:val="CM95"/>
    <w:basedOn w:val="53"/>
    <w:next w:val="53"/>
    <w:uiPriority w:val="99"/>
    <w:pPr>
      <w:spacing w:line="440" w:lineRule="atLeast"/>
    </w:pPr>
    <w:rPr>
      <w:rFonts w:cs="Times New Roman"/>
      <w:color w:val="auto"/>
    </w:rPr>
  </w:style>
  <w:style w:type="paragraph" w:customStyle="1" w:styleId="124">
    <w:name w:val="CM44"/>
    <w:basedOn w:val="53"/>
    <w:next w:val="53"/>
    <w:uiPriority w:val="99"/>
    <w:rPr>
      <w:rFonts w:cs="Times New Roman"/>
      <w:color w:val="auto"/>
    </w:rPr>
  </w:style>
  <w:style w:type="paragraph" w:customStyle="1" w:styleId="125">
    <w:name w:val="CM114"/>
    <w:basedOn w:val="53"/>
    <w:next w:val="53"/>
    <w:uiPriority w:val="99"/>
    <w:rPr>
      <w:rFonts w:cs="Times New Roman"/>
      <w:color w:val="auto"/>
    </w:rPr>
  </w:style>
  <w:style w:type="paragraph" w:customStyle="1" w:styleId="126">
    <w:name w:val="CM90"/>
    <w:basedOn w:val="53"/>
    <w:next w:val="53"/>
    <w:uiPriority w:val="99"/>
    <w:pPr>
      <w:spacing w:line="440" w:lineRule="atLeast"/>
    </w:pPr>
    <w:rPr>
      <w:rFonts w:cs="Times New Roman"/>
      <w:color w:val="auto"/>
    </w:rPr>
  </w:style>
  <w:style w:type="paragraph" w:customStyle="1" w:styleId="127">
    <w:name w:val="CM115"/>
    <w:basedOn w:val="53"/>
    <w:next w:val="53"/>
    <w:uiPriority w:val="99"/>
    <w:rPr>
      <w:rFonts w:cs="Times New Roman"/>
      <w:color w:val="auto"/>
    </w:rPr>
  </w:style>
  <w:style w:type="paragraph" w:customStyle="1" w:styleId="128">
    <w:name w:val="CM32"/>
    <w:basedOn w:val="53"/>
    <w:next w:val="53"/>
    <w:uiPriority w:val="99"/>
    <w:pPr>
      <w:spacing w:line="400" w:lineRule="atLeast"/>
    </w:pPr>
    <w:rPr>
      <w:rFonts w:cs="Times New Roman"/>
      <w:color w:val="auto"/>
    </w:rPr>
  </w:style>
  <w:style w:type="paragraph" w:customStyle="1" w:styleId="129">
    <w:name w:val="CM13"/>
    <w:basedOn w:val="53"/>
    <w:next w:val="53"/>
    <w:uiPriority w:val="99"/>
    <w:rPr>
      <w:rFonts w:cs="Times New Roman"/>
      <w:color w:val="auto"/>
    </w:rPr>
  </w:style>
  <w:style w:type="paragraph" w:customStyle="1" w:styleId="130">
    <w:name w:val="CM29"/>
    <w:basedOn w:val="53"/>
    <w:next w:val="53"/>
    <w:uiPriority w:val="99"/>
    <w:pPr>
      <w:spacing w:line="400" w:lineRule="atLeast"/>
    </w:pPr>
    <w:rPr>
      <w:rFonts w:cs="Times New Roman"/>
      <w:color w:val="auto"/>
    </w:rPr>
  </w:style>
  <w:style w:type="paragraph" w:customStyle="1" w:styleId="131">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32">
    <w:name w:val="p0"/>
    <w:basedOn w:val="1"/>
    <w:qFormat/>
    <w:uiPriority w:val="99"/>
    <w:pPr>
      <w:widowControl/>
    </w:pPr>
    <w:rPr>
      <w:kern w:val="0"/>
      <w:szCs w:val="21"/>
    </w:rPr>
  </w:style>
  <w:style w:type="paragraph" w:customStyle="1" w:styleId="133">
    <w:name w:val="Char Char Char Char Char Char Char"/>
    <w:basedOn w:val="14"/>
    <w:uiPriority w:val="0"/>
    <w:rPr>
      <w:rFonts w:ascii="Tahoma" w:hAnsi="Tahoma"/>
      <w:sz w:val="24"/>
    </w:rPr>
  </w:style>
  <w:style w:type="paragraph" w:customStyle="1" w:styleId="134">
    <w:name w:val="CM103"/>
    <w:basedOn w:val="53"/>
    <w:next w:val="53"/>
    <w:uiPriority w:val="99"/>
    <w:rPr>
      <w:rFonts w:cs="Times New Roman"/>
      <w:color w:val="auto"/>
    </w:rPr>
  </w:style>
  <w:style w:type="paragraph" w:customStyle="1" w:styleId="135">
    <w:name w:val="CM41"/>
    <w:basedOn w:val="53"/>
    <w:next w:val="53"/>
    <w:uiPriority w:val="99"/>
    <w:pPr>
      <w:spacing w:line="400" w:lineRule="atLeast"/>
    </w:pPr>
    <w:rPr>
      <w:rFonts w:cs="Times New Roman"/>
      <w:color w:val="auto"/>
    </w:rPr>
  </w:style>
  <w:style w:type="paragraph" w:customStyle="1" w:styleId="136">
    <w:name w:val="样式 标题 3 + (中文) 黑体 小四 非加粗 段前: 7.8 磅 段后: 0 磅 行距: 固定值 20 磅"/>
    <w:basedOn w:val="6"/>
    <w:uiPriority w:val="0"/>
    <w:pPr>
      <w:spacing w:before="0" w:after="0" w:line="400" w:lineRule="exact"/>
    </w:pPr>
    <w:rPr>
      <w:rFonts w:ascii="Times New Roman" w:hAnsi="Times New Roman" w:eastAsia="黑体" w:cs="宋体"/>
      <w:b w:val="0"/>
      <w:bCs w:val="0"/>
      <w:sz w:val="24"/>
      <w:szCs w:val="20"/>
    </w:rPr>
  </w:style>
  <w:style w:type="paragraph" w:customStyle="1" w:styleId="137">
    <w:name w:val="CM62"/>
    <w:basedOn w:val="53"/>
    <w:next w:val="53"/>
    <w:uiPriority w:val="99"/>
    <w:rPr>
      <w:rFonts w:cs="Times New Roman"/>
      <w:color w:val="auto"/>
    </w:rPr>
  </w:style>
  <w:style w:type="paragraph" w:customStyle="1" w:styleId="138">
    <w:name w:val="CM4"/>
    <w:basedOn w:val="53"/>
    <w:next w:val="53"/>
    <w:uiPriority w:val="99"/>
    <w:rPr>
      <w:rFonts w:cs="Times New Roman"/>
      <w:color w:val="auto"/>
    </w:rPr>
  </w:style>
  <w:style w:type="paragraph" w:customStyle="1" w:styleId="139">
    <w:name w:val="CM83"/>
    <w:basedOn w:val="53"/>
    <w:next w:val="53"/>
    <w:uiPriority w:val="99"/>
    <w:pPr>
      <w:spacing w:line="400" w:lineRule="atLeast"/>
    </w:pPr>
    <w:rPr>
      <w:rFonts w:cs="Times New Roman"/>
      <w:color w:val="auto"/>
    </w:rPr>
  </w:style>
  <w:style w:type="paragraph" w:customStyle="1" w:styleId="140">
    <w:name w:val="CM64"/>
    <w:basedOn w:val="53"/>
    <w:next w:val="53"/>
    <w:uiPriority w:val="99"/>
    <w:pPr>
      <w:spacing w:line="398" w:lineRule="atLeast"/>
    </w:pPr>
    <w:rPr>
      <w:rFonts w:cs="Times New Roman"/>
      <w:color w:val="auto"/>
    </w:rPr>
  </w:style>
  <w:style w:type="paragraph" w:customStyle="1" w:styleId="141">
    <w:name w:val="CM109"/>
    <w:basedOn w:val="53"/>
    <w:next w:val="53"/>
    <w:uiPriority w:val="99"/>
    <w:rPr>
      <w:rFonts w:cs="Times New Roman"/>
      <w:color w:val="auto"/>
    </w:rPr>
  </w:style>
  <w:style w:type="paragraph" w:customStyle="1" w:styleId="142">
    <w:name w:val="CM8"/>
    <w:basedOn w:val="53"/>
    <w:next w:val="53"/>
    <w:uiPriority w:val="99"/>
    <w:pPr>
      <w:spacing w:line="318" w:lineRule="atLeast"/>
    </w:pPr>
    <w:rPr>
      <w:rFonts w:cs="Times New Roman"/>
      <w:color w:val="auto"/>
    </w:rPr>
  </w:style>
  <w:style w:type="paragraph" w:customStyle="1" w:styleId="143">
    <w:name w:val="1 Char"/>
    <w:basedOn w:val="1"/>
    <w:uiPriority w:val="0"/>
    <w:pPr>
      <w:spacing w:line="360" w:lineRule="auto"/>
      <w:ind w:firstLine="200" w:firstLineChars="200"/>
    </w:pPr>
    <w:rPr>
      <w:rFonts w:ascii="宋体" w:hAnsi="宋体" w:cs="宋体"/>
      <w:sz w:val="24"/>
      <w:szCs w:val="24"/>
    </w:rPr>
  </w:style>
  <w:style w:type="paragraph" w:customStyle="1" w:styleId="144">
    <w:name w:val="CM46"/>
    <w:basedOn w:val="53"/>
    <w:next w:val="53"/>
    <w:uiPriority w:val="99"/>
    <w:pPr>
      <w:spacing w:line="440" w:lineRule="atLeast"/>
    </w:pPr>
    <w:rPr>
      <w:rFonts w:cs="Times New Roman"/>
      <w:color w:val="auto"/>
    </w:rPr>
  </w:style>
  <w:style w:type="paragraph" w:customStyle="1" w:styleId="145">
    <w:name w:val="其他"/>
    <w:basedOn w:val="1"/>
    <w:link w:val="18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146">
    <w:name w:val="CM92"/>
    <w:basedOn w:val="53"/>
    <w:next w:val="53"/>
    <w:uiPriority w:val="99"/>
    <w:pPr>
      <w:spacing w:line="443" w:lineRule="atLeast"/>
    </w:pPr>
    <w:rPr>
      <w:rFonts w:cs="Times New Roman"/>
      <w:color w:val="auto"/>
    </w:rPr>
  </w:style>
  <w:style w:type="character" w:customStyle="1" w:styleId="147">
    <w:name w:val="批注框文本 字符"/>
    <w:link w:val="26"/>
    <w:semiHidden/>
    <w:uiPriority w:val="99"/>
    <w:rPr>
      <w:sz w:val="18"/>
      <w:szCs w:val="18"/>
    </w:rPr>
  </w:style>
  <w:style w:type="character" w:customStyle="1" w:styleId="148">
    <w:name w:val="标题 6 字符"/>
    <w:link w:val="9"/>
    <w:uiPriority w:val="9"/>
    <w:rPr>
      <w:rFonts w:ascii="Cambria" w:hAnsi="Cambria" w:eastAsia="宋体"/>
      <w:bCs/>
      <w:kern w:val="2"/>
      <w:sz w:val="21"/>
      <w:szCs w:val="24"/>
      <w:lang w:val="en-US" w:eastAsia="zh-CN" w:bidi="ar-SA"/>
    </w:rPr>
  </w:style>
  <w:style w:type="character" w:customStyle="1" w:styleId="149">
    <w:name w:val="正文文本 (2) + Times New Roman"/>
    <w:aliases w:val="12 p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50">
    <w:name w:val="正文文本 (7)_"/>
    <w:link w:val="91"/>
    <w:uiPriority w:val="0"/>
    <w:rPr>
      <w:rFonts w:ascii="宋体" w:hAnsi="宋体" w:cs="宋体"/>
      <w:spacing w:val="10"/>
      <w:sz w:val="22"/>
      <w:szCs w:val="22"/>
      <w:shd w:val="clear" w:color="auto" w:fill="FFFFFF"/>
    </w:rPr>
  </w:style>
  <w:style w:type="character" w:customStyle="1" w:styleId="151">
    <w:name w:val="正文文本首行缩进 字符"/>
    <w:link w:val="42"/>
    <w:semiHidden/>
    <w:uiPriority w:val="99"/>
    <w:rPr>
      <w:rFonts w:ascii="Times New Roman" w:hAnsi="Times New Roman"/>
      <w:kern w:val="2"/>
      <w:sz w:val="21"/>
      <w:szCs w:val="22"/>
    </w:rPr>
  </w:style>
  <w:style w:type="character" w:customStyle="1" w:styleId="152">
    <w:name w:val="正文首行缩进 字符"/>
    <w:uiPriority w:val="0"/>
    <w:rPr>
      <w:rFonts w:ascii="黑体" w:hAnsi="仿宋_GB2312" w:eastAsia="宋体"/>
      <w:kern w:val="2"/>
      <w:sz w:val="21"/>
      <w:szCs w:val="24"/>
      <w:lang w:val="en-US" w:eastAsia="zh-CN" w:bidi="ar-SA"/>
    </w:rPr>
  </w:style>
  <w:style w:type="character" w:customStyle="1" w:styleId="153">
    <w:name w:val="标题 3 字符"/>
    <w:link w:val="6"/>
    <w:uiPriority w:val="9"/>
    <w:rPr>
      <w:b/>
      <w:bCs/>
      <w:sz w:val="32"/>
      <w:szCs w:val="32"/>
    </w:rPr>
  </w:style>
  <w:style w:type="character" w:styleId="154">
    <w:name w:val=""/>
    <w:unhideWhenUsed/>
    <w:uiPriority w:val="99"/>
    <w:rPr>
      <w:color w:val="605E5C"/>
      <w:shd w:val="clear" w:color="auto" w:fill="E1DFDD"/>
    </w:rPr>
  </w:style>
  <w:style w:type="character" w:customStyle="1" w:styleId="155">
    <w:name w:val="脚注文本 字符"/>
    <w:link w:val="32"/>
    <w:qFormat/>
    <w:uiPriority w:val="99"/>
    <w:rPr>
      <w:sz w:val="18"/>
      <w:szCs w:val="18"/>
    </w:rPr>
  </w:style>
  <w:style w:type="character" w:customStyle="1" w:styleId="156">
    <w:name w:val="正文文本 (7) + 间距 0 pt Exact"/>
    <w:uiPriority w:val="0"/>
    <w:rPr>
      <w:rFonts w:ascii="宋体" w:hAnsi="宋体" w:eastAsia="宋体" w:cs="宋体"/>
      <w:color w:val="000000"/>
      <w:spacing w:val="0"/>
      <w:w w:val="100"/>
      <w:position w:val="0"/>
      <w:sz w:val="22"/>
      <w:szCs w:val="22"/>
      <w:u w:val="none"/>
      <w:lang w:val="zh-TW" w:eastAsia="zh-TW" w:bidi="zh-TW"/>
    </w:rPr>
  </w:style>
  <w:style w:type="character" w:customStyle="1" w:styleId="157">
    <w:name w:val="副标题 字符"/>
    <w:link w:val="31"/>
    <w:uiPriority w:val="11"/>
    <w:rPr>
      <w:rFonts w:ascii="Cambria" w:hAnsi="Cambria" w:eastAsia="宋体" w:cs="Times New Roman"/>
      <w:b/>
      <w:bCs/>
      <w:kern w:val="28"/>
      <w:sz w:val="32"/>
      <w:szCs w:val="32"/>
    </w:rPr>
  </w:style>
  <w:style w:type="character" w:customStyle="1" w:styleId="158">
    <w:name w:val="MSG_EN_FONT_STYLE_NAME_TEMPLATE_ROLE_NUMBER MSG_EN_FONT_STYLE_NAME_BY_ROLE_TEXT 13_"/>
    <w:link w:val="99"/>
    <w:qFormat/>
    <w:uiPriority w:val="0"/>
    <w:rPr>
      <w:rFonts w:ascii="PMingLiU" w:hAnsi="PMingLiU" w:eastAsia="PMingLiU" w:cs="PMingLiU"/>
      <w:shd w:val="clear" w:color="auto" w:fill="FFFFFF"/>
    </w:rPr>
  </w:style>
  <w:style w:type="character" w:customStyle="1" w:styleId="159">
    <w:name w:val="标题 1 字符"/>
    <w:link w:val="3"/>
    <w:uiPriority w:val="9"/>
    <w:rPr>
      <w:b/>
      <w:bCs/>
      <w:kern w:val="44"/>
      <w:sz w:val="44"/>
      <w:szCs w:val="44"/>
    </w:rPr>
  </w:style>
  <w:style w:type="character" w:customStyle="1" w:styleId="160">
    <w:name w:val="页脚 字符"/>
    <w:link w:val="27"/>
    <w:uiPriority w:val="99"/>
    <w:rPr>
      <w:sz w:val="18"/>
      <w:szCs w:val="18"/>
    </w:rPr>
  </w:style>
  <w:style w:type="character" w:customStyle="1" w:styleId="161">
    <w:name w:val="MSG_EN_FONT_STYLE_NAME_TEMPLATE_ROLE_NUMBER MSG_EN_FONT_STYLE_NAME_BY_ROLE_TEXT 13 + MSG_EN_FONT_STYLE_MODIFER_NAME Courier New"/>
    <w:qFormat/>
    <w:uiPriority w:val="0"/>
    <w:rPr>
      <w:rFonts w:ascii="Courier New" w:hAnsi="Courier New" w:eastAsia="Courier New" w:cs="Courier New"/>
      <w:b/>
      <w:bCs/>
      <w:color w:val="000000"/>
      <w:spacing w:val="0"/>
      <w:w w:val="100"/>
      <w:position w:val="0"/>
      <w:sz w:val="26"/>
      <w:szCs w:val="26"/>
      <w:u w:val="none"/>
      <w:shd w:val="clear" w:color="auto" w:fill="FFFFFF"/>
      <w:lang w:val="en-US" w:eastAsia="en-US" w:bidi="en-US"/>
    </w:rPr>
  </w:style>
  <w:style w:type="character" w:customStyle="1" w:styleId="162">
    <w:name w:val=" Char Char10"/>
    <w:uiPriority w:val="0"/>
    <w:rPr>
      <w:rFonts w:ascii="Calibri" w:hAnsi="Calibri" w:eastAsia="宋体"/>
      <w:b/>
      <w:bCs/>
      <w:kern w:val="44"/>
      <w:sz w:val="44"/>
      <w:szCs w:val="44"/>
      <w:lang w:val="en-US" w:eastAsia="zh-CN" w:bidi="ar-SA"/>
    </w:rPr>
  </w:style>
  <w:style w:type="character" w:customStyle="1" w:styleId="163">
    <w:name w:val="标题 3 Char"/>
    <w:qFormat/>
    <w:uiPriority w:val="9"/>
    <w:rPr>
      <w:rFonts w:ascii="Times New Roman" w:hAnsi="Times New Roman" w:eastAsia="宋体" w:cs="Times New Roman"/>
      <w:b/>
      <w:bCs/>
      <w:sz w:val="24"/>
      <w:szCs w:val="32"/>
    </w:rPr>
  </w:style>
  <w:style w:type="character" w:customStyle="1" w:styleId="164">
    <w:name w:val="正文文本 (2) + 11.5 pt"/>
    <w:aliases w:val="粗体,正文文本 (14) + Times New Roman,6 pt,斜体,间距 0 pt,正文文本 (2) + Calibri,10.5 p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65">
    <w:name w:val="标题 5 字符"/>
    <w:link w:val="8"/>
    <w:uiPriority w:val="0"/>
    <w:rPr>
      <w:rFonts w:ascii="Calibri" w:hAnsi="Calibri" w:eastAsia="宋体"/>
      <w:bCs/>
      <w:kern w:val="2"/>
      <w:sz w:val="21"/>
      <w:szCs w:val="28"/>
      <w:lang w:val="en-US" w:eastAsia="zh-CN" w:bidi="ar-SA"/>
    </w:rPr>
  </w:style>
  <w:style w:type="character" w:customStyle="1" w:styleId="166">
    <w:name w:val=" Char2 Char Char"/>
    <w:semiHidden/>
    <w:uiPriority w:val="0"/>
    <w:rPr>
      <w:rFonts w:eastAsia="宋体"/>
      <w:kern w:val="2"/>
      <w:sz w:val="18"/>
      <w:szCs w:val="18"/>
      <w:lang w:val="en-US" w:eastAsia="zh-CN" w:bidi="ar-SA"/>
    </w:rPr>
  </w:style>
  <w:style w:type="character" w:customStyle="1" w:styleId="167">
    <w:name w:val=" Char Char14"/>
    <w:locked/>
    <w:uiPriority w:val="0"/>
    <w:rPr>
      <w:rFonts w:ascii="Calibri" w:hAnsi="Calibri" w:eastAsia="宋体" w:cs="Calibri"/>
      <w:kern w:val="2"/>
      <w:sz w:val="18"/>
      <w:szCs w:val="18"/>
      <w:lang w:val="en-US" w:eastAsia="zh-CN" w:bidi="ar-SA"/>
    </w:rPr>
  </w:style>
  <w:style w:type="character" w:customStyle="1" w:styleId="168">
    <w:name w:val="正文文本缩进 3 字符"/>
    <w:link w:val="34"/>
    <w:uiPriority w:val="99"/>
    <w:rPr>
      <w:rFonts w:ascii="Times New Roman" w:hAnsi="Times New Roman"/>
      <w:kern w:val="2"/>
      <w:sz w:val="21"/>
      <w:szCs w:val="24"/>
    </w:rPr>
  </w:style>
  <w:style w:type="character" w:customStyle="1" w:styleId="169">
    <w:name w:val="正文文本 (2)_"/>
    <w:link w:val="68"/>
    <w:uiPriority w:val="0"/>
    <w:rPr>
      <w:rFonts w:ascii="宋体" w:hAnsi="宋体" w:cs="宋体"/>
      <w:sz w:val="22"/>
      <w:szCs w:val="22"/>
      <w:shd w:val="clear" w:color="auto" w:fill="FFFFFF"/>
    </w:rPr>
  </w:style>
  <w:style w:type="character" w:customStyle="1" w:styleId="170">
    <w:name w:val="页眉 字符"/>
    <w:link w:val="28"/>
    <w:uiPriority w:val="0"/>
    <w:rPr>
      <w:sz w:val="18"/>
      <w:szCs w:val="18"/>
    </w:rPr>
  </w:style>
  <w:style w:type="character" w:customStyle="1" w:styleId="171">
    <w:name w:val="正文文本 (2) + Sylfaen"/>
    <w:aliases w:val="11.5 pt,7 p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72">
    <w:name w:val="Char2 Char Char"/>
    <w:uiPriority w:val="0"/>
    <w:rPr>
      <w:rFonts w:eastAsia="宋体"/>
      <w:sz w:val="21"/>
      <w:lang w:val="en-US" w:eastAsia="zh-CN" w:bidi="ar-SA"/>
    </w:rPr>
  </w:style>
  <w:style w:type="character" w:customStyle="1" w:styleId="173">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174">
    <w:name w:val="正文文本 (2) + Lucida Sans Unicode"/>
    <w:aliases w:val="10 pt,正文文本 (21) + Lucida Sans Unicode,正文文本 (33) + Lucida Sans Unicode,正文文本 (34) + Lucida Sans Unicode"/>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75">
    <w:name w:val="标题 2 字符"/>
    <w:link w:val="4"/>
    <w:uiPriority w:val="9"/>
    <w:rPr>
      <w:rFonts w:ascii="Cambria" w:hAnsi="Cambria" w:eastAsia="宋体" w:cs="Times New Roman"/>
      <w:b/>
      <w:bCs/>
      <w:sz w:val="32"/>
      <w:szCs w:val="32"/>
    </w:rPr>
  </w:style>
  <w:style w:type="character" w:customStyle="1" w:styleId="176">
    <w:name w:val="正文文本 (2) + 间距 4 p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77">
    <w:name w:val="正文文本 字符"/>
    <w:link w:val="17"/>
    <w:uiPriority w:val="0"/>
    <w:rPr>
      <w:rFonts w:ascii="Times New Roman" w:hAnsi="Times New Roman"/>
      <w:kern w:val="2"/>
      <w:sz w:val="28"/>
      <w:szCs w:val="24"/>
    </w:rPr>
  </w:style>
  <w:style w:type="character" w:customStyle="1" w:styleId="178">
    <w:name w:val="标题 4 字符"/>
    <w:link w:val="7"/>
    <w:uiPriority w:val="9"/>
    <w:rPr>
      <w:rFonts w:ascii="Cambria" w:hAnsi="Cambria" w:eastAsia="黑体"/>
      <w:bCs/>
      <w:kern w:val="2"/>
      <w:sz w:val="24"/>
      <w:szCs w:val="28"/>
    </w:rPr>
  </w:style>
  <w:style w:type="character" w:customStyle="1" w:styleId="179">
    <w:name w:val="纯文本 Char1"/>
    <w:locked/>
    <w:uiPriority w:val="0"/>
    <w:rPr>
      <w:rFonts w:ascii="宋体" w:hAnsi="Courier New" w:eastAsia="宋体" w:cs="宋体"/>
      <w:szCs w:val="21"/>
    </w:rPr>
  </w:style>
  <w:style w:type="character" w:customStyle="1" w:styleId="180">
    <w:name w:val="Char Char1"/>
    <w:semiHidden/>
    <w:locked/>
    <w:uiPriority w:val="0"/>
    <w:rPr>
      <w:rFonts w:ascii="Calibri" w:hAnsi="Calibri" w:eastAsia="宋体"/>
      <w:kern w:val="2"/>
      <w:sz w:val="18"/>
      <w:szCs w:val="18"/>
      <w:lang w:val="en-US" w:eastAsia="zh-CN" w:bidi="ar-SA"/>
    </w:rPr>
  </w:style>
  <w:style w:type="character" w:customStyle="1" w:styleId="181">
    <w:name w:val="其他_"/>
    <w:link w:val="145"/>
    <w:qFormat/>
    <w:uiPriority w:val="0"/>
    <w:rPr>
      <w:rFonts w:ascii="宋体" w:hAnsi="宋体" w:cs="宋体"/>
      <w:shd w:val="clear" w:color="auto" w:fill="FFFFFF"/>
      <w:lang w:val="zh-CN" w:bidi="zh-CN"/>
    </w:rPr>
  </w:style>
  <w:style w:type="table" w:customStyle="1" w:styleId="182">
    <w:name w:val="Table Normal2"/>
    <w:unhideWhenUsed/>
    <w:qFormat/>
    <w:uiPriority w:val="2"/>
    <w:pPr>
      <w:widowControl w:val="0"/>
      <w:autoSpaceDE w:val="0"/>
      <w:autoSpaceDN w:val="0"/>
    </w:pPr>
    <w:rPr>
      <w:sz w:val="22"/>
      <w:szCs w:val="22"/>
      <w:lang w:val="en-US" w:eastAsia="en-US" w:bidi="ar-SA"/>
    </w:rPr>
    <w:tblPr>
      <w:tblStyle w:val="43"/>
      <w:tblCellMar>
        <w:top w:w="0" w:type="dxa"/>
        <w:left w:w="0" w:type="dxa"/>
        <w:bottom w:w="0" w:type="dxa"/>
        <w:right w:w="0" w:type="dxa"/>
      </w:tblCellMar>
    </w:tblPr>
  </w:style>
  <w:style w:type="table" w:customStyle="1" w:styleId="183">
    <w:name w:val="Table Normal"/>
    <w:unhideWhenUsed/>
    <w:qFormat/>
    <w:uiPriority w:val="2"/>
    <w:pPr>
      <w:widowControl w:val="0"/>
      <w:autoSpaceDE w:val="0"/>
      <w:autoSpaceDN w:val="0"/>
    </w:pPr>
    <w:rPr>
      <w:sz w:val="22"/>
      <w:szCs w:val="22"/>
      <w:lang w:val="en-US" w:eastAsia="en-US" w:bidi="ar-SA"/>
    </w:rPr>
    <w:tblPr>
      <w:tblStyle w:val="43"/>
      <w:tblCellMar>
        <w:top w:w="0" w:type="dxa"/>
        <w:left w:w="0" w:type="dxa"/>
        <w:bottom w:w="0" w:type="dxa"/>
        <w:right w:w="0" w:type="dxa"/>
      </w:tblCellMar>
    </w:tblPr>
  </w:style>
  <w:style w:type="table" w:customStyle="1" w:styleId="184">
    <w:name w:val="Table Normal1"/>
    <w:unhideWhenUsed/>
    <w:qFormat/>
    <w:uiPriority w:val="2"/>
    <w:pPr>
      <w:widowControl w:val="0"/>
      <w:autoSpaceDE w:val="0"/>
      <w:autoSpaceDN w:val="0"/>
    </w:pPr>
    <w:rPr>
      <w:sz w:val="22"/>
      <w:szCs w:val="22"/>
      <w:lang w:val="en-US" w:eastAsia="en-US" w:bidi="ar-SA"/>
    </w:rPr>
    <w:tblPr>
      <w:tblStyle w:val="43"/>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1144</Words>
  <Characters>6521</Characters>
  <Lines>54</Lines>
  <Paragraphs>15</Paragraphs>
  <TotalTime>1</TotalTime>
  <ScaleCrop>false</ScaleCrop>
  <LinksUpToDate>false</LinksUpToDate>
  <CharactersWithSpaces>7650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2020-04-13T05:09:00Z</dcterms:created>
  <dc:creator>1</dc:creator>
  <cp:lastModifiedBy>Volcanobaby是我啊</cp:lastModifiedBy>
  <cp:lastPrinted>2019-07-15T23:28:00Z</cp:lastPrinted>
  <dcterms:modified xsi:type="dcterms:W3CDTF">2020-04-13T07:47:55Z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